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C99" w:rsidRPr="006D0C99" w:rsidRDefault="006D0C99" w:rsidP="006D0C99">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6D0C99">
        <w:rPr>
          <w:rFonts w:ascii="Georgia" w:eastAsia="Times New Roman" w:hAnsi="Georgia" w:cs="Arial"/>
          <w:b/>
          <w:bCs/>
          <w:color w:val="B92517"/>
          <w:spacing w:val="-5"/>
          <w:kern w:val="36"/>
          <w:sz w:val="58"/>
          <w:szCs w:val="58"/>
          <w:lang w:eastAsia="es-MX"/>
        </w:rPr>
        <w:t>C030 - Convenio sobre las horas de trabajo (comercio y oficinas), 1930 (núm. 30)</w:t>
      </w:r>
    </w:p>
    <w:p w:rsidR="006D0C99" w:rsidRPr="006D0C99" w:rsidRDefault="006D0C99" w:rsidP="006D0C99">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6D0C99">
        <w:rPr>
          <w:rFonts w:ascii="Arial" w:eastAsia="Times New Roman" w:hAnsi="Arial" w:cs="Arial"/>
          <w:color w:val="333333"/>
          <w:sz w:val="18"/>
          <w:szCs w:val="18"/>
          <w:lang w:eastAsia="es-MX"/>
        </w:rPr>
        <w:t>Visualizar en: </w:t>
      </w:r>
      <w:hyperlink r:id="rId5" w:history="1">
        <w:r w:rsidRPr="006D0C99">
          <w:rPr>
            <w:rFonts w:ascii="Arial" w:eastAsia="Times New Roman" w:hAnsi="Arial" w:cs="Arial"/>
            <w:color w:val="0644AA"/>
            <w:sz w:val="18"/>
            <w:szCs w:val="18"/>
            <w:u w:val="single"/>
            <w:lang w:eastAsia="es-MX"/>
          </w:rPr>
          <w:t>Inglés</w:t>
        </w:r>
      </w:hyperlink>
      <w:r w:rsidRPr="006D0C99">
        <w:rPr>
          <w:rFonts w:ascii="Arial" w:eastAsia="Times New Roman" w:hAnsi="Arial" w:cs="Arial"/>
          <w:color w:val="333333"/>
          <w:sz w:val="18"/>
          <w:szCs w:val="18"/>
          <w:lang w:eastAsia="es-MX"/>
        </w:rPr>
        <w:t> - </w:t>
      </w:r>
      <w:hyperlink r:id="rId6" w:history="1">
        <w:r w:rsidRPr="006D0C99">
          <w:rPr>
            <w:rFonts w:ascii="Arial" w:eastAsia="Times New Roman" w:hAnsi="Arial" w:cs="Arial"/>
            <w:color w:val="0644AA"/>
            <w:sz w:val="18"/>
            <w:szCs w:val="18"/>
            <w:u w:val="single"/>
            <w:lang w:eastAsia="es-MX"/>
          </w:rPr>
          <w:t>Francés</w:t>
        </w:r>
      </w:hyperlink>
      <w:r w:rsidRPr="006D0C99">
        <w:rPr>
          <w:rFonts w:ascii="Arial" w:eastAsia="Times New Roman" w:hAnsi="Arial" w:cs="Arial"/>
          <w:color w:val="333333"/>
          <w:sz w:val="18"/>
          <w:szCs w:val="18"/>
          <w:lang w:eastAsia="es-MX"/>
        </w:rPr>
        <w:t> - </w:t>
      </w:r>
      <w:hyperlink r:id="rId7" w:history="1">
        <w:r w:rsidRPr="006D0C99">
          <w:rPr>
            <w:rFonts w:ascii="Arial" w:eastAsia="Times New Roman" w:hAnsi="Arial" w:cs="Arial"/>
            <w:color w:val="0644AA"/>
            <w:sz w:val="18"/>
            <w:szCs w:val="18"/>
            <w:u w:val="single"/>
            <w:lang w:eastAsia="es-MX"/>
          </w:rPr>
          <w:t>árabe</w:t>
        </w:r>
      </w:hyperlink>
      <w:r w:rsidRPr="006D0C99">
        <w:rPr>
          <w:rFonts w:ascii="Arial" w:eastAsia="Times New Roman" w:hAnsi="Arial" w:cs="Arial"/>
          <w:color w:val="333333"/>
          <w:sz w:val="18"/>
          <w:szCs w:val="18"/>
          <w:lang w:eastAsia="es-MX"/>
        </w:rPr>
        <w:t> - </w:t>
      </w:r>
      <w:hyperlink r:id="rId8" w:history="1">
        <w:r w:rsidRPr="006D0C99">
          <w:rPr>
            <w:rFonts w:ascii="Arial" w:eastAsia="Times New Roman" w:hAnsi="Arial" w:cs="Arial"/>
            <w:color w:val="0644AA"/>
            <w:sz w:val="18"/>
            <w:szCs w:val="18"/>
            <w:u w:val="single"/>
            <w:lang w:eastAsia="es-MX"/>
          </w:rPr>
          <w:t>alemán</w:t>
        </w:r>
      </w:hyperlink>
      <w:r w:rsidRPr="006D0C99">
        <w:rPr>
          <w:rFonts w:ascii="Arial" w:eastAsia="Times New Roman" w:hAnsi="Arial" w:cs="Arial"/>
          <w:color w:val="333333"/>
          <w:sz w:val="18"/>
          <w:szCs w:val="18"/>
          <w:lang w:eastAsia="es-MX"/>
        </w:rPr>
        <w:t> - </w:t>
      </w:r>
      <w:hyperlink r:id="rId9" w:history="1">
        <w:r w:rsidRPr="006D0C99">
          <w:rPr>
            <w:rFonts w:ascii="Arial" w:eastAsia="Times New Roman" w:hAnsi="Arial" w:cs="Arial"/>
            <w:color w:val="0644AA"/>
            <w:sz w:val="18"/>
            <w:szCs w:val="18"/>
            <w:u w:val="single"/>
            <w:lang w:eastAsia="es-MX"/>
          </w:rPr>
          <w:t>ruso</w:t>
        </w:r>
      </w:hyperlink>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b/>
          <w:bCs/>
          <w:color w:val="333333"/>
          <w:sz w:val="18"/>
          <w:szCs w:val="18"/>
          <w:lang w:eastAsia="es-MX"/>
        </w:rPr>
        <w:t>Ir al artículo : </w:t>
      </w:r>
      <w:hyperlink r:id="rId10" w:anchor="A1" w:history="1">
        <w:r w:rsidRPr="006D0C99">
          <w:rPr>
            <w:rFonts w:ascii="Georgia" w:eastAsia="Times New Roman" w:hAnsi="Georgia" w:cs="Arial"/>
            <w:color w:val="0644AA"/>
            <w:sz w:val="18"/>
            <w:szCs w:val="18"/>
            <w:u w:val="single"/>
            <w:lang w:eastAsia="es-MX"/>
          </w:rPr>
          <w:t>1</w:t>
        </w:r>
      </w:hyperlink>
      <w:r w:rsidRPr="006D0C99">
        <w:rPr>
          <w:rFonts w:ascii="Georgia" w:eastAsia="Times New Roman" w:hAnsi="Georgia" w:cs="Arial"/>
          <w:color w:val="333333"/>
          <w:sz w:val="18"/>
          <w:szCs w:val="18"/>
          <w:lang w:eastAsia="es-MX"/>
        </w:rPr>
        <w:t> </w:t>
      </w:r>
      <w:hyperlink r:id="rId11" w:anchor="A2" w:history="1">
        <w:r w:rsidRPr="006D0C99">
          <w:rPr>
            <w:rFonts w:ascii="Georgia" w:eastAsia="Times New Roman" w:hAnsi="Georgia" w:cs="Arial"/>
            <w:color w:val="0644AA"/>
            <w:sz w:val="18"/>
            <w:szCs w:val="18"/>
            <w:u w:val="single"/>
            <w:lang w:eastAsia="es-MX"/>
          </w:rPr>
          <w:t>2</w:t>
        </w:r>
      </w:hyperlink>
      <w:r w:rsidRPr="006D0C99">
        <w:rPr>
          <w:rFonts w:ascii="Georgia" w:eastAsia="Times New Roman" w:hAnsi="Georgia" w:cs="Arial"/>
          <w:color w:val="333333"/>
          <w:sz w:val="18"/>
          <w:szCs w:val="18"/>
          <w:lang w:eastAsia="es-MX"/>
        </w:rPr>
        <w:t> </w:t>
      </w:r>
      <w:hyperlink r:id="rId12" w:anchor="A3" w:history="1">
        <w:r w:rsidRPr="006D0C99">
          <w:rPr>
            <w:rFonts w:ascii="Georgia" w:eastAsia="Times New Roman" w:hAnsi="Georgia" w:cs="Arial"/>
            <w:color w:val="0644AA"/>
            <w:sz w:val="18"/>
            <w:szCs w:val="18"/>
            <w:u w:val="single"/>
            <w:lang w:eastAsia="es-MX"/>
          </w:rPr>
          <w:t>3</w:t>
        </w:r>
      </w:hyperlink>
      <w:r w:rsidRPr="006D0C99">
        <w:rPr>
          <w:rFonts w:ascii="Georgia" w:eastAsia="Times New Roman" w:hAnsi="Georgia" w:cs="Arial"/>
          <w:color w:val="333333"/>
          <w:sz w:val="18"/>
          <w:szCs w:val="18"/>
          <w:lang w:eastAsia="es-MX"/>
        </w:rPr>
        <w:t> </w:t>
      </w:r>
      <w:hyperlink r:id="rId13" w:anchor="A4" w:history="1">
        <w:r w:rsidRPr="006D0C99">
          <w:rPr>
            <w:rFonts w:ascii="Georgia" w:eastAsia="Times New Roman" w:hAnsi="Georgia" w:cs="Arial"/>
            <w:color w:val="0644AA"/>
            <w:sz w:val="18"/>
            <w:szCs w:val="18"/>
            <w:u w:val="single"/>
            <w:lang w:eastAsia="es-MX"/>
          </w:rPr>
          <w:t>4</w:t>
        </w:r>
      </w:hyperlink>
      <w:r w:rsidRPr="006D0C99">
        <w:rPr>
          <w:rFonts w:ascii="Georgia" w:eastAsia="Times New Roman" w:hAnsi="Georgia" w:cs="Arial"/>
          <w:color w:val="333333"/>
          <w:sz w:val="18"/>
          <w:szCs w:val="18"/>
          <w:lang w:eastAsia="es-MX"/>
        </w:rPr>
        <w:t> </w:t>
      </w:r>
      <w:hyperlink r:id="rId14" w:anchor="A5" w:history="1">
        <w:r w:rsidRPr="006D0C99">
          <w:rPr>
            <w:rFonts w:ascii="Georgia" w:eastAsia="Times New Roman" w:hAnsi="Georgia" w:cs="Arial"/>
            <w:color w:val="0644AA"/>
            <w:sz w:val="18"/>
            <w:szCs w:val="18"/>
            <w:u w:val="single"/>
            <w:lang w:eastAsia="es-MX"/>
          </w:rPr>
          <w:t>5</w:t>
        </w:r>
      </w:hyperlink>
      <w:r w:rsidRPr="006D0C99">
        <w:rPr>
          <w:rFonts w:ascii="Georgia" w:eastAsia="Times New Roman" w:hAnsi="Georgia" w:cs="Arial"/>
          <w:color w:val="333333"/>
          <w:sz w:val="18"/>
          <w:szCs w:val="18"/>
          <w:lang w:eastAsia="es-MX"/>
        </w:rPr>
        <w:t> </w:t>
      </w:r>
      <w:hyperlink r:id="rId15" w:anchor="A6" w:history="1">
        <w:r w:rsidRPr="006D0C99">
          <w:rPr>
            <w:rFonts w:ascii="Georgia" w:eastAsia="Times New Roman" w:hAnsi="Georgia" w:cs="Arial"/>
            <w:color w:val="0644AA"/>
            <w:sz w:val="18"/>
            <w:szCs w:val="18"/>
            <w:u w:val="single"/>
            <w:lang w:eastAsia="es-MX"/>
          </w:rPr>
          <w:t>6</w:t>
        </w:r>
      </w:hyperlink>
      <w:r w:rsidRPr="006D0C99">
        <w:rPr>
          <w:rFonts w:ascii="Georgia" w:eastAsia="Times New Roman" w:hAnsi="Georgia" w:cs="Arial"/>
          <w:color w:val="333333"/>
          <w:sz w:val="18"/>
          <w:szCs w:val="18"/>
          <w:lang w:eastAsia="es-MX"/>
        </w:rPr>
        <w:t> </w:t>
      </w:r>
      <w:hyperlink r:id="rId16" w:anchor="A7" w:history="1">
        <w:r w:rsidRPr="006D0C99">
          <w:rPr>
            <w:rFonts w:ascii="Georgia" w:eastAsia="Times New Roman" w:hAnsi="Georgia" w:cs="Arial"/>
            <w:color w:val="0644AA"/>
            <w:sz w:val="18"/>
            <w:szCs w:val="18"/>
            <w:u w:val="single"/>
            <w:lang w:eastAsia="es-MX"/>
          </w:rPr>
          <w:t>7</w:t>
        </w:r>
      </w:hyperlink>
      <w:r w:rsidRPr="006D0C99">
        <w:rPr>
          <w:rFonts w:ascii="Georgia" w:eastAsia="Times New Roman" w:hAnsi="Georgia" w:cs="Arial"/>
          <w:color w:val="333333"/>
          <w:sz w:val="18"/>
          <w:szCs w:val="18"/>
          <w:lang w:eastAsia="es-MX"/>
        </w:rPr>
        <w:t> </w:t>
      </w:r>
      <w:hyperlink r:id="rId17" w:anchor="A8" w:history="1">
        <w:r w:rsidRPr="006D0C99">
          <w:rPr>
            <w:rFonts w:ascii="Georgia" w:eastAsia="Times New Roman" w:hAnsi="Georgia" w:cs="Arial"/>
            <w:color w:val="0644AA"/>
            <w:sz w:val="18"/>
            <w:szCs w:val="18"/>
            <w:u w:val="single"/>
            <w:lang w:eastAsia="es-MX"/>
          </w:rPr>
          <w:t>8</w:t>
        </w:r>
      </w:hyperlink>
      <w:r w:rsidRPr="006D0C99">
        <w:rPr>
          <w:rFonts w:ascii="Georgia" w:eastAsia="Times New Roman" w:hAnsi="Georgia" w:cs="Arial"/>
          <w:color w:val="333333"/>
          <w:sz w:val="18"/>
          <w:szCs w:val="18"/>
          <w:lang w:eastAsia="es-MX"/>
        </w:rPr>
        <w:t> </w:t>
      </w:r>
      <w:hyperlink r:id="rId18" w:anchor="A9" w:history="1">
        <w:r w:rsidRPr="006D0C99">
          <w:rPr>
            <w:rFonts w:ascii="Georgia" w:eastAsia="Times New Roman" w:hAnsi="Georgia" w:cs="Arial"/>
            <w:color w:val="0644AA"/>
            <w:sz w:val="18"/>
            <w:szCs w:val="18"/>
            <w:u w:val="single"/>
            <w:lang w:eastAsia="es-MX"/>
          </w:rPr>
          <w:t>9</w:t>
        </w:r>
      </w:hyperlink>
      <w:r w:rsidRPr="006D0C99">
        <w:rPr>
          <w:rFonts w:ascii="Georgia" w:eastAsia="Times New Roman" w:hAnsi="Georgia" w:cs="Arial"/>
          <w:color w:val="333333"/>
          <w:sz w:val="18"/>
          <w:szCs w:val="18"/>
          <w:lang w:eastAsia="es-MX"/>
        </w:rPr>
        <w:t> </w:t>
      </w:r>
      <w:hyperlink r:id="rId19" w:anchor="A10" w:history="1">
        <w:r w:rsidRPr="006D0C99">
          <w:rPr>
            <w:rFonts w:ascii="Georgia" w:eastAsia="Times New Roman" w:hAnsi="Georgia" w:cs="Arial"/>
            <w:color w:val="0644AA"/>
            <w:sz w:val="18"/>
            <w:szCs w:val="18"/>
            <w:u w:val="single"/>
            <w:lang w:eastAsia="es-MX"/>
          </w:rPr>
          <w:t>10</w:t>
        </w:r>
      </w:hyperlink>
      <w:r w:rsidRPr="006D0C99">
        <w:rPr>
          <w:rFonts w:ascii="Georgia" w:eastAsia="Times New Roman" w:hAnsi="Georgia" w:cs="Arial"/>
          <w:color w:val="333333"/>
          <w:sz w:val="18"/>
          <w:szCs w:val="18"/>
          <w:lang w:eastAsia="es-MX"/>
        </w:rPr>
        <w:t> </w:t>
      </w:r>
      <w:hyperlink r:id="rId20" w:anchor="A11" w:history="1">
        <w:r w:rsidRPr="006D0C99">
          <w:rPr>
            <w:rFonts w:ascii="Georgia" w:eastAsia="Times New Roman" w:hAnsi="Georgia" w:cs="Arial"/>
            <w:color w:val="0644AA"/>
            <w:sz w:val="18"/>
            <w:szCs w:val="18"/>
            <w:u w:val="single"/>
            <w:lang w:eastAsia="es-MX"/>
          </w:rPr>
          <w:t>11</w:t>
        </w:r>
      </w:hyperlink>
      <w:r w:rsidRPr="006D0C99">
        <w:rPr>
          <w:rFonts w:ascii="Georgia" w:eastAsia="Times New Roman" w:hAnsi="Georgia" w:cs="Arial"/>
          <w:color w:val="333333"/>
          <w:sz w:val="18"/>
          <w:szCs w:val="18"/>
          <w:lang w:eastAsia="es-MX"/>
        </w:rPr>
        <w:t> </w:t>
      </w:r>
      <w:hyperlink r:id="rId21" w:anchor="A12" w:history="1">
        <w:r w:rsidRPr="006D0C99">
          <w:rPr>
            <w:rFonts w:ascii="Georgia" w:eastAsia="Times New Roman" w:hAnsi="Georgia" w:cs="Arial"/>
            <w:color w:val="0644AA"/>
            <w:sz w:val="18"/>
            <w:szCs w:val="18"/>
            <w:u w:val="single"/>
            <w:lang w:eastAsia="es-MX"/>
          </w:rPr>
          <w:t>12</w:t>
        </w:r>
      </w:hyperlink>
      <w:r w:rsidRPr="006D0C99">
        <w:rPr>
          <w:rFonts w:ascii="Georgia" w:eastAsia="Times New Roman" w:hAnsi="Georgia" w:cs="Arial"/>
          <w:color w:val="333333"/>
          <w:sz w:val="18"/>
          <w:szCs w:val="18"/>
          <w:lang w:eastAsia="es-MX"/>
        </w:rPr>
        <w:t> </w:t>
      </w:r>
      <w:hyperlink r:id="rId22" w:anchor="A13" w:history="1">
        <w:r w:rsidRPr="006D0C99">
          <w:rPr>
            <w:rFonts w:ascii="Georgia" w:eastAsia="Times New Roman" w:hAnsi="Georgia" w:cs="Arial"/>
            <w:color w:val="0644AA"/>
            <w:sz w:val="18"/>
            <w:szCs w:val="18"/>
            <w:u w:val="single"/>
            <w:lang w:eastAsia="es-MX"/>
          </w:rPr>
          <w:t>13</w:t>
        </w:r>
      </w:hyperlink>
      <w:r w:rsidRPr="006D0C99">
        <w:rPr>
          <w:rFonts w:ascii="Georgia" w:eastAsia="Times New Roman" w:hAnsi="Georgia" w:cs="Arial"/>
          <w:color w:val="333333"/>
          <w:sz w:val="18"/>
          <w:szCs w:val="18"/>
          <w:lang w:eastAsia="es-MX"/>
        </w:rPr>
        <w:t> </w:t>
      </w:r>
      <w:hyperlink r:id="rId23" w:anchor="A14" w:history="1">
        <w:r w:rsidRPr="006D0C99">
          <w:rPr>
            <w:rFonts w:ascii="Georgia" w:eastAsia="Times New Roman" w:hAnsi="Georgia" w:cs="Arial"/>
            <w:color w:val="0644AA"/>
            <w:sz w:val="18"/>
            <w:szCs w:val="18"/>
            <w:u w:val="single"/>
            <w:lang w:eastAsia="es-MX"/>
          </w:rPr>
          <w:t>14</w:t>
        </w:r>
      </w:hyperlink>
      <w:r w:rsidRPr="006D0C99">
        <w:rPr>
          <w:rFonts w:ascii="Georgia" w:eastAsia="Times New Roman" w:hAnsi="Georgia" w:cs="Arial"/>
          <w:color w:val="333333"/>
          <w:sz w:val="18"/>
          <w:szCs w:val="18"/>
          <w:lang w:eastAsia="es-MX"/>
        </w:rPr>
        <w:t> </w:t>
      </w:r>
      <w:hyperlink r:id="rId24" w:anchor="A15" w:history="1">
        <w:r w:rsidRPr="006D0C99">
          <w:rPr>
            <w:rFonts w:ascii="Georgia" w:eastAsia="Times New Roman" w:hAnsi="Georgia" w:cs="Arial"/>
            <w:color w:val="0644AA"/>
            <w:sz w:val="18"/>
            <w:szCs w:val="18"/>
            <w:u w:val="single"/>
            <w:lang w:eastAsia="es-MX"/>
          </w:rPr>
          <w:t>15</w:t>
        </w:r>
      </w:hyperlink>
      <w:r w:rsidRPr="006D0C99">
        <w:rPr>
          <w:rFonts w:ascii="Georgia" w:eastAsia="Times New Roman" w:hAnsi="Georgia" w:cs="Arial"/>
          <w:color w:val="333333"/>
          <w:sz w:val="18"/>
          <w:szCs w:val="18"/>
          <w:lang w:eastAsia="es-MX"/>
        </w:rPr>
        <w:t> </w:t>
      </w:r>
      <w:hyperlink r:id="rId25" w:anchor="A16" w:history="1">
        <w:r w:rsidRPr="006D0C99">
          <w:rPr>
            <w:rFonts w:ascii="Georgia" w:eastAsia="Times New Roman" w:hAnsi="Georgia" w:cs="Arial"/>
            <w:color w:val="0644AA"/>
            <w:sz w:val="18"/>
            <w:szCs w:val="18"/>
            <w:u w:val="single"/>
            <w:lang w:eastAsia="es-MX"/>
          </w:rPr>
          <w:t>16</w:t>
        </w:r>
      </w:hyperlink>
      <w:r w:rsidRPr="006D0C99">
        <w:rPr>
          <w:rFonts w:ascii="Georgia" w:eastAsia="Times New Roman" w:hAnsi="Georgia" w:cs="Arial"/>
          <w:color w:val="333333"/>
          <w:sz w:val="18"/>
          <w:szCs w:val="18"/>
          <w:lang w:eastAsia="es-MX"/>
        </w:rPr>
        <w:t> </w:t>
      </w:r>
      <w:hyperlink r:id="rId26" w:anchor="A17" w:history="1">
        <w:r w:rsidRPr="006D0C99">
          <w:rPr>
            <w:rFonts w:ascii="Georgia" w:eastAsia="Times New Roman" w:hAnsi="Georgia" w:cs="Arial"/>
            <w:color w:val="0644AA"/>
            <w:sz w:val="18"/>
            <w:szCs w:val="18"/>
            <w:u w:val="single"/>
            <w:lang w:eastAsia="es-MX"/>
          </w:rPr>
          <w:t>17</w:t>
        </w:r>
      </w:hyperlink>
      <w:r w:rsidRPr="006D0C99">
        <w:rPr>
          <w:rFonts w:ascii="Georgia" w:eastAsia="Times New Roman" w:hAnsi="Georgia" w:cs="Arial"/>
          <w:color w:val="333333"/>
          <w:sz w:val="18"/>
          <w:szCs w:val="18"/>
          <w:lang w:eastAsia="es-MX"/>
        </w:rPr>
        <w:t> </w:t>
      </w:r>
      <w:hyperlink r:id="rId27" w:anchor="A18" w:history="1">
        <w:r w:rsidRPr="006D0C99">
          <w:rPr>
            <w:rFonts w:ascii="Georgia" w:eastAsia="Times New Roman" w:hAnsi="Georgia" w:cs="Arial"/>
            <w:color w:val="0644AA"/>
            <w:sz w:val="18"/>
            <w:szCs w:val="18"/>
            <w:u w:val="single"/>
            <w:lang w:eastAsia="es-MX"/>
          </w:rPr>
          <w:t>18</w:t>
        </w:r>
      </w:hyperlink>
      <w:r w:rsidRPr="006D0C99">
        <w:rPr>
          <w:rFonts w:ascii="Georgia" w:eastAsia="Times New Roman" w:hAnsi="Georgia" w:cs="Arial"/>
          <w:color w:val="333333"/>
          <w:sz w:val="18"/>
          <w:szCs w:val="18"/>
          <w:lang w:eastAsia="es-MX"/>
        </w:rPr>
        <w:t> </w:t>
      </w:r>
      <w:hyperlink r:id="rId28" w:anchor="A19" w:history="1">
        <w:r w:rsidRPr="006D0C99">
          <w:rPr>
            <w:rFonts w:ascii="Georgia" w:eastAsia="Times New Roman" w:hAnsi="Georgia" w:cs="Arial"/>
            <w:color w:val="0644AA"/>
            <w:sz w:val="18"/>
            <w:szCs w:val="18"/>
            <w:u w:val="single"/>
            <w:lang w:eastAsia="es-MX"/>
          </w:rPr>
          <w:t>19</w:t>
        </w:r>
      </w:hyperlink>
    </w:p>
    <w:p w:rsidR="006D0C99" w:rsidRPr="006D0C99" w:rsidRDefault="006D0C99" w:rsidP="006D0C99">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6D0C99">
        <w:rPr>
          <w:rFonts w:ascii="Georgia" w:eastAsia="Times New Roman" w:hAnsi="Georgia" w:cs="Arial"/>
          <w:b/>
          <w:bCs/>
          <w:color w:val="B92517"/>
          <w:sz w:val="23"/>
          <w:szCs w:val="23"/>
          <w:lang w:eastAsia="es-MX"/>
        </w:rPr>
        <w:t>Preámbulo</w:t>
      </w:r>
    </w:p>
    <w:p w:rsidR="006D0C99" w:rsidRPr="006D0C99" w:rsidRDefault="006D0C99" w:rsidP="006D0C99">
      <w:pPr>
        <w:shd w:val="clear" w:color="auto" w:fill="F3F3F3"/>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La Conferencia General de la Organización Internacional del Trabajo:</w:t>
      </w:r>
    </w:p>
    <w:p w:rsidR="006D0C99" w:rsidRPr="006D0C99" w:rsidRDefault="006D0C99" w:rsidP="006D0C99">
      <w:pPr>
        <w:shd w:val="clear" w:color="auto" w:fill="F3F3F3"/>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Convocada en Ginebra por el Consejo de Administración de la Oficina Internacional del Trabajo, y congregada en dicha ciudad el día 10 junio 1930 en su decimocuarta reunión;</w:t>
      </w:r>
    </w:p>
    <w:p w:rsidR="006D0C99" w:rsidRPr="006D0C99" w:rsidRDefault="006D0C99" w:rsidP="006D0C99">
      <w:pPr>
        <w:shd w:val="clear" w:color="auto" w:fill="F3F3F3"/>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Después de haber decidido adoptar diversas proposiciones relativas a la reglamentación de las horas de trabajo en el comercio y las oficinas, cuestión que está comprendida en el segundo punto del orden del día de la reunión, y</w:t>
      </w:r>
    </w:p>
    <w:p w:rsidR="006D0C99" w:rsidRPr="006D0C99" w:rsidRDefault="006D0C99" w:rsidP="006D0C99">
      <w:pPr>
        <w:shd w:val="clear" w:color="auto" w:fill="F3F3F3"/>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Después de haber decidido que dichas proposiciones revistan la forma de un convenio internacional,</w:t>
      </w:r>
    </w:p>
    <w:p w:rsidR="006D0C99" w:rsidRPr="006D0C99" w:rsidRDefault="006D0C99" w:rsidP="006D0C99">
      <w:pPr>
        <w:shd w:val="clear" w:color="auto" w:fill="F3F3F3"/>
        <w:spacing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adopta, con fecha veintiocho de junio de mil novecientos treinta, el siguiente Convenio, que podrá ser citado como el Convenio sobre las horas de trabajo (comercio y oficinas), 1930, y que será sometido a la ratificación de los Miembros de la Organización Internacional del Trabajo, de acuerdo con las disposiciones de la Constitución de la Organización Internacional del Trabajo:</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6D0C99">
        <w:rPr>
          <w:rFonts w:ascii="Georgia" w:eastAsia="Times New Roman" w:hAnsi="Georgia" w:cs="Arial"/>
          <w:b/>
          <w:bCs/>
          <w:i/>
          <w:iCs/>
          <w:color w:val="333333"/>
          <w:sz w:val="21"/>
          <w:szCs w:val="21"/>
          <w:lang w:eastAsia="es-MX"/>
        </w:rPr>
        <w:t>Artículo 1</w:t>
      </w:r>
    </w:p>
    <w:p w:rsidR="006D0C99" w:rsidRPr="006D0C99" w:rsidRDefault="006D0C99" w:rsidP="006D0C99">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1" w:name="A1P1"/>
      <w:bookmarkEnd w:id="1"/>
      <w:r w:rsidRPr="006D0C99">
        <w:rPr>
          <w:rFonts w:ascii="Georgia" w:eastAsia="Times New Roman" w:hAnsi="Georgia" w:cs="Arial"/>
          <w:color w:val="333333"/>
          <w:sz w:val="18"/>
          <w:szCs w:val="18"/>
          <w:lang w:eastAsia="es-MX"/>
        </w:rPr>
        <w:t>1. El presente Convenio se aplica al personal de los establecimientos públicos o privados siguientes:</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 establecimientos comerciales, oficinas de correos, telégrafos y teléfonos, servicios comerciales de todos los demás establecimientos;</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(b) establecimientos y administraciones cuyo personal efectúe esencialmente trabajos de oficina;</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lastRenderedPageBreak/>
        <w:t>(c) establecimientos que revistan un carácter a la vez comercial e industrial, excepto cuando sean considerados como establecimientos industriales. La autoridad competente determinará, en cada país, la línea de demarcación entre los establecimientos comerciales y aquellos en que se desempeñen esencialmente trabajos de oficina, por una parte, y los establecimientos industriales y agrícolas, por otra.</w:t>
      </w:r>
    </w:p>
    <w:p w:rsidR="006D0C99" w:rsidRPr="006D0C99" w:rsidRDefault="006D0C99" w:rsidP="006D0C99">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2" w:name="A1P2"/>
      <w:bookmarkEnd w:id="2"/>
      <w:r w:rsidRPr="006D0C99">
        <w:rPr>
          <w:rFonts w:ascii="Georgia" w:eastAsia="Times New Roman" w:hAnsi="Georgia" w:cs="Arial"/>
          <w:color w:val="333333"/>
          <w:sz w:val="18"/>
          <w:szCs w:val="18"/>
          <w:lang w:eastAsia="es-MX"/>
        </w:rPr>
        <w:t>2. El Convenio no se aplica al personal de los establecimientos siguientes:</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 establecimientos dedicados al tratamiento u hospitalización de enfermos, lisiados, indigentes o alienados;</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(b) hoteles, restaurantes, pensiones, círculos, cafés y otros establecimientos análogos;</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(c) teatros y otros lugares públicos de diversión. Sin embargo, el Convenio se aplicará al personal de las dependencias de los establecimientos enumerados en los apartados a), b) y c) de este párrafo cuando esas dependencias, si fueran autónomas, estuvieran comprendidas entre los establecimientos a los que se aplica el Convenio.</w:t>
      </w:r>
    </w:p>
    <w:p w:rsidR="006D0C99" w:rsidRPr="006D0C99" w:rsidRDefault="006D0C99" w:rsidP="006D0C99">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3" w:name="A1P3"/>
      <w:bookmarkEnd w:id="3"/>
      <w:r w:rsidRPr="006D0C99">
        <w:rPr>
          <w:rFonts w:ascii="Georgia" w:eastAsia="Times New Roman" w:hAnsi="Georgia" w:cs="Arial"/>
          <w:color w:val="333333"/>
          <w:sz w:val="18"/>
          <w:szCs w:val="18"/>
          <w:lang w:eastAsia="es-MX"/>
        </w:rPr>
        <w:t>3. La autoridad competente de cada país podrá exceptuar de la aplicación del Convenio a:</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 los establecimientos en que estén empleados solamente miembros de la familia del empleador;</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(b) las oficinas públicas en las que el personal empleado actúe como órgano del poder público;</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(c) las personas que desempeñen un cargo de dirección o de confianza;</w:t>
      </w:r>
    </w:p>
    <w:p w:rsidR="006D0C99" w:rsidRPr="006D0C99" w:rsidRDefault="006D0C99" w:rsidP="006D0C99">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(d) los viajantes y representantes, siempre que realicen su trabajo fuera del establecimiento.</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 w:name="A2"/>
      <w:bookmarkEnd w:id="4"/>
      <w:r w:rsidRPr="006D0C99">
        <w:rPr>
          <w:rFonts w:ascii="Georgia" w:eastAsia="Times New Roman" w:hAnsi="Georgia" w:cs="Arial"/>
          <w:b/>
          <w:bCs/>
          <w:i/>
          <w:iCs/>
          <w:color w:val="333333"/>
          <w:sz w:val="21"/>
          <w:szCs w:val="21"/>
          <w:lang w:eastAsia="es-MX"/>
        </w:rPr>
        <w:t>Artículo 2</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 los efectos del presente Convenio, la expresión </w:t>
      </w:r>
      <w:r w:rsidRPr="006D0C99">
        <w:rPr>
          <w:rFonts w:ascii="Georgia" w:eastAsia="Times New Roman" w:hAnsi="Georgia" w:cs="Arial"/>
          <w:b/>
          <w:bCs/>
          <w:i/>
          <w:iCs/>
          <w:color w:val="333333"/>
          <w:sz w:val="18"/>
          <w:szCs w:val="18"/>
          <w:lang w:eastAsia="es-MX"/>
        </w:rPr>
        <w:t>horas de trabajo</w:t>
      </w:r>
      <w:r w:rsidRPr="006D0C99">
        <w:rPr>
          <w:rFonts w:ascii="Georgia" w:eastAsia="Times New Roman" w:hAnsi="Georgia" w:cs="Arial"/>
          <w:color w:val="333333"/>
          <w:sz w:val="18"/>
          <w:szCs w:val="18"/>
          <w:lang w:eastAsia="es-MX"/>
        </w:rPr>
        <w:t> significa el tiempo durante el cual el personal esté a disposición del empleador; estarán excluídos los descansos durante los cuales el personal no se halle a la disposición del empleador.</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 w:name="A3"/>
      <w:bookmarkEnd w:id="5"/>
      <w:r w:rsidRPr="006D0C99">
        <w:rPr>
          <w:rFonts w:ascii="Georgia" w:eastAsia="Times New Roman" w:hAnsi="Georgia" w:cs="Arial"/>
          <w:b/>
          <w:bCs/>
          <w:i/>
          <w:iCs/>
          <w:color w:val="333333"/>
          <w:sz w:val="21"/>
          <w:szCs w:val="21"/>
          <w:lang w:eastAsia="es-MX"/>
        </w:rPr>
        <w:t>Artículo 3</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Las horas de trabajo del personal al que se aplique el presente Convenio no podrán exceder de cuarenta y ocho por semana y ocho por día, reserva de las disposiciones de los artículos siguientes.</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6" w:name="A4"/>
      <w:bookmarkEnd w:id="6"/>
      <w:r w:rsidRPr="006D0C99">
        <w:rPr>
          <w:rFonts w:ascii="Georgia" w:eastAsia="Times New Roman" w:hAnsi="Georgia" w:cs="Arial"/>
          <w:b/>
          <w:bCs/>
          <w:i/>
          <w:iCs/>
          <w:color w:val="333333"/>
          <w:sz w:val="21"/>
          <w:szCs w:val="21"/>
          <w:lang w:eastAsia="es-MX"/>
        </w:rPr>
        <w:t>Artículo 4</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lastRenderedPageBreak/>
        <w:t>Las horas de trabajo por semana previstas en el artículo 3 podrán ser distribuídas de suerte que el trabajo de cada día no exceda de diez horas.</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7" w:name="A5"/>
      <w:bookmarkEnd w:id="7"/>
      <w:r w:rsidRPr="006D0C99">
        <w:rPr>
          <w:rFonts w:ascii="Georgia" w:eastAsia="Times New Roman" w:hAnsi="Georgia" w:cs="Arial"/>
          <w:b/>
          <w:bCs/>
          <w:i/>
          <w:iCs/>
          <w:color w:val="333333"/>
          <w:sz w:val="21"/>
          <w:szCs w:val="21"/>
          <w:lang w:eastAsia="es-MX"/>
        </w:rPr>
        <w:t>Artículo 5</w:t>
      </w:r>
    </w:p>
    <w:p w:rsidR="006D0C99" w:rsidRPr="006D0C99" w:rsidRDefault="006D0C99" w:rsidP="006D0C99">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8" w:name="A5P1"/>
      <w:bookmarkEnd w:id="8"/>
      <w:r w:rsidRPr="006D0C99">
        <w:rPr>
          <w:rFonts w:ascii="Georgia" w:eastAsia="Times New Roman" w:hAnsi="Georgia" w:cs="Arial"/>
          <w:color w:val="333333"/>
          <w:sz w:val="18"/>
          <w:szCs w:val="18"/>
          <w:lang w:eastAsia="es-MX"/>
        </w:rPr>
        <w:t>1. En caso de interrupción general del trabajo motivada por: a) fiestas locales, o b) causas accidentales o de fuerza mayor (averías en las instalaciones, interrupción de la fuerza motriz, del alumbrado, de la calefacción o del agua, siniestros), podrá prolongarse la jornada de trabajo para recuperar las horas de trabajo perdidas, en las condiciones siguientes:</w:t>
      </w:r>
    </w:p>
    <w:p w:rsidR="006D0C99" w:rsidRPr="006D0C99" w:rsidRDefault="006D0C99" w:rsidP="006D0C99">
      <w:pPr>
        <w:numPr>
          <w:ilvl w:val="1"/>
          <w:numId w:val="2"/>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 las recuperaciones no podrán ser autorizadas más que durante treinta días al año y deberán efectuarse dentro de un plazo razonable;</w:t>
      </w:r>
    </w:p>
    <w:p w:rsidR="006D0C99" w:rsidRPr="006D0C99" w:rsidRDefault="006D0C99" w:rsidP="006D0C99">
      <w:pPr>
        <w:numPr>
          <w:ilvl w:val="1"/>
          <w:numId w:val="2"/>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(b) la jornada de trabajo no podrá ser aumentada más de una hora;</w:t>
      </w:r>
    </w:p>
    <w:p w:rsidR="006D0C99" w:rsidRPr="006D0C99" w:rsidRDefault="006D0C99" w:rsidP="006D0C99">
      <w:pPr>
        <w:numPr>
          <w:ilvl w:val="1"/>
          <w:numId w:val="2"/>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(c) la jornada de trabajo no podrá exceder de diez horas.</w:t>
      </w:r>
    </w:p>
    <w:p w:rsidR="006D0C99" w:rsidRPr="006D0C99" w:rsidRDefault="006D0C99" w:rsidP="006D0C99">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9" w:name="A5P2"/>
      <w:bookmarkEnd w:id="9"/>
      <w:r w:rsidRPr="006D0C99">
        <w:rPr>
          <w:rFonts w:ascii="Georgia" w:eastAsia="Times New Roman" w:hAnsi="Georgia" w:cs="Arial"/>
          <w:color w:val="333333"/>
          <w:sz w:val="18"/>
          <w:szCs w:val="18"/>
          <w:lang w:eastAsia="es-MX"/>
        </w:rPr>
        <w:t>2. Deberá notificarse a la autoridad competente la naturaleza, causa y fecha de la interrupción general del trabajo, el número de horas de trabajo perdidas y las modificaciones temporales previstas en el horario.</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0" w:name="A6"/>
      <w:bookmarkEnd w:id="10"/>
      <w:r w:rsidRPr="006D0C99">
        <w:rPr>
          <w:rFonts w:ascii="Georgia" w:eastAsia="Times New Roman" w:hAnsi="Georgia" w:cs="Arial"/>
          <w:b/>
          <w:bCs/>
          <w:i/>
          <w:iCs/>
          <w:color w:val="333333"/>
          <w:sz w:val="21"/>
          <w:szCs w:val="21"/>
          <w:lang w:eastAsia="es-MX"/>
        </w:rPr>
        <w:t>Artículo 6</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Cuando excepcionalmente deba efectuarse el trabajo en condiciones que hagan inaplicables las disposiciones de los artículos 3 y 4, los reglamentos de la autoridad pública podrán autorizar la distribución de las horas de trabajo en un período mayor de una semana, a condición de que la duración media del trabajo, calculada sobre el número de semanas consideradas, no exceda de cuarenta y ocho horas por semana y de que en ningún caso las horas diarias de trabajo excedan de diez.</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7"/>
      <w:bookmarkEnd w:id="11"/>
      <w:r w:rsidRPr="006D0C99">
        <w:rPr>
          <w:rFonts w:ascii="Georgia" w:eastAsia="Times New Roman" w:hAnsi="Georgia" w:cs="Arial"/>
          <w:b/>
          <w:bCs/>
          <w:i/>
          <w:iCs/>
          <w:color w:val="333333"/>
          <w:sz w:val="21"/>
          <w:szCs w:val="21"/>
          <w:lang w:eastAsia="es-MX"/>
        </w:rPr>
        <w:t>Artículo 7</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Los reglamentos de la autoridad pública determinarán:</w:t>
      </w:r>
    </w:p>
    <w:p w:rsidR="006D0C99" w:rsidRPr="006D0C99" w:rsidRDefault="006D0C99" w:rsidP="006D0C99">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2" w:name="A7P1"/>
      <w:bookmarkEnd w:id="12"/>
      <w:r w:rsidRPr="006D0C99">
        <w:rPr>
          <w:rFonts w:ascii="Georgia" w:eastAsia="Times New Roman" w:hAnsi="Georgia" w:cs="Arial"/>
          <w:color w:val="333333"/>
          <w:sz w:val="18"/>
          <w:szCs w:val="18"/>
          <w:lang w:eastAsia="es-MX"/>
        </w:rPr>
        <w:t>1. Las excepciones permanentes que puedan concederse para:</w:t>
      </w:r>
    </w:p>
    <w:p w:rsidR="006D0C99" w:rsidRPr="006D0C99" w:rsidRDefault="006D0C99" w:rsidP="006D0C99">
      <w:pPr>
        <w:numPr>
          <w:ilvl w:val="1"/>
          <w:numId w:val="3"/>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 ciertas clases de personas cuyo trabajo sea intermitente, a causa de la naturaleza del mismo, como, por ejemplo, los conserjes y las personas empleadas en trabajos de vigilancia y conservación de locales y depósitos;</w:t>
      </w:r>
    </w:p>
    <w:p w:rsidR="006D0C99" w:rsidRPr="006D0C99" w:rsidRDefault="006D0C99" w:rsidP="006D0C99">
      <w:pPr>
        <w:numPr>
          <w:ilvl w:val="1"/>
          <w:numId w:val="3"/>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lastRenderedPageBreak/>
        <w:t>(b) las personas directamente empleadas en trabajos preparatorios o complementarios que deban realizarse necesariamente fuera de los límites previstos para las horas de trabajo del resto de las personas empleadas en el establecimiento;</w:t>
      </w:r>
    </w:p>
    <w:p w:rsidR="006D0C99" w:rsidRPr="006D0C99" w:rsidRDefault="006D0C99" w:rsidP="006D0C99">
      <w:pPr>
        <w:numPr>
          <w:ilvl w:val="1"/>
          <w:numId w:val="3"/>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(c) los almacenes u otros establecimientos, cuando la naturaleza del trabajo, la importancia de la población o el número de personas empleadas hagan inaplicables las horas de trabajo fijadas en los artículos 3 y 4.</w:t>
      </w:r>
    </w:p>
    <w:p w:rsidR="006D0C99" w:rsidRPr="006D0C99" w:rsidRDefault="006D0C99" w:rsidP="006D0C99">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3" w:name="A7P2"/>
      <w:bookmarkEnd w:id="13"/>
      <w:r w:rsidRPr="006D0C99">
        <w:rPr>
          <w:rFonts w:ascii="Georgia" w:eastAsia="Times New Roman" w:hAnsi="Georgia" w:cs="Arial"/>
          <w:color w:val="333333"/>
          <w:sz w:val="18"/>
          <w:szCs w:val="18"/>
          <w:lang w:eastAsia="es-MX"/>
        </w:rPr>
        <w:t>2. Las excepciones temporales que puedan concederse en los casos siguientes:</w:t>
      </w:r>
    </w:p>
    <w:p w:rsidR="006D0C99" w:rsidRPr="006D0C99" w:rsidRDefault="006D0C99" w:rsidP="006D0C99">
      <w:pPr>
        <w:numPr>
          <w:ilvl w:val="1"/>
          <w:numId w:val="3"/>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 en caso de accidente o grave peligro de accidente, en caso de fuerza mayor o de trabajos urgentes que deban efectuarse en las máquinas o en las instalaciones, pero solamente en lo indispensable para evitar una grave perturbación en la marcha normal del establecimiento;</w:t>
      </w:r>
    </w:p>
    <w:p w:rsidR="006D0C99" w:rsidRPr="006D0C99" w:rsidRDefault="006D0C99" w:rsidP="006D0C99">
      <w:pPr>
        <w:numPr>
          <w:ilvl w:val="1"/>
          <w:numId w:val="3"/>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(b) para prevenir la pérdida de materias perecederas o evitar que se comprometa el resultado técnico del trabajo;</w:t>
      </w:r>
    </w:p>
    <w:p w:rsidR="006D0C99" w:rsidRPr="006D0C99" w:rsidRDefault="006D0C99" w:rsidP="006D0C99">
      <w:pPr>
        <w:numPr>
          <w:ilvl w:val="1"/>
          <w:numId w:val="3"/>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(c) para permitir trabajos especiales tales como inventarios y balances, vencimientos, liquidaciones y cierres de cuentas de todas clases;</w:t>
      </w:r>
    </w:p>
    <w:p w:rsidR="006D0C99" w:rsidRPr="006D0C99" w:rsidRDefault="006D0C99" w:rsidP="006D0C99">
      <w:pPr>
        <w:numPr>
          <w:ilvl w:val="1"/>
          <w:numId w:val="3"/>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(d) para permitir que los establecimientos hagan frente a los aumentos de trabajo extraordinarios, debidos a circunstancias especiales, siempre que no se pueda normalmente esperar del empleador que recurra a otras medidas.</w:t>
      </w:r>
    </w:p>
    <w:p w:rsidR="006D0C99" w:rsidRPr="006D0C99" w:rsidRDefault="006D0C99" w:rsidP="006D0C99">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4" w:name="A7P3"/>
      <w:bookmarkEnd w:id="14"/>
      <w:r w:rsidRPr="006D0C99">
        <w:rPr>
          <w:rFonts w:ascii="Georgia" w:eastAsia="Times New Roman" w:hAnsi="Georgia" w:cs="Arial"/>
          <w:color w:val="333333"/>
          <w:sz w:val="18"/>
          <w:szCs w:val="18"/>
          <w:lang w:eastAsia="es-MX"/>
        </w:rPr>
        <w:t>3. Salvo en lo que respecta al apartado a) del párrafo 2, los reglamentos establecidos de conformidad con el presente artículo deberán determinar el número de horas de trabajo extraordinarias que podrán permitirse al día, y para las excepciones temporales, al año.</w:t>
      </w:r>
    </w:p>
    <w:p w:rsidR="006D0C99" w:rsidRPr="006D0C99" w:rsidRDefault="006D0C99" w:rsidP="006D0C99">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5" w:name="A7P4"/>
      <w:bookmarkEnd w:id="15"/>
      <w:r w:rsidRPr="006D0C99">
        <w:rPr>
          <w:rFonts w:ascii="Georgia" w:eastAsia="Times New Roman" w:hAnsi="Georgia" w:cs="Arial"/>
          <w:color w:val="333333"/>
          <w:sz w:val="18"/>
          <w:szCs w:val="18"/>
          <w:lang w:eastAsia="es-MX"/>
        </w:rPr>
        <w:t>4. La tasa aplicada al pago de las horas de trabajo adicionales permitidas en virtud de los apartados b), c) y d) del párrafo 2 de este artículo estará aumentada en un veinticinco por ciento en relación con el salario normal.</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6" w:name="A8"/>
      <w:bookmarkEnd w:id="16"/>
      <w:r w:rsidRPr="006D0C99">
        <w:rPr>
          <w:rFonts w:ascii="Georgia" w:eastAsia="Times New Roman" w:hAnsi="Georgia" w:cs="Arial"/>
          <w:b/>
          <w:bCs/>
          <w:i/>
          <w:iCs/>
          <w:color w:val="333333"/>
          <w:sz w:val="21"/>
          <w:szCs w:val="21"/>
          <w:lang w:eastAsia="es-MX"/>
        </w:rPr>
        <w:t>Artículo 8</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Los reglamentos previstos por los artículos 6 y 7 deberán ser dictados previa consulta a las organizaciones interesadas de empleadores y de trabajadores y habida cuenta, especialmente, de los contratos colectivos que puedan existir entre esas organizaciones.</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7" w:name="A9"/>
      <w:bookmarkEnd w:id="17"/>
      <w:r w:rsidRPr="006D0C99">
        <w:rPr>
          <w:rFonts w:ascii="Georgia" w:eastAsia="Times New Roman" w:hAnsi="Georgia" w:cs="Arial"/>
          <w:b/>
          <w:bCs/>
          <w:i/>
          <w:iCs/>
          <w:color w:val="333333"/>
          <w:sz w:val="21"/>
          <w:szCs w:val="21"/>
          <w:lang w:eastAsia="es-MX"/>
        </w:rPr>
        <w:t>Artículo 9</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lastRenderedPageBreak/>
        <w:t>Las disposiciones del presente Convenio podrán suspenderse en cualquier país, por orden del gobierno, en caso de guerra o de acontecimientos que pongan en peligro la seguridad nacional.</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8" w:name="A10"/>
      <w:bookmarkEnd w:id="18"/>
      <w:r w:rsidRPr="006D0C99">
        <w:rPr>
          <w:rFonts w:ascii="Georgia" w:eastAsia="Times New Roman" w:hAnsi="Georgia" w:cs="Arial"/>
          <w:b/>
          <w:bCs/>
          <w:i/>
          <w:iCs/>
          <w:color w:val="333333"/>
          <w:sz w:val="21"/>
          <w:szCs w:val="21"/>
          <w:lang w:eastAsia="es-MX"/>
        </w:rPr>
        <w:t>Artículo 10</w:t>
      </w:r>
    </w:p>
    <w:p w:rsidR="006D0C99" w:rsidRPr="006D0C99" w:rsidRDefault="006D0C99" w:rsidP="006D0C99">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9" w:name="A10P1"/>
      <w:bookmarkEnd w:id="19"/>
      <w:r w:rsidRPr="006D0C99">
        <w:rPr>
          <w:rFonts w:ascii="Georgia" w:eastAsia="Times New Roman" w:hAnsi="Georgia" w:cs="Arial"/>
          <w:color w:val="333333"/>
          <w:sz w:val="18"/>
          <w:szCs w:val="18"/>
          <w:lang w:eastAsia="es-MX"/>
        </w:rPr>
        <w:t>1. Ninguna disposición del presente Convenio menoscabará las costumbres o los acuerdos en virtud de los cuales se trabajen menos horas o se apliquen tasas de remuneración más elevadas que las previstas en este Convenio.</w:t>
      </w:r>
    </w:p>
    <w:p w:rsidR="006D0C99" w:rsidRPr="006D0C99" w:rsidRDefault="006D0C99" w:rsidP="006D0C99">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20" w:name="A10P2"/>
      <w:bookmarkEnd w:id="20"/>
      <w:r w:rsidRPr="006D0C99">
        <w:rPr>
          <w:rFonts w:ascii="Georgia" w:eastAsia="Times New Roman" w:hAnsi="Georgia" w:cs="Arial"/>
          <w:color w:val="333333"/>
          <w:sz w:val="18"/>
          <w:szCs w:val="18"/>
          <w:lang w:eastAsia="es-MX"/>
        </w:rPr>
        <w:t>2. Toda restricción impuesta por el presente Convenio deberá considerarse como una limitación más y nunca como una excepción a las restricciones impuestas por cualquier ley, decreto o reglamento que fije un número de horas de trabajo inferior o una tasa de remuneración más elevada que los previstos en este Convenio.</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1" w:name="A11"/>
      <w:bookmarkEnd w:id="21"/>
      <w:r w:rsidRPr="006D0C99">
        <w:rPr>
          <w:rFonts w:ascii="Georgia" w:eastAsia="Times New Roman" w:hAnsi="Georgia" w:cs="Arial"/>
          <w:b/>
          <w:bCs/>
          <w:i/>
          <w:iCs/>
          <w:color w:val="333333"/>
          <w:sz w:val="21"/>
          <w:szCs w:val="21"/>
          <w:lang w:eastAsia="es-MX"/>
        </w:rPr>
        <w:t>Artículo 11</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 fin de aplicar eficazmente las disposiciones del presente Convenio:</w:t>
      </w:r>
    </w:p>
    <w:p w:rsidR="006D0C99" w:rsidRPr="006D0C99" w:rsidRDefault="006D0C99" w:rsidP="006D0C99">
      <w:pPr>
        <w:numPr>
          <w:ilvl w:val="0"/>
          <w:numId w:val="5"/>
        </w:numPr>
        <w:shd w:val="clear" w:color="auto" w:fill="FFFFFF"/>
        <w:spacing w:after="144" w:line="408" w:lineRule="atLeast"/>
        <w:ind w:left="0"/>
        <w:rPr>
          <w:rFonts w:ascii="Georgia" w:eastAsia="Times New Roman" w:hAnsi="Georgia" w:cs="Arial"/>
          <w:color w:val="333333"/>
          <w:sz w:val="18"/>
          <w:szCs w:val="18"/>
          <w:lang w:eastAsia="es-MX"/>
        </w:rPr>
      </w:pPr>
      <w:bookmarkStart w:id="22" w:name="A11P1"/>
      <w:bookmarkEnd w:id="22"/>
      <w:r w:rsidRPr="006D0C99">
        <w:rPr>
          <w:rFonts w:ascii="Georgia" w:eastAsia="Times New Roman" w:hAnsi="Georgia" w:cs="Arial"/>
          <w:color w:val="333333"/>
          <w:sz w:val="18"/>
          <w:szCs w:val="18"/>
          <w:lang w:eastAsia="es-MX"/>
        </w:rPr>
        <w:t>1. Deberán tomarse las medidas necesarias para garantizar una inspección adecuada.</w:t>
      </w:r>
    </w:p>
    <w:p w:rsidR="006D0C99" w:rsidRPr="006D0C99" w:rsidRDefault="006D0C99" w:rsidP="006D0C99">
      <w:pPr>
        <w:numPr>
          <w:ilvl w:val="0"/>
          <w:numId w:val="5"/>
        </w:numPr>
        <w:shd w:val="clear" w:color="auto" w:fill="FFFFFF"/>
        <w:spacing w:after="144" w:line="408" w:lineRule="atLeast"/>
        <w:ind w:left="0"/>
        <w:rPr>
          <w:rFonts w:ascii="Georgia" w:eastAsia="Times New Roman" w:hAnsi="Georgia" w:cs="Arial"/>
          <w:color w:val="333333"/>
          <w:sz w:val="18"/>
          <w:szCs w:val="18"/>
          <w:lang w:eastAsia="es-MX"/>
        </w:rPr>
      </w:pPr>
      <w:bookmarkStart w:id="23" w:name="A11P2"/>
      <w:bookmarkEnd w:id="23"/>
      <w:r w:rsidRPr="006D0C99">
        <w:rPr>
          <w:rFonts w:ascii="Georgia" w:eastAsia="Times New Roman" w:hAnsi="Georgia" w:cs="Arial"/>
          <w:color w:val="333333"/>
          <w:sz w:val="18"/>
          <w:szCs w:val="18"/>
          <w:lang w:eastAsia="es-MX"/>
        </w:rPr>
        <w:t>2. Cada empleador deberá:</w:t>
      </w:r>
    </w:p>
    <w:p w:rsidR="006D0C99" w:rsidRPr="006D0C99" w:rsidRDefault="006D0C99" w:rsidP="006D0C99">
      <w:pPr>
        <w:numPr>
          <w:ilvl w:val="1"/>
          <w:numId w:val="5"/>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(a) dar a conocer, por medio de avisos fijados de manera visible en el establecimiento o en otro lugar adecuado, o en cualquier otra forma aprobada por la autoridad competente, las horas a que comience y termine la jornada de trabajo o, si el trabajo se efectúa por equipos, las horas a que comience y termine el turno de cada equipo;</w:t>
      </w:r>
    </w:p>
    <w:p w:rsidR="006D0C99" w:rsidRPr="006D0C99" w:rsidRDefault="006D0C99" w:rsidP="006D0C99">
      <w:pPr>
        <w:numPr>
          <w:ilvl w:val="1"/>
          <w:numId w:val="5"/>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(b) dar a conocer, en igual forma, los descansos concedidos al personal que, en virtud del artículo 2, no estén comprendidos en las horas de trabajo;</w:t>
      </w:r>
    </w:p>
    <w:p w:rsidR="006D0C99" w:rsidRPr="006D0C99" w:rsidRDefault="006D0C99" w:rsidP="006D0C99">
      <w:pPr>
        <w:numPr>
          <w:ilvl w:val="1"/>
          <w:numId w:val="5"/>
        </w:numPr>
        <w:shd w:val="clear" w:color="auto" w:fill="FFFFFF"/>
        <w:spacing w:after="144" w:line="408" w:lineRule="atLeast"/>
        <w:ind w:left="480"/>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(c) inscribir en un registro, en la forma aprobada por la autoridad competente, todas las horas de trabajo extraordinarias efectuadas en virtud del párrafo 2 del artículo 7, y el importe de su remuneración.</w:t>
      </w:r>
    </w:p>
    <w:p w:rsidR="006D0C99" w:rsidRPr="006D0C99" w:rsidRDefault="006D0C99" w:rsidP="006D0C99">
      <w:pPr>
        <w:numPr>
          <w:ilvl w:val="0"/>
          <w:numId w:val="5"/>
        </w:numPr>
        <w:shd w:val="clear" w:color="auto" w:fill="FFFFFF"/>
        <w:spacing w:after="144" w:line="408" w:lineRule="atLeast"/>
        <w:ind w:left="0"/>
        <w:rPr>
          <w:rFonts w:ascii="Georgia" w:eastAsia="Times New Roman" w:hAnsi="Georgia" w:cs="Arial"/>
          <w:color w:val="333333"/>
          <w:sz w:val="18"/>
          <w:szCs w:val="18"/>
          <w:lang w:eastAsia="es-MX"/>
        </w:rPr>
      </w:pPr>
      <w:bookmarkStart w:id="24" w:name="A11P3"/>
      <w:bookmarkEnd w:id="24"/>
      <w:r w:rsidRPr="006D0C99">
        <w:rPr>
          <w:rFonts w:ascii="Georgia" w:eastAsia="Times New Roman" w:hAnsi="Georgia" w:cs="Arial"/>
          <w:color w:val="333333"/>
          <w:sz w:val="18"/>
          <w:szCs w:val="18"/>
          <w:lang w:eastAsia="es-MX"/>
        </w:rPr>
        <w:t>3. Será considerado ilegal el hecho de emplear a una persona fuera de las horas de trabajo fijadas en virtud del apartado a) del párrafo 2 o durante las horas fijadas en virtud del apartado b) del párrafo 2 del presente artículo.</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5" w:name="A12"/>
      <w:bookmarkEnd w:id="25"/>
      <w:r w:rsidRPr="006D0C99">
        <w:rPr>
          <w:rFonts w:ascii="Georgia" w:eastAsia="Times New Roman" w:hAnsi="Georgia" w:cs="Arial"/>
          <w:b/>
          <w:bCs/>
          <w:i/>
          <w:iCs/>
          <w:color w:val="333333"/>
          <w:sz w:val="21"/>
          <w:szCs w:val="21"/>
          <w:lang w:eastAsia="es-MX"/>
        </w:rPr>
        <w:t>Artículo 12</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Todo Miembro que ratifique el presente Convenio deberá tomar las medidas necesarias, en forma de sanciones, para que sean aplicadas las disposiciones del Convenio.</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6" w:name="A13"/>
      <w:bookmarkEnd w:id="26"/>
      <w:r w:rsidRPr="006D0C99">
        <w:rPr>
          <w:rFonts w:ascii="Georgia" w:eastAsia="Times New Roman" w:hAnsi="Georgia" w:cs="Arial"/>
          <w:b/>
          <w:bCs/>
          <w:i/>
          <w:iCs/>
          <w:color w:val="333333"/>
          <w:sz w:val="21"/>
          <w:szCs w:val="21"/>
          <w:lang w:eastAsia="es-MX"/>
        </w:rPr>
        <w:lastRenderedPageBreak/>
        <w:t>Artículo 13</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Las ratificaciones formales del presente Convenio, de acuerdo con las condiciones establecidas por la Constitución de la Organización Internacional del Trabajo, serán comunicadas, para su registro, al Director General de la Oficina Internacional del Trabajo.</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7" w:name="A14"/>
      <w:bookmarkEnd w:id="27"/>
      <w:r w:rsidRPr="006D0C99">
        <w:rPr>
          <w:rFonts w:ascii="Georgia" w:eastAsia="Times New Roman" w:hAnsi="Georgia" w:cs="Arial"/>
          <w:b/>
          <w:bCs/>
          <w:i/>
          <w:iCs/>
          <w:color w:val="333333"/>
          <w:sz w:val="21"/>
          <w:szCs w:val="21"/>
          <w:lang w:eastAsia="es-MX"/>
        </w:rPr>
        <w:t>Artículo 14</w:t>
      </w:r>
    </w:p>
    <w:p w:rsidR="006D0C99" w:rsidRPr="006D0C99" w:rsidRDefault="006D0C99" w:rsidP="006D0C99">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8" w:name="A14P1"/>
      <w:bookmarkEnd w:id="28"/>
      <w:r w:rsidRPr="006D0C99">
        <w:rPr>
          <w:rFonts w:ascii="Georgia" w:eastAsia="Times New Roman" w:hAnsi="Georgia" w:cs="Arial"/>
          <w:color w:val="333333"/>
          <w:sz w:val="18"/>
          <w:szCs w:val="18"/>
          <w:lang w:eastAsia="es-MX"/>
        </w:rPr>
        <w:t>1. Este Convenio obligará únicamente a aquellos Miembros cuyas ratificaciones hayan sido registradas en la Oficina Internacional del Trabajo.</w:t>
      </w:r>
    </w:p>
    <w:p w:rsidR="006D0C99" w:rsidRPr="006D0C99" w:rsidRDefault="006D0C99" w:rsidP="006D0C99">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9" w:name="A14P2"/>
      <w:bookmarkEnd w:id="29"/>
      <w:r w:rsidRPr="006D0C99">
        <w:rPr>
          <w:rFonts w:ascii="Georgia" w:eastAsia="Times New Roman" w:hAnsi="Georgia" w:cs="Arial"/>
          <w:color w:val="333333"/>
          <w:sz w:val="18"/>
          <w:szCs w:val="18"/>
          <w:lang w:eastAsia="es-MX"/>
        </w:rPr>
        <w:t>2. Entrará en vigor doce meses después de la fecha en que las ratificaciones de dos Miembros de la Organización Internacional del Trabajo hayan sido registradas por el Director General.</w:t>
      </w:r>
    </w:p>
    <w:p w:rsidR="006D0C99" w:rsidRPr="006D0C99" w:rsidRDefault="006D0C99" w:rsidP="006D0C99">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30" w:name="A14P3"/>
      <w:bookmarkEnd w:id="30"/>
      <w:r w:rsidRPr="006D0C99">
        <w:rPr>
          <w:rFonts w:ascii="Georgia" w:eastAsia="Times New Roman" w:hAnsi="Georgia" w:cs="Arial"/>
          <w:color w:val="333333"/>
          <w:sz w:val="18"/>
          <w:szCs w:val="18"/>
          <w:lang w:eastAsia="es-MX"/>
        </w:rPr>
        <w:t>3. Desde dicho momento, este Convenio entrará en vigor, para cada Miembro, doce meses después de la fecha en que haya sido registrada su ratificación.</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1" w:name="A15"/>
      <w:bookmarkEnd w:id="31"/>
      <w:r w:rsidRPr="006D0C99">
        <w:rPr>
          <w:rFonts w:ascii="Georgia" w:eastAsia="Times New Roman" w:hAnsi="Georgia" w:cs="Arial"/>
          <w:b/>
          <w:bCs/>
          <w:i/>
          <w:iCs/>
          <w:color w:val="333333"/>
          <w:sz w:val="21"/>
          <w:szCs w:val="21"/>
          <w:lang w:eastAsia="es-MX"/>
        </w:rPr>
        <w:t>Artículo 15</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Tan pronto como se hayan registrado en la Oficina Internacional del Trabajo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2" w:name="A16"/>
      <w:bookmarkEnd w:id="32"/>
      <w:r w:rsidRPr="006D0C99">
        <w:rPr>
          <w:rFonts w:ascii="Georgia" w:eastAsia="Times New Roman" w:hAnsi="Georgia" w:cs="Arial"/>
          <w:b/>
          <w:bCs/>
          <w:i/>
          <w:iCs/>
          <w:color w:val="333333"/>
          <w:sz w:val="21"/>
          <w:szCs w:val="21"/>
          <w:lang w:eastAsia="es-MX"/>
        </w:rPr>
        <w:t>Artículo 16</w:t>
      </w:r>
    </w:p>
    <w:p w:rsidR="006D0C99" w:rsidRPr="006D0C99" w:rsidRDefault="006D0C99" w:rsidP="006D0C99">
      <w:pPr>
        <w:numPr>
          <w:ilvl w:val="0"/>
          <w:numId w:val="7"/>
        </w:numPr>
        <w:shd w:val="clear" w:color="auto" w:fill="FFFFFF"/>
        <w:spacing w:after="144" w:line="408" w:lineRule="atLeast"/>
        <w:ind w:left="0"/>
        <w:rPr>
          <w:rFonts w:ascii="Georgia" w:eastAsia="Times New Roman" w:hAnsi="Georgia" w:cs="Arial"/>
          <w:color w:val="333333"/>
          <w:sz w:val="18"/>
          <w:szCs w:val="18"/>
          <w:lang w:eastAsia="es-MX"/>
        </w:rPr>
      </w:pPr>
      <w:bookmarkStart w:id="33" w:name="A16P1"/>
      <w:bookmarkEnd w:id="33"/>
      <w:r w:rsidRPr="006D0C99">
        <w:rPr>
          <w:rFonts w:ascii="Georgia" w:eastAsia="Times New Roman" w:hAnsi="Georgia" w:cs="Arial"/>
          <w:color w:val="333333"/>
          <w:sz w:val="18"/>
          <w:szCs w:val="18"/>
          <w:lang w:eastAsia="es-MX"/>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6D0C99" w:rsidRPr="006D0C99" w:rsidRDefault="006D0C99" w:rsidP="006D0C99">
      <w:pPr>
        <w:numPr>
          <w:ilvl w:val="0"/>
          <w:numId w:val="7"/>
        </w:numPr>
        <w:shd w:val="clear" w:color="auto" w:fill="FFFFFF"/>
        <w:spacing w:after="144" w:line="408" w:lineRule="atLeast"/>
        <w:ind w:left="0"/>
        <w:rPr>
          <w:rFonts w:ascii="Georgia" w:eastAsia="Times New Roman" w:hAnsi="Georgia" w:cs="Arial"/>
          <w:color w:val="333333"/>
          <w:sz w:val="18"/>
          <w:szCs w:val="18"/>
          <w:lang w:eastAsia="es-MX"/>
        </w:rPr>
      </w:pPr>
      <w:bookmarkStart w:id="34" w:name="A16P2"/>
      <w:bookmarkEnd w:id="34"/>
      <w:r w:rsidRPr="006D0C99">
        <w:rPr>
          <w:rFonts w:ascii="Georgia" w:eastAsia="Times New Roman" w:hAnsi="Georgia" w:cs="Arial"/>
          <w:color w:val="333333"/>
          <w:sz w:val="18"/>
          <w:szCs w:val="18"/>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cinco años, y en lo sucesivo podrá denunciar este Convenio a la expiración de cada período de cinco años, en las condiciones previstas en este artículo.</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5" w:name="A17"/>
      <w:bookmarkEnd w:id="35"/>
      <w:r w:rsidRPr="006D0C99">
        <w:rPr>
          <w:rFonts w:ascii="Georgia" w:eastAsia="Times New Roman" w:hAnsi="Georgia" w:cs="Arial"/>
          <w:b/>
          <w:bCs/>
          <w:i/>
          <w:iCs/>
          <w:color w:val="333333"/>
          <w:sz w:val="21"/>
          <w:szCs w:val="21"/>
          <w:lang w:eastAsia="es-MX"/>
        </w:rPr>
        <w:t>Artículo 17</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lastRenderedPageBreak/>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su revisión total o parcial del mismo.</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6" w:name="A18"/>
      <w:bookmarkEnd w:id="36"/>
      <w:r w:rsidRPr="006D0C99">
        <w:rPr>
          <w:rFonts w:ascii="Georgia" w:eastAsia="Times New Roman" w:hAnsi="Georgia" w:cs="Arial"/>
          <w:b/>
          <w:bCs/>
          <w:i/>
          <w:iCs/>
          <w:color w:val="333333"/>
          <w:sz w:val="21"/>
          <w:szCs w:val="21"/>
          <w:lang w:eastAsia="es-MX"/>
        </w:rPr>
        <w:t>Artículo 18</w:t>
      </w:r>
    </w:p>
    <w:p w:rsidR="006D0C99" w:rsidRPr="006D0C99" w:rsidRDefault="006D0C99" w:rsidP="006D0C99">
      <w:pPr>
        <w:numPr>
          <w:ilvl w:val="0"/>
          <w:numId w:val="8"/>
        </w:numPr>
        <w:shd w:val="clear" w:color="auto" w:fill="FFFFFF"/>
        <w:spacing w:after="144" w:line="408" w:lineRule="atLeast"/>
        <w:ind w:left="0"/>
        <w:rPr>
          <w:rFonts w:ascii="Georgia" w:eastAsia="Times New Roman" w:hAnsi="Georgia" w:cs="Arial"/>
          <w:color w:val="333333"/>
          <w:sz w:val="18"/>
          <w:szCs w:val="18"/>
          <w:lang w:eastAsia="es-MX"/>
        </w:rPr>
      </w:pPr>
      <w:bookmarkStart w:id="37" w:name="A18P1"/>
      <w:bookmarkEnd w:id="37"/>
      <w:r w:rsidRPr="006D0C99">
        <w:rPr>
          <w:rFonts w:ascii="Georgia" w:eastAsia="Times New Roman" w:hAnsi="Georgia" w:cs="Arial"/>
          <w:color w:val="333333"/>
          <w:sz w:val="18"/>
          <w:szCs w:val="18"/>
          <w:lang w:eastAsia="es-MX"/>
        </w:rPr>
        <w:t>1. En caso de que la Conferencia adopte un nuevo convenio que implique una revisión total o parcial del presente, la ratificación por un Miembro del nuevo convenio revisor implicará, ipso jure, la denuncia de este Convenio sin ninguna demora, no obstante las disposiciones contenidas en el artículo 16, siempre que el nuevo convenio revisor haya entrado en vigor.</w:t>
      </w:r>
    </w:p>
    <w:p w:rsidR="006D0C99" w:rsidRPr="006D0C99" w:rsidRDefault="006D0C99" w:rsidP="006D0C99">
      <w:pPr>
        <w:numPr>
          <w:ilvl w:val="0"/>
          <w:numId w:val="8"/>
        </w:numPr>
        <w:shd w:val="clear" w:color="auto" w:fill="FFFFFF"/>
        <w:spacing w:after="144" w:line="408" w:lineRule="atLeast"/>
        <w:ind w:left="0"/>
        <w:rPr>
          <w:rFonts w:ascii="Georgia" w:eastAsia="Times New Roman" w:hAnsi="Georgia" w:cs="Arial"/>
          <w:color w:val="333333"/>
          <w:sz w:val="18"/>
          <w:szCs w:val="18"/>
          <w:lang w:eastAsia="es-MX"/>
        </w:rPr>
      </w:pPr>
      <w:bookmarkStart w:id="38" w:name="A18P2"/>
      <w:bookmarkEnd w:id="38"/>
      <w:r w:rsidRPr="006D0C99">
        <w:rPr>
          <w:rFonts w:ascii="Georgia" w:eastAsia="Times New Roman" w:hAnsi="Georgia" w:cs="Arial"/>
          <w:color w:val="333333"/>
          <w:sz w:val="18"/>
          <w:szCs w:val="18"/>
          <w:lang w:eastAsia="es-MX"/>
        </w:rPr>
        <w:t>2. A partir de la fecha en que entre en vigor el nuevo convenio revisor, el presente Convenio cesará de estar abierto a la ratificación por los Miembros.</w:t>
      </w:r>
    </w:p>
    <w:p w:rsidR="006D0C99" w:rsidRPr="006D0C99" w:rsidRDefault="006D0C99" w:rsidP="006D0C99">
      <w:pPr>
        <w:numPr>
          <w:ilvl w:val="0"/>
          <w:numId w:val="8"/>
        </w:numPr>
        <w:shd w:val="clear" w:color="auto" w:fill="FFFFFF"/>
        <w:spacing w:after="144" w:line="408" w:lineRule="atLeast"/>
        <w:ind w:left="0"/>
        <w:rPr>
          <w:rFonts w:ascii="Georgia" w:eastAsia="Times New Roman" w:hAnsi="Georgia" w:cs="Arial"/>
          <w:color w:val="333333"/>
          <w:sz w:val="18"/>
          <w:szCs w:val="18"/>
          <w:lang w:eastAsia="es-MX"/>
        </w:rPr>
      </w:pPr>
      <w:bookmarkStart w:id="39" w:name="A18P3"/>
      <w:bookmarkEnd w:id="39"/>
      <w:r w:rsidRPr="006D0C99">
        <w:rPr>
          <w:rFonts w:ascii="Georgia" w:eastAsia="Times New Roman" w:hAnsi="Georgia" w:cs="Arial"/>
          <w:color w:val="333333"/>
          <w:sz w:val="18"/>
          <w:szCs w:val="18"/>
          <w:lang w:eastAsia="es-MX"/>
        </w:rPr>
        <w:t>3. Sin embargo, este Convenio continuará en vigor, en su forma y contenido actuales, para los Miembros que lo hayan ratificado y no ratifiquen el convenio revisor.</w:t>
      </w:r>
    </w:p>
    <w:p w:rsidR="006D0C99" w:rsidRPr="006D0C99" w:rsidRDefault="006D0C99" w:rsidP="006D0C99">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0" w:name="A19"/>
      <w:bookmarkEnd w:id="40"/>
      <w:r w:rsidRPr="006D0C99">
        <w:rPr>
          <w:rFonts w:ascii="Georgia" w:eastAsia="Times New Roman" w:hAnsi="Georgia" w:cs="Arial"/>
          <w:b/>
          <w:bCs/>
          <w:i/>
          <w:iCs/>
          <w:color w:val="333333"/>
          <w:sz w:val="21"/>
          <w:szCs w:val="21"/>
          <w:lang w:eastAsia="es-MX"/>
        </w:rPr>
        <w:t>Artículo 19</w:t>
      </w:r>
    </w:p>
    <w:p w:rsidR="006D0C99" w:rsidRPr="006D0C99" w:rsidRDefault="006D0C99" w:rsidP="006D0C99">
      <w:pPr>
        <w:shd w:val="clear" w:color="auto" w:fill="FFFFFF"/>
        <w:spacing w:after="240" w:line="408" w:lineRule="atLeast"/>
        <w:rPr>
          <w:rFonts w:ascii="Georgia" w:eastAsia="Times New Roman" w:hAnsi="Georgia" w:cs="Arial"/>
          <w:color w:val="333333"/>
          <w:sz w:val="18"/>
          <w:szCs w:val="18"/>
          <w:lang w:eastAsia="es-MX"/>
        </w:rPr>
      </w:pPr>
      <w:r w:rsidRPr="006D0C99">
        <w:rPr>
          <w:rFonts w:ascii="Georgia" w:eastAsia="Times New Roman" w:hAnsi="Georgia" w:cs="Arial"/>
          <w:color w:val="333333"/>
          <w:sz w:val="18"/>
          <w:szCs w:val="18"/>
          <w:lang w:eastAsia="es-MX"/>
        </w:rPr>
        <w:t>Las versiones inglesa y francesa del texto de este Convenio son igualmente auténticas.</w:t>
      </w:r>
    </w:p>
    <w:p w:rsidR="00E852BB" w:rsidRDefault="00E852BB">
      <w:bookmarkStart w:id="41" w:name="_GoBack"/>
      <w:bookmarkEnd w:id="41"/>
    </w:p>
    <w:sectPr w:rsidR="00E852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358"/>
    <w:multiLevelType w:val="multilevel"/>
    <w:tmpl w:val="A316F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F39"/>
    <w:multiLevelType w:val="multilevel"/>
    <w:tmpl w:val="93164B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E3C99"/>
    <w:multiLevelType w:val="multilevel"/>
    <w:tmpl w:val="11900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B0AD7"/>
    <w:multiLevelType w:val="multilevel"/>
    <w:tmpl w:val="34DC3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6E70"/>
    <w:multiLevelType w:val="multilevel"/>
    <w:tmpl w:val="0268CF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45798"/>
    <w:multiLevelType w:val="multilevel"/>
    <w:tmpl w:val="46386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32DFC"/>
    <w:multiLevelType w:val="multilevel"/>
    <w:tmpl w:val="AE9C11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D6A9A"/>
    <w:multiLevelType w:val="multilevel"/>
    <w:tmpl w:val="A7C001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0"/>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6D0C99"/>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semiHidden/>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30_de.htm" TargetMode="External"/><Relationship Id="rId13" Type="http://schemas.openxmlformats.org/officeDocument/2006/relationships/hyperlink" Target="https://www.ilo.org/dyn/normlex/es/f?p=1000:12100:0::NO::P12100_INSTRUMENT_ID,P12100_LANG_CODE:312175,es:NO" TargetMode="External"/><Relationship Id="rId18" Type="http://schemas.openxmlformats.org/officeDocument/2006/relationships/hyperlink" Target="https://www.ilo.org/dyn/normlex/es/f?p=1000:12100:0::NO::P12100_INSTRUMENT_ID,P12100_LANG_CODE:312175,es:NO" TargetMode="External"/><Relationship Id="rId26" Type="http://schemas.openxmlformats.org/officeDocument/2006/relationships/hyperlink" Target="https://www.ilo.org/dyn/normlex/es/f?p=1000:12100:0::NO::P12100_INSTRUMENT_ID,P12100_LANG_CODE:312175,es:NO" TargetMode="External"/><Relationship Id="rId3" Type="http://schemas.openxmlformats.org/officeDocument/2006/relationships/settings" Target="settings.xml"/><Relationship Id="rId21" Type="http://schemas.openxmlformats.org/officeDocument/2006/relationships/hyperlink" Target="https://www.ilo.org/dyn/normlex/es/f?p=1000:12100:0::NO::P12100_INSTRUMENT_ID,P12100_LANG_CODE:312175,es:NO" TargetMode="External"/><Relationship Id="rId7" Type="http://schemas.openxmlformats.org/officeDocument/2006/relationships/hyperlink" Target="http://www.ilo.org/wcmsp5/groups/public/---ed_norm/---normes/documents/normativeinstrument/wcms_c030_ar.pdf" TargetMode="External"/><Relationship Id="rId12" Type="http://schemas.openxmlformats.org/officeDocument/2006/relationships/hyperlink" Target="https://www.ilo.org/dyn/normlex/es/f?p=1000:12100:0::NO::P12100_INSTRUMENT_ID,P12100_LANG_CODE:312175,es:NO" TargetMode="External"/><Relationship Id="rId17" Type="http://schemas.openxmlformats.org/officeDocument/2006/relationships/hyperlink" Target="https://www.ilo.org/dyn/normlex/es/f?p=1000:12100:0::NO::P12100_INSTRUMENT_ID,P12100_LANG_CODE:312175,es:NO" TargetMode="External"/><Relationship Id="rId25" Type="http://schemas.openxmlformats.org/officeDocument/2006/relationships/hyperlink" Target="https://www.ilo.org/dyn/normlex/es/f?p=1000:12100:0::NO::P12100_INSTRUMENT_ID,P12100_LANG_CODE:312175,es:NO" TargetMode="External"/><Relationship Id="rId2" Type="http://schemas.openxmlformats.org/officeDocument/2006/relationships/styles" Target="styles.xml"/><Relationship Id="rId16" Type="http://schemas.openxmlformats.org/officeDocument/2006/relationships/hyperlink" Target="https://www.ilo.org/dyn/normlex/es/f?p=1000:12100:0::NO::P12100_INSTRUMENT_ID,P12100_LANG_CODE:312175,es:NO" TargetMode="External"/><Relationship Id="rId20" Type="http://schemas.openxmlformats.org/officeDocument/2006/relationships/hyperlink" Target="https://www.ilo.org/dyn/normlex/es/f?p=1000:12100:0::NO::P12100_INSTRUMENT_ID,P12100_LANG_CODE:312175,es:N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75,fr:NO" TargetMode="External"/><Relationship Id="rId11" Type="http://schemas.openxmlformats.org/officeDocument/2006/relationships/hyperlink" Target="https://www.ilo.org/dyn/normlex/es/f?p=1000:12100:0::NO::P12100_INSTRUMENT_ID,P12100_LANG_CODE:312175,es:NO" TargetMode="External"/><Relationship Id="rId24" Type="http://schemas.openxmlformats.org/officeDocument/2006/relationships/hyperlink" Target="https://www.ilo.org/dyn/normlex/es/f?p=1000:12100:0::NO::P12100_INSTRUMENT_ID,P12100_LANG_CODE:312175,es:NO" TargetMode="External"/><Relationship Id="rId5" Type="http://schemas.openxmlformats.org/officeDocument/2006/relationships/hyperlink" Target="https://www.ilo.org/dyn/normlex/es/f?p=1000:12100:0::NO::P12100_INSTRUMENT_ID,P12100_LANG_CODE:312175,en:NO" TargetMode="External"/><Relationship Id="rId15" Type="http://schemas.openxmlformats.org/officeDocument/2006/relationships/hyperlink" Target="https://www.ilo.org/dyn/normlex/es/f?p=1000:12100:0::NO::P12100_INSTRUMENT_ID,P12100_LANG_CODE:312175,es:NO" TargetMode="External"/><Relationship Id="rId23" Type="http://schemas.openxmlformats.org/officeDocument/2006/relationships/hyperlink" Target="https://www.ilo.org/dyn/normlex/es/f?p=1000:12100:0::NO::P12100_INSTRUMENT_ID,P12100_LANG_CODE:312175,es:NO" TargetMode="External"/><Relationship Id="rId28" Type="http://schemas.openxmlformats.org/officeDocument/2006/relationships/hyperlink" Target="https://www.ilo.org/dyn/normlex/es/f?p=1000:12100:0::NO::P12100_INSTRUMENT_ID,P12100_LANG_CODE:312175,es:NO" TargetMode="External"/><Relationship Id="rId10" Type="http://schemas.openxmlformats.org/officeDocument/2006/relationships/hyperlink" Target="https://www.ilo.org/dyn/normlex/es/f?p=1000:12100:0::NO::P12100_INSTRUMENT_ID,P12100_LANG_CODE:312175,es:NO" TargetMode="External"/><Relationship Id="rId19" Type="http://schemas.openxmlformats.org/officeDocument/2006/relationships/hyperlink" Target="https://www.ilo.org/dyn/normlex/es/f?p=1000:12100:0::NO::P12100_INSTRUMENT_ID,P12100_LANG_CODE:312175,es:NO"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30_ru.htm" TargetMode="External"/><Relationship Id="rId14" Type="http://schemas.openxmlformats.org/officeDocument/2006/relationships/hyperlink" Target="https://www.ilo.org/dyn/normlex/es/f?p=1000:12100:0::NO::P12100_INSTRUMENT_ID,P12100_LANG_CODE:312175,es:NO" TargetMode="External"/><Relationship Id="rId22" Type="http://schemas.openxmlformats.org/officeDocument/2006/relationships/hyperlink" Target="https://www.ilo.org/dyn/normlex/es/f?p=1000:12100:0::NO::P12100_INSTRUMENT_ID,P12100_LANG_CODE:312175,es:NO" TargetMode="External"/><Relationship Id="rId27" Type="http://schemas.openxmlformats.org/officeDocument/2006/relationships/hyperlink" Target="https://www.ilo.org/dyn/normlex/es/f?p=1000:12100:0::NO::P12100_INSTRUMENT_ID,P12100_LANG_CODE:312175,es:NO"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2421</Words>
  <Characters>13317</Characters>
  <Application>Microsoft Office Word</Application>
  <DocSecurity>0</DocSecurity>
  <Lines>110</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dcterms:created xsi:type="dcterms:W3CDTF">2023-01-14T00:48:00Z</dcterms:created>
  <dcterms:modified xsi:type="dcterms:W3CDTF">2023-01-14T00:48:00Z</dcterms:modified>
</cp:coreProperties>
</file>