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2D8" w:rsidRPr="008112D8" w:rsidRDefault="008112D8" w:rsidP="008112D8">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bookmarkStart w:id="0" w:name="_GoBack"/>
      <w:bookmarkEnd w:id="0"/>
      <w:r w:rsidRPr="008112D8">
        <w:rPr>
          <w:rFonts w:ascii="Georgia" w:eastAsia="Times New Roman" w:hAnsi="Georgia" w:cs="Arial"/>
          <w:b/>
          <w:bCs/>
          <w:color w:val="B92517"/>
          <w:spacing w:val="-5"/>
          <w:kern w:val="36"/>
          <w:sz w:val="58"/>
          <w:szCs w:val="58"/>
          <w:lang w:eastAsia="es-MX"/>
        </w:rPr>
        <w:t>C045 - Convenio sobre el trabajo subterráneo (mujeres), 1935 (núm. 45)</w:t>
      </w:r>
    </w:p>
    <w:p w:rsidR="008112D8" w:rsidRPr="008112D8" w:rsidRDefault="008112D8" w:rsidP="008112D8">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8112D8">
        <w:rPr>
          <w:rFonts w:ascii="Georgia" w:eastAsia="Times New Roman" w:hAnsi="Georgia" w:cs="Arial"/>
          <w:b/>
          <w:bCs/>
          <w:color w:val="B92517"/>
          <w:sz w:val="23"/>
          <w:szCs w:val="23"/>
          <w:lang w:eastAsia="es-MX"/>
        </w:rPr>
        <w:t>Preámbulo</w:t>
      </w:r>
    </w:p>
    <w:p w:rsidR="008112D8" w:rsidRPr="008112D8" w:rsidRDefault="008112D8" w:rsidP="008112D8">
      <w:pPr>
        <w:shd w:val="clear" w:color="auto" w:fill="F3F3F3"/>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La Conferencia General de la Organización Internacional del Trabajo:</w:t>
      </w:r>
    </w:p>
    <w:p w:rsidR="008112D8" w:rsidRPr="008112D8" w:rsidRDefault="008112D8" w:rsidP="008112D8">
      <w:pPr>
        <w:shd w:val="clear" w:color="auto" w:fill="F3F3F3"/>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Convocada en Ginebra por el Consejo de Administración de la Oficina Internacional del Trabajo, y congregada en dicha ciudad el 4 junio 1935 en su decimonovena reunión;</w:t>
      </w:r>
    </w:p>
    <w:p w:rsidR="008112D8" w:rsidRPr="008112D8" w:rsidRDefault="008112D8" w:rsidP="008112D8">
      <w:pPr>
        <w:shd w:val="clear" w:color="auto" w:fill="F3F3F3"/>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Después de haber decidido adoptar diversas proposiciones relativas al empleo de las mujeres en los trabajos subterráneos de toda clase de minas, cuestión que constituye el segundo punto del orden del día de la reunión, y</w:t>
      </w:r>
    </w:p>
    <w:p w:rsidR="008112D8" w:rsidRPr="008112D8" w:rsidRDefault="008112D8" w:rsidP="008112D8">
      <w:pPr>
        <w:shd w:val="clear" w:color="auto" w:fill="F3F3F3"/>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Después de haber decidido que dichas proposiciones revistan la forma de un convenio internacional,</w:t>
      </w:r>
    </w:p>
    <w:p w:rsidR="008112D8" w:rsidRPr="008112D8" w:rsidRDefault="008112D8" w:rsidP="008112D8">
      <w:pPr>
        <w:shd w:val="clear" w:color="auto" w:fill="F3F3F3"/>
        <w:spacing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adopta, con fecha veintiuno de junio de mil novecientos treinta y cinco, el siguiente Convenio, que podrá ser citado como el Convenio sobre el trabajo subterráneo (mujeres), 1935:</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1" w:name="A1"/>
      <w:bookmarkEnd w:id="1"/>
      <w:r w:rsidRPr="008112D8">
        <w:rPr>
          <w:rFonts w:ascii="Arial" w:eastAsia="Times New Roman" w:hAnsi="Arial" w:cs="Arial"/>
          <w:b/>
          <w:bCs/>
          <w:i/>
          <w:iCs/>
          <w:color w:val="333333"/>
          <w:sz w:val="24"/>
          <w:szCs w:val="24"/>
          <w:lang w:eastAsia="es-MX"/>
        </w:rPr>
        <w:t>Artículo 1</w:t>
      </w:r>
    </w:p>
    <w:p w:rsidR="008112D8" w:rsidRPr="008112D8" w:rsidRDefault="008112D8" w:rsidP="008112D8">
      <w:pPr>
        <w:shd w:val="clear" w:color="auto" w:fill="FFFFFF"/>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A los efectos del presente Convenio, el término </w:t>
      </w:r>
      <w:r w:rsidRPr="008112D8">
        <w:rPr>
          <w:rFonts w:ascii="Arial" w:eastAsia="Times New Roman" w:hAnsi="Arial" w:cs="Arial"/>
          <w:b/>
          <w:bCs/>
          <w:i/>
          <w:iCs/>
          <w:color w:val="333333"/>
          <w:sz w:val="24"/>
          <w:szCs w:val="24"/>
          <w:lang w:eastAsia="es-MX"/>
        </w:rPr>
        <w:t>mina</w:t>
      </w:r>
      <w:r w:rsidRPr="008112D8">
        <w:rPr>
          <w:rFonts w:ascii="Arial" w:eastAsia="Times New Roman" w:hAnsi="Arial" w:cs="Arial"/>
          <w:color w:val="333333"/>
          <w:sz w:val="24"/>
          <w:szCs w:val="24"/>
          <w:lang w:eastAsia="es-MX"/>
        </w:rPr>
        <w:t> comprende cualquier empresa, pública o privada, dedicada a la extracción de sustancias situadas bajo la superficie de la tierra.</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2" w:name="A2"/>
      <w:bookmarkEnd w:id="2"/>
      <w:r w:rsidRPr="008112D8">
        <w:rPr>
          <w:rFonts w:ascii="Arial" w:eastAsia="Times New Roman" w:hAnsi="Arial" w:cs="Arial"/>
          <w:b/>
          <w:bCs/>
          <w:i/>
          <w:iCs/>
          <w:color w:val="333333"/>
          <w:sz w:val="24"/>
          <w:szCs w:val="24"/>
          <w:lang w:eastAsia="es-MX"/>
        </w:rPr>
        <w:t>Artículo 2</w:t>
      </w:r>
    </w:p>
    <w:p w:rsidR="008112D8" w:rsidRPr="008112D8" w:rsidRDefault="008112D8" w:rsidP="008112D8">
      <w:pPr>
        <w:shd w:val="clear" w:color="auto" w:fill="FFFFFF"/>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En los trabajos subterráneos de las minas no podrá estar empleada ninguna persona de sexo femenino, sea cual fuere su edad.</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3" w:name="A3"/>
      <w:bookmarkEnd w:id="3"/>
      <w:r w:rsidRPr="008112D8">
        <w:rPr>
          <w:rFonts w:ascii="Arial" w:eastAsia="Times New Roman" w:hAnsi="Arial" w:cs="Arial"/>
          <w:b/>
          <w:bCs/>
          <w:i/>
          <w:iCs/>
          <w:color w:val="333333"/>
          <w:sz w:val="24"/>
          <w:szCs w:val="24"/>
          <w:lang w:eastAsia="es-MX"/>
        </w:rPr>
        <w:t>Artículo 3</w:t>
      </w:r>
    </w:p>
    <w:p w:rsidR="008112D8" w:rsidRPr="008112D8" w:rsidRDefault="008112D8" w:rsidP="008112D8">
      <w:pPr>
        <w:shd w:val="clear" w:color="auto" w:fill="FFFFFF"/>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lastRenderedPageBreak/>
        <w:t>La legislación nacional podrá exceptuar de esta prohibición:</w:t>
      </w:r>
    </w:p>
    <w:p w:rsidR="008112D8" w:rsidRPr="008112D8" w:rsidRDefault="008112D8" w:rsidP="008112D8">
      <w:pPr>
        <w:numPr>
          <w:ilvl w:val="0"/>
          <w:numId w:val="32"/>
        </w:numPr>
        <w:shd w:val="clear" w:color="auto" w:fill="FFFFFF"/>
        <w:spacing w:after="144" w:line="408" w:lineRule="atLeast"/>
        <w:ind w:left="480"/>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(a) a las mujeres que ocupen un cargo de dirección y no realicen un trabajo manual;</w:t>
      </w:r>
    </w:p>
    <w:p w:rsidR="008112D8" w:rsidRPr="008112D8" w:rsidRDefault="008112D8" w:rsidP="008112D8">
      <w:pPr>
        <w:numPr>
          <w:ilvl w:val="0"/>
          <w:numId w:val="32"/>
        </w:numPr>
        <w:shd w:val="clear" w:color="auto" w:fill="FFFFFF"/>
        <w:spacing w:after="144" w:line="408" w:lineRule="atLeast"/>
        <w:ind w:left="480"/>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(b) a las mujeres empleadas en servicios de sanidad y en servicios sociales;</w:t>
      </w:r>
    </w:p>
    <w:p w:rsidR="008112D8" w:rsidRPr="008112D8" w:rsidRDefault="008112D8" w:rsidP="008112D8">
      <w:pPr>
        <w:numPr>
          <w:ilvl w:val="0"/>
          <w:numId w:val="32"/>
        </w:numPr>
        <w:shd w:val="clear" w:color="auto" w:fill="FFFFFF"/>
        <w:spacing w:after="144" w:line="408" w:lineRule="atLeast"/>
        <w:ind w:left="480"/>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(c) a las mujeres que, durante sus estudios, realicen prácticas en la parte subterránea de una mina, a los efectos de la formación profesional;</w:t>
      </w:r>
    </w:p>
    <w:p w:rsidR="008112D8" w:rsidRPr="008112D8" w:rsidRDefault="008112D8" w:rsidP="008112D8">
      <w:pPr>
        <w:numPr>
          <w:ilvl w:val="0"/>
          <w:numId w:val="32"/>
        </w:numPr>
        <w:shd w:val="clear" w:color="auto" w:fill="FFFFFF"/>
        <w:spacing w:after="144" w:line="408" w:lineRule="atLeast"/>
        <w:ind w:left="480"/>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(d) a cualquier otra mujer que ocasionalmente tenga que bajar a la parte subterránea de una mina, en el ejercicio de una profesión que no sea de carácter manual.</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4" w:name="A4"/>
      <w:bookmarkEnd w:id="4"/>
      <w:r w:rsidRPr="008112D8">
        <w:rPr>
          <w:rFonts w:ascii="Arial" w:eastAsia="Times New Roman" w:hAnsi="Arial" w:cs="Arial"/>
          <w:b/>
          <w:bCs/>
          <w:i/>
          <w:iCs/>
          <w:color w:val="333333"/>
          <w:sz w:val="24"/>
          <w:szCs w:val="24"/>
          <w:lang w:eastAsia="es-MX"/>
        </w:rPr>
        <w:t>Artículo 4</w:t>
      </w:r>
    </w:p>
    <w:p w:rsidR="008112D8" w:rsidRPr="008112D8" w:rsidRDefault="008112D8" w:rsidP="008112D8">
      <w:pPr>
        <w:shd w:val="clear" w:color="auto" w:fill="FFFFFF"/>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Las ratificaciones formales del presente Convenio serán comunicadas, para su registro, al Director General de la Oficina Internacional del Trabajo.</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5" w:name="A5"/>
      <w:bookmarkEnd w:id="5"/>
      <w:r w:rsidRPr="008112D8">
        <w:rPr>
          <w:rFonts w:ascii="Arial" w:eastAsia="Times New Roman" w:hAnsi="Arial" w:cs="Arial"/>
          <w:b/>
          <w:bCs/>
          <w:i/>
          <w:iCs/>
          <w:color w:val="333333"/>
          <w:sz w:val="24"/>
          <w:szCs w:val="24"/>
          <w:lang w:eastAsia="es-MX"/>
        </w:rPr>
        <w:t>Artículo 5</w:t>
      </w:r>
    </w:p>
    <w:p w:rsidR="008112D8" w:rsidRPr="008112D8" w:rsidRDefault="008112D8" w:rsidP="008112D8">
      <w:pPr>
        <w:numPr>
          <w:ilvl w:val="0"/>
          <w:numId w:val="33"/>
        </w:numPr>
        <w:shd w:val="clear" w:color="auto" w:fill="FFFFFF"/>
        <w:spacing w:after="144" w:line="408" w:lineRule="atLeast"/>
        <w:ind w:left="0"/>
        <w:rPr>
          <w:rFonts w:ascii="Arial" w:eastAsia="Times New Roman" w:hAnsi="Arial" w:cs="Arial"/>
          <w:color w:val="333333"/>
          <w:sz w:val="24"/>
          <w:szCs w:val="24"/>
          <w:lang w:eastAsia="es-MX"/>
        </w:rPr>
      </w:pPr>
      <w:bookmarkStart w:id="6" w:name="A5P1"/>
      <w:bookmarkEnd w:id="6"/>
      <w:r w:rsidRPr="008112D8">
        <w:rPr>
          <w:rFonts w:ascii="Arial" w:eastAsia="Times New Roman" w:hAnsi="Arial" w:cs="Arial"/>
          <w:color w:val="333333"/>
          <w:sz w:val="24"/>
          <w:szCs w:val="24"/>
          <w:lang w:eastAsia="es-MX"/>
        </w:rPr>
        <w:t>1. Este Convenio obligará únicamente a aquellos Miembros de la Organización Internacional del Trabajo cuyas ratificaciones haya registrado el Director General.</w:t>
      </w:r>
    </w:p>
    <w:p w:rsidR="008112D8" w:rsidRPr="008112D8" w:rsidRDefault="008112D8" w:rsidP="008112D8">
      <w:pPr>
        <w:numPr>
          <w:ilvl w:val="0"/>
          <w:numId w:val="33"/>
        </w:numPr>
        <w:shd w:val="clear" w:color="auto" w:fill="FFFFFF"/>
        <w:spacing w:after="144" w:line="408" w:lineRule="atLeast"/>
        <w:ind w:left="0"/>
        <w:rPr>
          <w:rFonts w:ascii="Arial" w:eastAsia="Times New Roman" w:hAnsi="Arial" w:cs="Arial"/>
          <w:color w:val="333333"/>
          <w:sz w:val="24"/>
          <w:szCs w:val="24"/>
          <w:lang w:eastAsia="es-MX"/>
        </w:rPr>
      </w:pPr>
      <w:bookmarkStart w:id="7" w:name="A5P2"/>
      <w:bookmarkEnd w:id="7"/>
      <w:r w:rsidRPr="008112D8">
        <w:rPr>
          <w:rFonts w:ascii="Arial" w:eastAsia="Times New Roman" w:hAnsi="Arial" w:cs="Arial"/>
          <w:color w:val="333333"/>
          <w:sz w:val="24"/>
          <w:szCs w:val="24"/>
          <w:lang w:eastAsia="es-MX"/>
        </w:rPr>
        <w:t>2. Entrará en vigor doce meses después de la fecha en que las ratificaciones de dos Miembros hayan sido registradas por el Director General.</w:t>
      </w:r>
    </w:p>
    <w:p w:rsidR="008112D8" w:rsidRPr="008112D8" w:rsidRDefault="008112D8" w:rsidP="008112D8">
      <w:pPr>
        <w:numPr>
          <w:ilvl w:val="0"/>
          <w:numId w:val="33"/>
        </w:numPr>
        <w:shd w:val="clear" w:color="auto" w:fill="FFFFFF"/>
        <w:spacing w:after="144" w:line="408" w:lineRule="atLeast"/>
        <w:ind w:left="0"/>
        <w:rPr>
          <w:rFonts w:ascii="Arial" w:eastAsia="Times New Roman" w:hAnsi="Arial" w:cs="Arial"/>
          <w:color w:val="333333"/>
          <w:sz w:val="24"/>
          <w:szCs w:val="24"/>
          <w:lang w:eastAsia="es-MX"/>
        </w:rPr>
      </w:pPr>
      <w:bookmarkStart w:id="8" w:name="A5P3"/>
      <w:bookmarkEnd w:id="8"/>
      <w:r w:rsidRPr="008112D8">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9" w:name="A6"/>
      <w:bookmarkEnd w:id="9"/>
      <w:r w:rsidRPr="008112D8">
        <w:rPr>
          <w:rFonts w:ascii="Arial" w:eastAsia="Times New Roman" w:hAnsi="Arial" w:cs="Arial"/>
          <w:b/>
          <w:bCs/>
          <w:i/>
          <w:iCs/>
          <w:color w:val="333333"/>
          <w:sz w:val="24"/>
          <w:szCs w:val="24"/>
          <w:lang w:eastAsia="es-MX"/>
        </w:rPr>
        <w:t>Artículo 6</w:t>
      </w:r>
    </w:p>
    <w:p w:rsidR="008112D8" w:rsidRPr="008112D8" w:rsidRDefault="008112D8" w:rsidP="008112D8">
      <w:pPr>
        <w:shd w:val="clear" w:color="auto" w:fill="FFFFFF"/>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Tan pronto como se hayan registrado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10" w:name="A7"/>
      <w:bookmarkEnd w:id="10"/>
      <w:r w:rsidRPr="008112D8">
        <w:rPr>
          <w:rFonts w:ascii="Arial" w:eastAsia="Times New Roman" w:hAnsi="Arial" w:cs="Arial"/>
          <w:b/>
          <w:bCs/>
          <w:i/>
          <w:iCs/>
          <w:color w:val="333333"/>
          <w:sz w:val="24"/>
          <w:szCs w:val="24"/>
          <w:lang w:eastAsia="es-MX"/>
        </w:rPr>
        <w:t>Artículo 7</w:t>
      </w:r>
    </w:p>
    <w:p w:rsidR="008112D8" w:rsidRPr="008112D8" w:rsidRDefault="008112D8" w:rsidP="008112D8">
      <w:pPr>
        <w:numPr>
          <w:ilvl w:val="0"/>
          <w:numId w:val="34"/>
        </w:numPr>
        <w:shd w:val="clear" w:color="auto" w:fill="FFFFFF"/>
        <w:spacing w:after="144" w:line="408" w:lineRule="atLeast"/>
        <w:ind w:left="0"/>
        <w:rPr>
          <w:rFonts w:ascii="Arial" w:eastAsia="Times New Roman" w:hAnsi="Arial" w:cs="Arial"/>
          <w:color w:val="333333"/>
          <w:sz w:val="24"/>
          <w:szCs w:val="24"/>
          <w:lang w:eastAsia="es-MX"/>
        </w:rPr>
      </w:pPr>
      <w:bookmarkStart w:id="11" w:name="A7P1"/>
      <w:bookmarkEnd w:id="11"/>
      <w:r w:rsidRPr="008112D8">
        <w:rPr>
          <w:rFonts w:ascii="Arial" w:eastAsia="Times New Roman" w:hAnsi="Arial" w:cs="Arial"/>
          <w:color w:val="333333"/>
          <w:sz w:val="24"/>
          <w:szCs w:val="24"/>
          <w:lang w:eastAsia="es-MX"/>
        </w:rPr>
        <w:lastRenderedPageBreak/>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8112D8" w:rsidRPr="008112D8" w:rsidRDefault="008112D8" w:rsidP="008112D8">
      <w:pPr>
        <w:numPr>
          <w:ilvl w:val="0"/>
          <w:numId w:val="34"/>
        </w:numPr>
        <w:shd w:val="clear" w:color="auto" w:fill="FFFFFF"/>
        <w:spacing w:after="144" w:line="408" w:lineRule="atLeast"/>
        <w:ind w:left="0"/>
        <w:rPr>
          <w:rFonts w:ascii="Arial" w:eastAsia="Times New Roman" w:hAnsi="Arial" w:cs="Arial"/>
          <w:color w:val="333333"/>
          <w:sz w:val="24"/>
          <w:szCs w:val="24"/>
          <w:lang w:eastAsia="es-MX"/>
        </w:rPr>
      </w:pPr>
      <w:bookmarkStart w:id="12" w:name="A7P2"/>
      <w:bookmarkEnd w:id="12"/>
      <w:r w:rsidRPr="008112D8">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13" w:name="A8"/>
      <w:bookmarkEnd w:id="13"/>
      <w:r w:rsidRPr="008112D8">
        <w:rPr>
          <w:rFonts w:ascii="Arial" w:eastAsia="Times New Roman" w:hAnsi="Arial" w:cs="Arial"/>
          <w:b/>
          <w:bCs/>
          <w:i/>
          <w:iCs/>
          <w:color w:val="333333"/>
          <w:sz w:val="24"/>
          <w:szCs w:val="24"/>
          <w:lang w:eastAsia="es-MX"/>
        </w:rPr>
        <w:t>Artículo 8</w:t>
      </w:r>
    </w:p>
    <w:p w:rsidR="008112D8" w:rsidRPr="008112D8" w:rsidRDefault="008112D8" w:rsidP="008112D8">
      <w:pPr>
        <w:shd w:val="clear" w:color="auto" w:fill="FFFFFF"/>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14" w:name="A9"/>
      <w:bookmarkEnd w:id="14"/>
      <w:r w:rsidRPr="008112D8">
        <w:rPr>
          <w:rFonts w:ascii="Arial" w:eastAsia="Times New Roman" w:hAnsi="Arial" w:cs="Arial"/>
          <w:b/>
          <w:bCs/>
          <w:i/>
          <w:iCs/>
          <w:color w:val="333333"/>
          <w:sz w:val="24"/>
          <w:szCs w:val="24"/>
          <w:lang w:eastAsia="es-MX"/>
        </w:rPr>
        <w:t>Artículo 9</w:t>
      </w:r>
    </w:p>
    <w:p w:rsidR="008112D8" w:rsidRPr="008112D8" w:rsidRDefault="008112D8" w:rsidP="008112D8">
      <w:pPr>
        <w:numPr>
          <w:ilvl w:val="0"/>
          <w:numId w:val="35"/>
        </w:numPr>
        <w:shd w:val="clear" w:color="auto" w:fill="FFFFFF"/>
        <w:spacing w:after="144" w:line="408" w:lineRule="atLeast"/>
        <w:ind w:left="0"/>
        <w:rPr>
          <w:rFonts w:ascii="Arial" w:eastAsia="Times New Roman" w:hAnsi="Arial" w:cs="Arial"/>
          <w:color w:val="333333"/>
          <w:sz w:val="24"/>
          <w:szCs w:val="24"/>
          <w:lang w:eastAsia="es-MX"/>
        </w:rPr>
      </w:pPr>
      <w:bookmarkStart w:id="15" w:name="A9P1"/>
      <w:bookmarkEnd w:id="15"/>
      <w:r w:rsidRPr="008112D8">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rsidR="008112D8" w:rsidRPr="008112D8" w:rsidRDefault="008112D8" w:rsidP="008112D8">
      <w:pPr>
        <w:numPr>
          <w:ilvl w:val="1"/>
          <w:numId w:val="35"/>
        </w:numPr>
        <w:shd w:val="clear" w:color="auto" w:fill="FFFFFF"/>
        <w:spacing w:after="144" w:line="408" w:lineRule="atLeast"/>
        <w:ind w:left="480"/>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8112D8">
        <w:rPr>
          <w:rFonts w:ascii="Arial" w:eastAsia="Times New Roman" w:hAnsi="Arial" w:cs="Arial"/>
          <w:color w:val="333333"/>
          <w:sz w:val="24"/>
          <w:szCs w:val="24"/>
          <w:lang w:eastAsia="es-MX"/>
        </w:rPr>
        <w:t>obstante</w:t>
      </w:r>
      <w:proofErr w:type="gramEnd"/>
      <w:r w:rsidRPr="008112D8">
        <w:rPr>
          <w:rFonts w:ascii="Arial" w:eastAsia="Times New Roman" w:hAnsi="Arial" w:cs="Arial"/>
          <w:color w:val="333333"/>
          <w:sz w:val="24"/>
          <w:szCs w:val="24"/>
          <w:lang w:eastAsia="es-MX"/>
        </w:rPr>
        <w:t xml:space="preserve"> las disposiciones contenidas en el artículo 7, siempre que el nuevo convenio revisor haya entrado en vigor;</w:t>
      </w:r>
    </w:p>
    <w:p w:rsidR="008112D8" w:rsidRPr="008112D8" w:rsidRDefault="008112D8" w:rsidP="008112D8">
      <w:pPr>
        <w:numPr>
          <w:ilvl w:val="1"/>
          <w:numId w:val="35"/>
        </w:numPr>
        <w:shd w:val="clear" w:color="auto" w:fill="FFFFFF"/>
        <w:spacing w:after="144" w:line="408" w:lineRule="atLeast"/>
        <w:ind w:left="480"/>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rsidR="008112D8" w:rsidRPr="008112D8" w:rsidRDefault="008112D8" w:rsidP="008112D8">
      <w:pPr>
        <w:numPr>
          <w:ilvl w:val="0"/>
          <w:numId w:val="35"/>
        </w:numPr>
        <w:shd w:val="clear" w:color="auto" w:fill="FFFFFF"/>
        <w:spacing w:after="144" w:line="408" w:lineRule="atLeast"/>
        <w:ind w:left="0"/>
        <w:rPr>
          <w:rFonts w:ascii="Arial" w:eastAsia="Times New Roman" w:hAnsi="Arial" w:cs="Arial"/>
          <w:color w:val="333333"/>
          <w:sz w:val="24"/>
          <w:szCs w:val="24"/>
          <w:lang w:eastAsia="es-MX"/>
        </w:rPr>
      </w:pPr>
      <w:bookmarkStart w:id="16" w:name="A9P2"/>
      <w:bookmarkEnd w:id="16"/>
      <w:r w:rsidRPr="008112D8">
        <w:rPr>
          <w:rFonts w:ascii="Arial" w:eastAsia="Times New Roman" w:hAnsi="Arial" w:cs="Arial"/>
          <w:color w:val="333333"/>
          <w:sz w:val="24"/>
          <w:szCs w:val="24"/>
          <w:lang w:eastAsia="es-MX"/>
        </w:rPr>
        <w:lastRenderedPageBreak/>
        <w:t>2. Este Convenio continuará en vigor en todo caso, en su forma y contenido actuales, para los Miembros que lo hayan ratificado y no ratifiquen el convenio revisor.</w:t>
      </w:r>
    </w:p>
    <w:p w:rsidR="008112D8" w:rsidRPr="008112D8" w:rsidRDefault="008112D8" w:rsidP="008112D8">
      <w:pPr>
        <w:pBdr>
          <w:bottom w:val="dotted" w:sz="2" w:space="0" w:color="BBBBBB"/>
        </w:pBdr>
        <w:shd w:val="clear" w:color="auto" w:fill="FFFFFF"/>
        <w:spacing w:after="75" w:line="408" w:lineRule="atLeast"/>
        <w:jc w:val="center"/>
        <w:outlineLvl w:val="4"/>
        <w:rPr>
          <w:rFonts w:ascii="Arial" w:eastAsia="Times New Roman" w:hAnsi="Arial" w:cs="Arial"/>
          <w:b/>
          <w:bCs/>
          <w:i/>
          <w:iCs/>
          <w:color w:val="333333"/>
          <w:sz w:val="24"/>
          <w:szCs w:val="24"/>
          <w:lang w:eastAsia="es-MX"/>
        </w:rPr>
      </w:pPr>
      <w:bookmarkStart w:id="17" w:name="A10"/>
      <w:bookmarkEnd w:id="17"/>
      <w:r w:rsidRPr="008112D8">
        <w:rPr>
          <w:rFonts w:ascii="Arial" w:eastAsia="Times New Roman" w:hAnsi="Arial" w:cs="Arial"/>
          <w:b/>
          <w:bCs/>
          <w:i/>
          <w:iCs/>
          <w:color w:val="333333"/>
          <w:sz w:val="24"/>
          <w:szCs w:val="24"/>
          <w:lang w:eastAsia="es-MX"/>
        </w:rPr>
        <w:t>Artículo 10</w:t>
      </w:r>
    </w:p>
    <w:p w:rsidR="008112D8" w:rsidRPr="008112D8" w:rsidRDefault="008112D8" w:rsidP="008112D8">
      <w:pPr>
        <w:shd w:val="clear" w:color="auto" w:fill="FFFFFF"/>
        <w:spacing w:after="240" w:line="408" w:lineRule="atLeast"/>
        <w:rPr>
          <w:rFonts w:ascii="Arial" w:eastAsia="Times New Roman" w:hAnsi="Arial" w:cs="Arial"/>
          <w:color w:val="333333"/>
          <w:sz w:val="24"/>
          <w:szCs w:val="24"/>
          <w:lang w:eastAsia="es-MX"/>
        </w:rPr>
      </w:pPr>
      <w:r w:rsidRPr="008112D8">
        <w:rPr>
          <w:rFonts w:ascii="Arial" w:eastAsia="Times New Roman" w:hAnsi="Arial" w:cs="Arial"/>
          <w:color w:val="333333"/>
          <w:sz w:val="24"/>
          <w:szCs w:val="24"/>
          <w:lang w:eastAsia="es-MX"/>
        </w:rPr>
        <w:t>Las versiones inglesa y francesa del texto de este Convenio son igualmente auténticas.</w:t>
      </w:r>
    </w:p>
    <w:p w:rsidR="00E852BB" w:rsidRPr="009B6C1C" w:rsidRDefault="00E852BB" w:rsidP="009B6C1C">
      <w:pPr>
        <w:ind w:left="-1276"/>
        <w:rPr>
          <w:sz w:val="24"/>
          <w:szCs w:val="24"/>
        </w:rPr>
      </w:pPr>
    </w:p>
    <w:sectPr w:rsidR="00E852BB" w:rsidRPr="009B6C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48D"/>
    <w:multiLevelType w:val="multilevel"/>
    <w:tmpl w:val="67B4E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D5276"/>
    <w:multiLevelType w:val="multilevel"/>
    <w:tmpl w:val="9BD0F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94A"/>
    <w:multiLevelType w:val="multilevel"/>
    <w:tmpl w:val="4CE45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37358"/>
    <w:multiLevelType w:val="multilevel"/>
    <w:tmpl w:val="A316F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D2F39"/>
    <w:multiLevelType w:val="multilevel"/>
    <w:tmpl w:val="93164B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30B8D"/>
    <w:multiLevelType w:val="multilevel"/>
    <w:tmpl w:val="89EA4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E3C99"/>
    <w:multiLevelType w:val="multilevel"/>
    <w:tmpl w:val="1190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40CC5"/>
    <w:multiLevelType w:val="multilevel"/>
    <w:tmpl w:val="3B1AE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C7EA7"/>
    <w:multiLevelType w:val="multilevel"/>
    <w:tmpl w:val="308CF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517FB"/>
    <w:multiLevelType w:val="multilevel"/>
    <w:tmpl w:val="568EE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56DFB"/>
    <w:multiLevelType w:val="multilevel"/>
    <w:tmpl w:val="2E528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34CBC"/>
    <w:multiLevelType w:val="multilevel"/>
    <w:tmpl w:val="1F704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F1F7B"/>
    <w:multiLevelType w:val="multilevel"/>
    <w:tmpl w:val="CFAED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84A37"/>
    <w:multiLevelType w:val="multilevel"/>
    <w:tmpl w:val="CF243F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821E9"/>
    <w:multiLevelType w:val="multilevel"/>
    <w:tmpl w:val="46EAF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A0EFA"/>
    <w:multiLevelType w:val="multilevel"/>
    <w:tmpl w:val="58D8D2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45669"/>
    <w:multiLevelType w:val="multilevel"/>
    <w:tmpl w:val="60E80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7773E"/>
    <w:multiLevelType w:val="multilevel"/>
    <w:tmpl w:val="CEAE84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95A4D"/>
    <w:multiLevelType w:val="multilevel"/>
    <w:tmpl w:val="005C4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A2928"/>
    <w:multiLevelType w:val="multilevel"/>
    <w:tmpl w:val="39B65B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E1362"/>
    <w:multiLevelType w:val="multilevel"/>
    <w:tmpl w:val="8594F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B0AD7"/>
    <w:multiLevelType w:val="multilevel"/>
    <w:tmpl w:val="34DC3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D5536"/>
    <w:multiLevelType w:val="multilevel"/>
    <w:tmpl w:val="9B045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551BF"/>
    <w:multiLevelType w:val="multilevel"/>
    <w:tmpl w:val="BBA64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74406"/>
    <w:multiLevelType w:val="multilevel"/>
    <w:tmpl w:val="B30E9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B6E70"/>
    <w:multiLevelType w:val="multilevel"/>
    <w:tmpl w:val="0268CF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45798"/>
    <w:multiLevelType w:val="multilevel"/>
    <w:tmpl w:val="46386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32DFC"/>
    <w:multiLevelType w:val="multilevel"/>
    <w:tmpl w:val="AE9C11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B6A62"/>
    <w:multiLevelType w:val="multilevel"/>
    <w:tmpl w:val="FB661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23095"/>
    <w:multiLevelType w:val="multilevel"/>
    <w:tmpl w:val="FC308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14FFE"/>
    <w:multiLevelType w:val="multilevel"/>
    <w:tmpl w:val="EE306A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D6A9A"/>
    <w:multiLevelType w:val="multilevel"/>
    <w:tmpl w:val="A7C001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4680F"/>
    <w:multiLevelType w:val="multilevel"/>
    <w:tmpl w:val="8F264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57284"/>
    <w:multiLevelType w:val="multilevel"/>
    <w:tmpl w:val="0D0CE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5135C"/>
    <w:multiLevelType w:val="multilevel"/>
    <w:tmpl w:val="DC8EB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4"/>
  </w:num>
  <w:num w:numId="4">
    <w:abstractNumId w:val="3"/>
  </w:num>
  <w:num w:numId="5">
    <w:abstractNumId w:val="27"/>
  </w:num>
  <w:num w:numId="6">
    <w:abstractNumId w:val="21"/>
  </w:num>
  <w:num w:numId="7">
    <w:abstractNumId w:val="6"/>
  </w:num>
  <w:num w:numId="8">
    <w:abstractNumId w:val="26"/>
  </w:num>
  <w:num w:numId="9">
    <w:abstractNumId w:val="29"/>
  </w:num>
  <w:num w:numId="10">
    <w:abstractNumId w:val="34"/>
  </w:num>
  <w:num w:numId="11">
    <w:abstractNumId w:val="8"/>
  </w:num>
  <w:num w:numId="12">
    <w:abstractNumId w:val="19"/>
  </w:num>
  <w:num w:numId="13">
    <w:abstractNumId w:val="7"/>
  </w:num>
  <w:num w:numId="14">
    <w:abstractNumId w:val="22"/>
  </w:num>
  <w:num w:numId="15">
    <w:abstractNumId w:val="5"/>
  </w:num>
  <w:num w:numId="16">
    <w:abstractNumId w:val="15"/>
  </w:num>
  <w:num w:numId="17">
    <w:abstractNumId w:val="33"/>
  </w:num>
  <w:num w:numId="18">
    <w:abstractNumId w:val="0"/>
  </w:num>
  <w:num w:numId="19">
    <w:abstractNumId w:val="28"/>
  </w:num>
  <w:num w:numId="20">
    <w:abstractNumId w:val="24"/>
  </w:num>
  <w:num w:numId="21">
    <w:abstractNumId w:val="11"/>
  </w:num>
  <w:num w:numId="22">
    <w:abstractNumId w:val="20"/>
  </w:num>
  <w:num w:numId="23">
    <w:abstractNumId w:val="10"/>
  </w:num>
  <w:num w:numId="24">
    <w:abstractNumId w:val="30"/>
  </w:num>
  <w:num w:numId="25">
    <w:abstractNumId w:val="14"/>
  </w:num>
  <w:num w:numId="26">
    <w:abstractNumId w:val="16"/>
  </w:num>
  <w:num w:numId="27">
    <w:abstractNumId w:val="13"/>
  </w:num>
  <w:num w:numId="28">
    <w:abstractNumId w:val="12"/>
  </w:num>
  <w:num w:numId="29">
    <w:abstractNumId w:val="9"/>
  </w:num>
  <w:num w:numId="30">
    <w:abstractNumId w:val="23"/>
  </w:num>
  <w:num w:numId="31">
    <w:abstractNumId w:val="2"/>
  </w:num>
  <w:num w:numId="32">
    <w:abstractNumId w:val="1"/>
  </w:num>
  <w:num w:numId="33">
    <w:abstractNumId w:val="32"/>
  </w:num>
  <w:num w:numId="34">
    <w:abstractNumId w:val="1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6D0C99"/>
    <w:rsid w:val="008112D8"/>
    <w:rsid w:val="009620BF"/>
    <w:rsid w:val="009B6C1C"/>
    <w:rsid w:val="00B20D37"/>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080B"/>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2023-01-14T01:06:00Z</dcterms:created>
  <dcterms:modified xsi:type="dcterms:W3CDTF">2023-01-14T01:06:00Z</dcterms:modified>
</cp:coreProperties>
</file>