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FC" w:rsidRPr="00A100FC" w:rsidRDefault="00A100FC" w:rsidP="00A100FC">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A100FC">
        <w:rPr>
          <w:rFonts w:ascii="Georgia" w:eastAsia="Times New Roman" w:hAnsi="Georgia" w:cs="Arial"/>
          <w:b/>
          <w:bCs/>
          <w:color w:val="B92517"/>
          <w:spacing w:val="-5"/>
          <w:kern w:val="36"/>
          <w:sz w:val="58"/>
          <w:szCs w:val="58"/>
          <w:lang w:eastAsia="es-MX"/>
        </w:rPr>
        <w:t>C055 - Convenio sobre las obligaciones del armador en caso de enfermedad o accidentes de la gente de mar, 1936 (núm. 55)</w:t>
      </w:r>
    </w:p>
    <w:p w:rsidR="00A100FC" w:rsidRPr="00A100FC" w:rsidRDefault="00A100FC" w:rsidP="00A100FC">
      <w:pPr>
        <w:pBdr>
          <w:top w:val="single" w:sz="6" w:space="2" w:color="BBBBBB"/>
          <w:bottom w:val="single" w:sz="6" w:space="2" w:color="BBBBBB"/>
        </w:pBdr>
        <w:shd w:val="clear" w:color="auto" w:fill="F6F0E1"/>
        <w:spacing w:after="225" w:line="408" w:lineRule="atLeast"/>
        <w:jc w:val="both"/>
        <w:outlineLvl w:val="1"/>
        <w:rPr>
          <w:rFonts w:ascii="Georgia" w:eastAsia="Times New Roman" w:hAnsi="Georgia" w:cs="Arial"/>
          <w:b/>
          <w:bCs/>
          <w:color w:val="B92517"/>
          <w:sz w:val="23"/>
          <w:szCs w:val="23"/>
          <w:lang w:eastAsia="es-MX"/>
        </w:rPr>
      </w:pPr>
      <w:bookmarkStart w:id="0" w:name="_GoBack"/>
      <w:bookmarkEnd w:id="0"/>
      <w:r w:rsidRPr="00A100FC">
        <w:rPr>
          <w:rFonts w:ascii="Georgia" w:eastAsia="Times New Roman" w:hAnsi="Georgia" w:cs="Arial"/>
          <w:b/>
          <w:bCs/>
          <w:color w:val="B92517"/>
          <w:sz w:val="23"/>
          <w:szCs w:val="23"/>
          <w:lang w:eastAsia="es-MX"/>
        </w:rPr>
        <w:t>Preámbulo</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 Conferencia General de la Organización Internacional del Trabajo:</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Convocada en Ginebra por el Consejo de Administración de la Oficina Internacional del Trabajo, y congregada en dicha ciudad el 6 octubre 1936 en su vigésima primera reunión;</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Después de haber decidido adoptar diversas proposiciones relativas a las obligaciones del armador en caso de enfermedad, accidente o muerte de la gente de mar, cuestión que está comprendida en el segundo punto del orden del día de la reunión, y</w:t>
      </w:r>
    </w:p>
    <w:p w:rsidR="00A100FC" w:rsidRPr="00A100FC" w:rsidRDefault="00A100FC" w:rsidP="00A100FC">
      <w:pPr>
        <w:shd w:val="clear" w:color="auto" w:fill="F3F3F3"/>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Después de haber decidido que dichas proposiciones revistan la forma de un convenio internacional,</w:t>
      </w:r>
    </w:p>
    <w:p w:rsidR="00A100FC" w:rsidRPr="00A100FC" w:rsidRDefault="00A100FC" w:rsidP="00A100FC">
      <w:pPr>
        <w:shd w:val="clear" w:color="auto" w:fill="F3F3F3"/>
        <w:spacing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adopta, con fecha veinticuatro de octubre de mil novecientos treinta y seis, el siguiente Convenio, que podrá ser citado como el Convenio sobre las obligaciones del armador en caso de enfermedad o accidente de la gente de mar, 1936:</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1" w:name="A1"/>
      <w:bookmarkEnd w:id="1"/>
      <w:r w:rsidRPr="00A100FC">
        <w:rPr>
          <w:rFonts w:ascii="Georgia" w:eastAsia="Times New Roman" w:hAnsi="Georgia" w:cs="Arial"/>
          <w:b/>
          <w:bCs/>
          <w:i/>
          <w:iCs/>
          <w:color w:val="333333"/>
          <w:sz w:val="21"/>
          <w:szCs w:val="21"/>
          <w:lang w:eastAsia="es-MX"/>
        </w:rPr>
        <w:t>Artículo 1</w:t>
      </w:r>
    </w:p>
    <w:p w:rsidR="00A100FC" w:rsidRPr="00A100FC" w:rsidRDefault="00A100FC" w:rsidP="00A100FC">
      <w:pPr>
        <w:numPr>
          <w:ilvl w:val="0"/>
          <w:numId w:val="1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 w:name="A1P1"/>
      <w:bookmarkEnd w:id="2"/>
      <w:r w:rsidRPr="00A100FC">
        <w:rPr>
          <w:rFonts w:ascii="Georgia" w:eastAsia="Times New Roman" w:hAnsi="Georgia" w:cs="Arial"/>
          <w:color w:val="333333"/>
          <w:sz w:val="18"/>
          <w:szCs w:val="18"/>
          <w:lang w:eastAsia="es-MX"/>
        </w:rPr>
        <w:t>1. El presente Convenio se aplica a toda persona empleada a bordo de un buque, que no sea de guerra, matriculado en un territorio en el que se halle en vigor el presente Convenio, y dedicado habitualmente a la navegación marítima.</w:t>
      </w:r>
    </w:p>
    <w:p w:rsidR="00A100FC" w:rsidRPr="00A100FC" w:rsidRDefault="00A100FC" w:rsidP="00A100FC">
      <w:pPr>
        <w:numPr>
          <w:ilvl w:val="0"/>
          <w:numId w:val="1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 w:name="A1P2"/>
      <w:bookmarkEnd w:id="3"/>
      <w:r w:rsidRPr="00A100FC">
        <w:rPr>
          <w:rFonts w:ascii="Georgia" w:eastAsia="Times New Roman" w:hAnsi="Georgia" w:cs="Arial"/>
          <w:color w:val="333333"/>
          <w:sz w:val="18"/>
          <w:szCs w:val="18"/>
          <w:lang w:eastAsia="es-MX"/>
        </w:rPr>
        <w:t>2. Sin embargo, todo Miembro de la Organización Internacional del Trabajo podrá establecer en su legislación nacional las excepciones que estime necesarias en lo que se refiere a:</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las personas empleadas a bordo:</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lastRenderedPageBreak/>
        <w:t>(i) de buques pertenecientes a una autoridad pública, cuando estos buques no estén dedicados al comercio;</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w:t>
      </w:r>
      <w:proofErr w:type="spellStart"/>
      <w:r w:rsidRPr="00A100FC">
        <w:rPr>
          <w:rFonts w:ascii="Georgia" w:eastAsia="Times New Roman" w:hAnsi="Georgia" w:cs="Arial"/>
          <w:color w:val="333333"/>
          <w:sz w:val="18"/>
          <w:szCs w:val="18"/>
          <w:lang w:eastAsia="es-MX"/>
        </w:rPr>
        <w:t>ii</w:t>
      </w:r>
      <w:proofErr w:type="spellEnd"/>
      <w:r w:rsidRPr="00A100FC">
        <w:rPr>
          <w:rFonts w:ascii="Georgia" w:eastAsia="Times New Roman" w:hAnsi="Georgia" w:cs="Arial"/>
          <w:color w:val="333333"/>
          <w:sz w:val="18"/>
          <w:szCs w:val="18"/>
          <w:lang w:eastAsia="es-MX"/>
        </w:rPr>
        <w:t>) de barcos de pesca costera;</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w:t>
      </w:r>
      <w:proofErr w:type="spellStart"/>
      <w:r w:rsidRPr="00A100FC">
        <w:rPr>
          <w:rFonts w:ascii="Georgia" w:eastAsia="Times New Roman" w:hAnsi="Georgia" w:cs="Arial"/>
          <w:color w:val="333333"/>
          <w:sz w:val="18"/>
          <w:szCs w:val="18"/>
          <w:lang w:eastAsia="es-MX"/>
        </w:rPr>
        <w:t>iii</w:t>
      </w:r>
      <w:proofErr w:type="spellEnd"/>
      <w:r w:rsidRPr="00A100FC">
        <w:rPr>
          <w:rFonts w:ascii="Georgia" w:eastAsia="Times New Roman" w:hAnsi="Georgia" w:cs="Arial"/>
          <w:color w:val="333333"/>
          <w:sz w:val="18"/>
          <w:szCs w:val="18"/>
          <w:lang w:eastAsia="es-MX"/>
        </w:rPr>
        <w:t>) de barcos cuyo desplazamiento bruto sea inferior a veinticinco toneladas;</w:t>
      </w:r>
    </w:p>
    <w:p w:rsidR="00A100FC" w:rsidRPr="00A100FC" w:rsidRDefault="00A100FC" w:rsidP="00A100FC">
      <w:pPr>
        <w:numPr>
          <w:ilvl w:val="2"/>
          <w:numId w:val="10"/>
        </w:numPr>
        <w:shd w:val="clear" w:color="auto" w:fill="FFFFFF"/>
        <w:spacing w:after="144" w:line="408" w:lineRule="atLeast"/>
        <w:ind w:left="96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w:t>
      </w:r>
      <w:proofErr w:type="spellStart"/>
      <w:r w:rsidRPr="00A100FC">
        <w:rPr>
          <w:rFonts w:ascii="Georgia" w:eastAsia="Times New Roman" w:hAnsi="Georgia" w:cs="Arial"/>
          <w:color w:val="333333"/>
          <w:sz w:val="18"/>
          <w:szCs w:val="18"/>
          <w:lang w:eastAsia="es-MX"/>
        </w:rPr>
        <w:t>iv</w:t>
      </w:r>
      <w:proofErr w:type="spellEnd"/>
      <w:r w:rsidRPr="00A100FC">
        <w:rPr>
          <w:rFonts w:ascii="Georgia" w:eastAsia="Times New Roman" w:hAnsi="Georgia" w:cs="Arial"/>
          <w:color w:val="333333"/>
          <w:sz w:val="18"/>
          <w:szCs w:val="18"/>
          <w:lang w:eastAsia="es-MX"/>
        </w:rPr>
        <w:t xml:space="preserve">) de barcos de madera, de construcción primitiva, tales como los </w:t>
      </w:r>
      <w:proofErr w:type="spellStart"/>
      <w:r w:rsidRPr="00A100FC">
        <w:rPr>
          <w:rFonts w:ascii="Georgia" w:eastAsia="Times New Roman" w:hAnsi="Georgia" w:cs="Arial"/>
          <w:color w:val="333333"/>
          <w:sz w:val="18"/>
          <w:szCs w:val="18"/>
          <w:lang w:eastAsia="es-MX"/>
        </w:rPr>
        <w:t>dhows</w:t>
      </w:r>
      <w:proofErr w:type="spellEnd"/>
      <w:r w:rsidRPr="00A100FC">
        <w:rPr>
          <w:rFonts w:ascii="Georgia" w:eastAsia="Times New Roman" w:hAnsi="Georgia" w:cs="Arial"/>
          <w:color w:val="333333"/>
          <w:sz w:val="18"/>
          <w:szCs w:val="18"/>
          <w:lang w:eastAsia="es-MX"/>
        </w:rPr>
        <w:t xml:space="preserve"> y los juncos;</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las personas empleadas a bordo por cuenta de un empleador que no sea el armador;</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las personas empleadas, exclusivamente en los puertos, en la reparación, limpieza, carga o descarga de los buques;</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 los miembros de la familia del armador;</w:t>
      </w:r>
    </w:p>
    <w:p w:rsidR="00A100FC" w:rsidRPr="00A100FC" w:rsidRDefault="00A100FC" w:rsidP="00A100FC">
      <w:pPr>
        <w:numPr>
          <w:ilvl w:val="1"/>
          <w:numId w:val="1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(e) los prácticos.</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 w:name="A2"/>
      <w:bookmarkEnd w:id="4"/>
      <w:r w:rsidRPr="00A100FC">
        <w:rPr>
          <w:rFonts w:ascii="Georgia" w:eastAsia="Times New Roman" w:hAnsi="Georgia" w:cs="Arial"/>
          <w:b/>
          <w:bCs/>
          <w:i/>
          <w:iCs/>
          <w:color w:val="333333"/>
          <w:sz w:val="21"/>
          <w:szCs w:val="21"/>
          <w:lang w:eastAsia="es-MX"/>
        </w:rPr>
        <w:t>Artículo 2</w:t>
      </w:r>
    </w:p>
    <w:p w:rsidR="00A100FC" w:rsidRPr="00A100FC" w:rsidRDefault="00A100FC" w:rsidP="00A100FC">
      <w:pPr>
        <w:numPr>
          <w:ilvl w:val="0"/>
          <w:numId w:val="11"/>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5" w:name="A2P1"/>
      <w:bookmarkEnd w:id="5"/>
      <w:r w:rsidRPr="00A100FC">
        <w:rPr>
          <w:rFonts w:ascii="Georgia" w:eastAsia="Times New Roman" w:hAnsi="Georgia" w:cs="Arial"/>
          <w:color w:val="333333"/>
          <w:sz w:val="18"/>
          <w:szCs w:val="18"/>
          <w:lang w:eastAsia="es-MX"/>
        </w:rPr>
        <w:t>1. Las obligaciones del armador deberán cubrir los riesgos:</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de enfermedad o accidente ocurridos en el período que transcurra entre la fecha estipulada en el contrato de enrolamiento para el comienzo del servicio y la terminación del contrato;</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de muerte que resulte de cualquier enfermedad o accidente.</w:t>
      </w:r>
    </w:p>
    <w:p w:rsidR="00A100FC" w:rsidRPr="00A100FC" w:rsidRDefault="00A100FC" w:rsidP="00A100FC">
      <w:pPr>
        <w:numPr>
          <w:ilvl w:val="0"/>
          <w:numId w:val="11"/>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6" w:name="A2P2"/>
      <w:bookmarkEnd w:id="6"/>
      <w:r w:rsidRPr="00A100FC">
        <w:rPr>
          <w:rFonts w:ascii="Georgia" w:eastAsia="Times New Roman" w:hAnsi="Georgia" w:cs="Arial"/>
          <w:color w:val="333333"/>
          <w:sz w:val="18"/>
          <w:szCs w:val="18"/>
          <w:lang w:eastAsia="es-MX"/>
        </w:rPr>
        <w:t>2. Sin embargo, la legislación nacional podrá establecer excepciones:</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para el accidente que no haya sobrevenido en el servicio del buque;</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para el accidente o enfermedad imputables a un acto voluntario, a una falta intencional o a la mala conducta del enfermo, herido o muerto;</w:t>
      </w:r>
    </w:p>
    <w:p w:rsidR="00A100FC" w:rsidRPr="00A100FC" w:rsidRDefault="00A100FC" w:rsidP="00A100FC">
      <w:pPr>
        <w:numPr>
          <w:ilvl w:val="1"/>
          <w:numId w:val="11"/>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para la enfermedad, lesión o deficiencia física disimuladas voluntariamente al efectuarse el enrolamiento.</w:t>
      </w:r>
    </w:p>
    <w:p w:rsidR="00A100FC" w:rsidRPr="00A100FC" w:rsidRDefault="00A100FC" w:rsidP="00A100FC">
      <w:pPr>
        <w:numPr>
          <w:ilvl w:val="0"/>
          <w:numId w:val="11"/>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7" w:name="A2P3"/>
      <w:bookmarkEnd w:id="7"/>
      <w:r w:rsidRPr="00A100FC">
        <w:rPr>
          <w:rFonts w:ascii="Georgia" w:eastAsia="Times New Roman" w:hAnsi="Georgia" w:cs="Arial"/>
          <w:color w:val="333333"/>
          <w:sz w:val="18"/>
          <w:szCs w:val="18"/>
          <w:lang w:eastAsia="es-MX"/>
        </w:rPr>
        <w:t>3. La legislación nacional podrá eximir al armador de toda responsabilidad respecto a la enfermedad, o muerte causada directamente por la enfermedad, cuando la persona empleada se hubiere negado, al efectuarse el enrolamiento, a someterse a un reconocimiento médico.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8" w:name="A3"/>
      <w:bookmarkEnd w:id="8"/>
      <w:r w:rsidRPr="00A100FC">
        <w:rPr>
          <w:rFonts w:ascii="Georgia" w:eastAsia="Times New Roman" w:hAnsi="Georgia" w:cs="Arial"/>
          <w:b/>
          <w:bCs/>
          <w:i/>
          <w:iCs/>
          <w:color w:val="333333"/>
          <w:sz w:val="21"/>
          <w:szCs w:val="21"/>
          <w:lang w:eastAsia="es-MX"/>
        </w:rPr>
        <w:t>Artículo 3</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lastRenderedPageBreak/>
        <w:t>A los efectos del presente Convenio, la asistencia por cuenta del armador deberá comprender:</w:t>
      </w:r>
    </w:p>
    <w:p w:rsidR="00A100FC" w:rsidRPr="00A100FC" w:rsidRDefault="00A100FC" w:rsidP="00A100FC">
      <w:pPr>
        <w:numPr>
          <w:ilvl w:val="0"/>
          <w:numId w:val="12"/>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el tratamiento médico y el suministro de medicamentos y otros medios terapéuticos de buena calidad y en cantidad suficiente;</w:t>
      </w:r>
    </w:p>
    <w:p w:rsidR="00A100FC" w:rsidRPr="00A100FC" w:rsidRDefault="00A100FC" w:rsidP="00A100FC">
      <w:pPr>
        <w:numPr>
          <w:ilvl w:val="0"/>
          <w:numId w:val="12"/>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la alimentación y el alojamiento.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9" w:name="A4"/>
      <w:bookmarkEnd w:id="9"/>
      <w:r w:rsidRPr="00A100FC">
        <w:rPr>
          <w:rFonts w:ascii="Georgia" w:eastAsia="Times New Roman" w:hAnsi="Georgia" w:cs="Arial"/>
          <w:b/>
          <w:bCs/>
          <w:i/>
          <w:iCs/>
          <w:color w:val="333333"/>
          <w:sz w:val="21"/>
          <w:szCs w:val="21"/>
          <w:lang w:eastAsia="es-MX"/>
        </w:rPr>
        <w:t>Artículo 4</w:t>
      </w:r>
    </w:p>
    <w:p w:rsidR="00A100FC" w:rsidRPr="00A100FC" w:rsidRDefault="00A100FC" w:rsidP="00A100FC">
      <w:pPr>
        <w:numPr>
          <w:ilvl w:val="0"/>
          <w:numId w:val="13"/>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0" w:name="A4P1"/>
      <w:bookmarkEnd w:id="10"/>
      <w:r w:rsidRPr="00A100FC">
        <w:rPr>
          <w:rFonts w:ascii="Georgia" w:eastAsia="Times New Roman" w:hAnsi="Georgia" w:cs="Arial"/>
          <w:color w:val="333333"/>
          <w:sz w:val="18"/>
          <w:szCs w:val="18"/>
          <w:lang w:eastAsia="es-MX"/>
        </w:rPr>
        <w:t>1. La asistencia correrá a cargo del armador hasta la curación del enfermo o herido, o hasta que se compruebe el carácter permanente de la enfermedad o de la incapacidad.</w:t>
      </w:r>
    </w:p>
    <w:p w:rsidR="00A100FC" w:rsidRPr="00A100FC" w:rsidRDefault="00A100FC" w:rsidP="00A100FC">
      <w:pPr>
        <w:numPr>
          <w:ilvl w:val="0"/>
          <w:numId w:val="13"/>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1" w:name="A4P2"/>
      <w:bookmarkEnd w:id="11"/>
      <w:r w:rsidRPr="00A100FC">
        <w:rPr>
          <w:rFonts w:ascii="Georgia" w:eastAsia="Times New Roman" w:hAnsi="Georgia" w:cs="Arial"/>
          <w:color w:val="333333"/>
          <w:sz w:val="18"/>
          <w:szCs w:val="18"/>
          <w:lang w:eastAsia="es-MX"/>
        </w:rPr>
        <w:t>2. Sin embargo, la legislación nacional puede limitar la responsabilidad del armador al pago de los gastos del tratamiento médico y del mantenimiento durante un período que no podrá ser menor de dieciséis semanas, contado a partir del día del accidente o del comienzo de la enfermedad.</w:t>
      </w:r>
    </w:p>
    <w:p w:rsidR="00A100FC" w:rsidRPr="00A100FC" w:rsidRDefault="00A100FC" w:rsidP="00A100FC">
      <w:pPr>
        <w:numPr>
          <w:ilvl w:val="0"/>
          <w:numId w:val="13"/>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2" w:name="A4P3"/>
      <w:bookmarkEnd w:id="12"/>
      <w:r w:rsidRPr="00A100FC">
        <w:rPr>
          <w:rFonts w:ascii="Georgia" w:eastAsia="Times New Roman" w:hAnsi="Georgia" w:cs="Arial"/>
          <w:color w:val="333333"/>
          <w:sz w:val="18"/>
          <w:szCs w:val="18"/>
          <w:lang w:eastAsia="es-MX"/>
        </w:rPr>
        <w:t>3. Además, si existiera un sistema de seguro obligatorio de enfermedad, de seguro obligatorio de accidente o de indemnización por accidentes del trabajo, que se halle en vigor para la gente de mar en el territorio donde el buque esté matriculado, la legislación nacional podrá establecer:</w:t>
      </w:r>
    </w:p>
    <w:p w:rsidR="00A100FC" w:rsidRPr="00A100FC" w:rsidRDefault="00A100FC" w:rsidP="00A100FC">
      <w:pPr>
        <w:numPr>
          <w:ilvl w:val="1"/>
          <w:numId w:val="13"/>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que cesará la responsabilidad del armador, con respecto a una persona enferma o herida, a partir del momento en que esta persona tenga derecho a la asistencia médica, en virtud del sistema de seguro o de indemnización;</w:t>
      </w:r>
    </w:p>
    <w:p w:rsidR="00A100FC" w:rsidRPr="00A100FC" w:rsidRDefault="00A100FC" w:rsidP="00A100FC">
      <w:pPr>
        <w:numPr>
          <w:ilvl w:val="1"/>
          <w:numId w:val="13"/>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 xml:space="preserve">(b) que cesará la responsabilidad del armador, a partir del momento prescrito por la ley para la concesión de la asistencia médica, en virtud del sistema de seguro o de indemnización, a los beneficiarios de dicho sistema, incluso cuando la persona enferma o herida no esté protegida por el sistema en cuestión, a condición de que no esté </w:t>
      </w:r>
      <w:proofErr w:type="spellStart"/>
      <w:r w:rsidRPr="00A100FC">
        <w:rPr>
          <w:rFonts w:ascii="Georgia" w:eastAsia="Times New Roman" w:hAnsi="Georgia" w:cs="Arial"/>
          <w:color w:val="333333"/>
          <w:sz w:val="18"/>
          <w:szCs w:val="18"/>
          <w:lang w:eastAsia="es-MX"/>
        </w:rPr>
        <w:t>excluída</w:t>
      </w:r>
      <w:proofErr w:type="spellEnd"/>
      <w:r w:rsidRPr="00A100FC">
        <w:rPr>
          <w:rFonts w:ascii="Georgia" w:eastAsia="Times New Roman" w:hAnsi="Georgia" w:cs="Arial"/>
          <w:color w:val="333333"/>
          <w:sz w:val="18"/>
          <w:szCs w:val="18"/>
          <w:lang w:eastAsia="es-MX"/>
        </w:rPr>
        <w:t xml:space="preserve"> como consecuencia de cualquier restricción que se refiera particularmente a los trabajadores extranjeros o a los trabajadores que no residan en el territorio donde esté matriculado el buque.</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13" w:name="A5"/>
      <w:bookmarkEnd w:id="13"/>
      <w:r w:rsidRPr="00A100FC">
        <w:rPr>
          <w:rFonts w:ascii="Georgia" w:eastAsia="Times New Roman" w:hAnsi="Georgia" w:cs="Arial"/>
          <w:b/>
          <w:bCs/>
          <w:i/>
          <w:iCs/>
          <w:color w:val="333333"/>
          <w:sz w:val="21"/>
          <w:szCs w:val="21"/>
          <w:lang w:eastAsia="es-MX"/>
        </w:rPr>
        <w:t>Artículo 5</w:t>
      </w:r>
    </w:p>
    <w:p w:rsidR="00A100FC" w:rsidRPr="00A100FC" w:rsidRDefault="00A100FC" w:rsidP="00A100FC">
      <w:pPr>
        <w:numPr>
          <w:ilvl w:val="0"/>
          <w:numId w:val="14"/>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4" w:name="A5P1"/>
      <w:bookmarkEnd w:id="14"/>
      <w:r w:rsidRPr="00A100FC">
        <w:rPr>
          <w:rFonts w:ascii="Georgia" w:eastAsia="Times New Roman" w:hAnsi="Georgia" w:cs="Arial"/>
          <w:color w:val="333333"/>
          <w:sz w:val="18"/>
          <w:szCs w:val="18"/>
          <w:lang w:eastAsia="es-MX"/>
        </w:rPr>
        <w:t>1. Cuando la enfermedad o el accidente ocasionen una incapacidad para trabajar, el armador deberá pagar:</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la totalidad del salario, mientras el herido o enfermo permanezca a bordo;</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lastRenderedPageBreak/>
        <w:t>(b) la totalidad o una parte del salario, según determine la legislación nacional, desde el momento del desembarco hasta la curación o hasta la comprobación del carácter permanente de la enfermedad o de la incapacidad, si el enfermo o herido tiene cargas de familia.</w:t>
      </w:r>
    </w:p>
    <w:p w:rsidR="00A100FC" w:rsidRPr="00A100FC" w:rsidRDefault="00A100FC" w:rsidP="00A100FC">
      <w:pPr>
        <w:numPr>
          <w:ilvl w:val="0"/>
          <w:numId w:val="14"/>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5" w:name="A5P2"/>
      <w:bookmarkEnd w:id="15"/>
      <w:r w:rsidRPr="00A100FC">
        <w:rPr>
          <w:rFonts w:ascii="Georgia" w:eastAsia="Times New Roman" w:hAnsi="Georgia" w:cs="Arial"/>
          <w:color w:val="333333"/>
          <w:sz w:val="18"/>
          <w:szCs w:val="18"/>
          <w:lang w:eastAsia="es-MX"/>
        </w:rPr>
        <w:t>2. Sin embargo, la legislación nacional puede limitar la responsabilidad del armador, en cuanto al pago de la totalidad o parte del salario de una persona desembarcada, a un período que no podrá ser inferior a dieciséis semanas, contado a partir del día del accidente o del comienzo de la enfermedad.</w:t>
      </w:r>
    </w:p>
    <w:p w:rsidR="00A100FC" w:rsidRPr="00A100FC" w:rsidRDefault="00A100FC" w:rsidP="00A100FC">
      <w:pPr>
        <w:numPr>
          <w:ilvl w:val="0"/>
          <w:numId w:val="14"/>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6" w:name="A5P3"/>
      <w:bookmarkEnd w:id="16"/>
      <w:r w:rsidRPr="00A100FC">
        <w:rPr>
          <w:rFonts w:ascii="Georgia" w:eastAsia="Times New Roman" w:hAnsi="Georgia" w:cs="Arial"/>
          <w:color w:val="333333"/>
          <w:sz w:val="18"/>
          <w:szCs w:val="18"/>
          <w:lang w:eastAsia="es-MX"/>
        </w:rPr>
        <w:t>3. Además, si existiera un sistema de seguro obligatorio de enfermedad, de seguro obligatorio de accidente o de indemnización por accidentes del trabajo, que se halle en vigor para la gente de mar, en el territorio donde el buque esté matriculado, la legislación nacional podrá establecer:</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que cesará la responsabilidad del armador con respecto a una persona enferma o herida a partir del momento en que esta persona tenga derecho a prestaciones en dinero, en virtud del sistema de seguro o de indemnización;</w:t>
      </w:r>
    </w:p>
    <w:p w:rsidR="00A100FC" w:rsidRPr="00A100FC" w:rsidRDefault="00A100FC" w:rsidP="00A100FC">
      <w:pPr>
        <w:numPr>
          <w:ilvl w:val="1"/>
          <w:numId w:val="14"/>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 xml:space="preserve">(b) que cesará la responsabilidad del armador a partir del momento prescrito por la ley para la concesión de prestaciones en dinero, en virtud del sistema de seguro o de indemnización, a los beneficiarios de dicho sistema, incluso cuando la persona enferma o herida no esté protegida por el sistema en cuestión, a condición de que no se encuentre </w:t>
      </w:r>
      <w:proofErr w:type="spellStart"/>
      <w:r w:rsidRPr="00A100FC">
        <w:rPr>
          <w:rFonts w:ascii="Georgia" w:eastAsia="Times New Roman" w:hAnsi="Georgia" w:cs="Arial"/>
          <w:color w:val="333333"/>
          <w:sz w:val="18"/>
          <w:szCs w:val="18"/>
          <w:lang w:eastAsia="es-MX"/>
        </w:rPr>
        <w:t>excluída</w:t>
      </w:r>
      <w:proofErr w:type="spellEnd"/>
      <w:r w:rsidRPr="00A100FC">
        <w:rPr>
          <w:rFonts w:ascii="Georgia" w:eastAsia="Times New Roman" w:hAnsi="Georgia" w:cs="Arial"/>
          <w:color w:val="333333"/>
          <w:sz w:val="18"/>
          <w:szCs w:val="18"/>
          <w:lang w:eastAsia="es-MX"/>
        </w:rPr>
        <w:t xml:space="preserve"> como consecuencia de cualquier restricción que se refiera particularmente a los trabajadores extranjeros o a los trabajadores que no residan en el territorio donde esté matriculado el buque.</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17" w:name="A6"/>
      <w:bookmarkEnd w:id="17"/>
      <w:r w:rsidRPr="00A100FC">
        <w:rPr>
          <w:rFonts w:ascii="Georgia" w:eastAsia="Times New Roman" w:hAnsi="Georgia" w:cs="Arial"/>
          <w:b/>
          <w:bCs/>
          <w:i/>
          <w:iCs/>
          <w:color w:val="333333"/>
          <w:sz w:val="21"/>
          <w:szCs w:val="21"/>
          <w:lang w:eastAsia="es-MX"/>
        </w:rPr>
        <w:t>Artículo 6</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8" w:name="A6P1"/>
      <w:bookmarkEnd w:id="18"/>
      <w:r w:rsidRPr="00A100FC">
        <w:rPr>
          <w:rFonts w:ascii="Georgia" w:eastAsia="Times New Roman" w:hAnsi="Georgia" w:cs="Arial"/>
          <w:color w:val="333333"/>
          <w:sz w:val="18"/>
          <w:szCs w:val="18"/>
          <w:lang w:eastAsia="es-MX"/>
        </w:rPr>
        <w:t>1. El armador deberá sufragar los gastos de repatriación de todo enfermo o herido desembarcado durante el viaje, a consecuencia de enfermedad o accidente.</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19" w:name="A6P2"/>
      <w:bookmarkEnd w:id="19"/>
      <w:r w:rsidRPr="00A100FC">
        <w:rPr>
          <w:rFonts w:ascii="Georgia" w:eastAsia="Times New Roman" w:hAnsi="Georgia" w:cs="Arial"/>
          <w:color w:val="333333"/>
          <w:sz w:val="18"/>
          <w:szCs w:val="18"/>
          <w:lang w:eastAsia="es-MX"/>
        </w:rPr>
        <w:t>2. El puerto a que tenga derecho a ser repatriada la persona enferma o herida será:</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el puerto de enrolamiento; o</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el puerto de salida del buque; o</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un puerto de su propio país o del país donde esté su centro habitual de actividad profesional; o</w:t>
      </w:r>
    </w:p>
    <w:p w:rsidR="00A100FC" w:rsidRPr="00A100FC" w:rsidRDefault="00A100FC" w:rsidP="00A100FC">
      <w:pPr>
        <w:numPr>
          <w:ilvl w:val="1"/>
          <w:numId w:val="15"/>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 otro puerto fijado por ella y el capitán o el armador, con la aprobación de la autoridad competente.</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0" w:name="A6P3"/>
      <w:bookmarkEnd w:id="20"/>
      <w:r w:rsidRPr="00A100FC">
        <w:rPr>
          <w:rFonts w:ascii="Georgia" w:eastAsia="Times New Roman" w:hAnsi="Georgia" w:cs="Arial"/>
          <w:color w:val="333333"/>
          <w:sz w:val="18"/>
          <w:szCs w:val="18"/>
          <w:lang w:eastAsia="es-MX"/>
        </w:rPr>
        <w:lastRenderedPageBreak/>
        <w:t>3. En los gastos de repatriación se incluirán todos los referentes al transporte, alojamiento y alimentación del enfermo o del herido durante el viaje, así como los de su sostenimiento, hasta el momento fijado para su partida.</w:t>
      </w:r>
    </w:p>
    <w:p w:rsidR="00A100FC" w:rsidRPr="00A100FC" w:rsidRDefault="00A100FC" w:rsidP="00A100FC">
      <w:pPr>
        <w:numPr>
          <w:ilvl w:val="0"/>
          <w:numId w:val="15"/>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1" w:name="A6P4"/>
      <w:bookmarkEnd w:id="21"/>
      <w:r w:rsidRPr="00A100FC">
        <w:rPr>
          <w:rFonts w:ascii="Georgia" w:eastAsia="Times New Roman" w:hAnsi="Georgia" w:cs="Arial"/>
          <w:color w:val="333333"/>
          <w:sz w:val="18"/>
          <w:szCs w:val="18"/>
          <w:lang w:eastAsia="es-MX"/>
        </w:rPr>
        <w:t>4. Si el enfermo o herido pudiere trabajar, el armador podrá eximirse de la obligación de repatriarlo procurándole un empleo conveniente a bordo de un buque que se dirija a alguno de los puntos de destino previstos en el párrafo 2 del presente artículo.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2" w:name="A7"/>
      <w:bookmarkEnd w:id="22"/>
      <w:r w:rsidRPr="00A100FC">
        <w:rPr>
          <w:rFonts w:ascii="Georgia" w:eastAsia="Times New Roman" w:hAnsi="Georgia" w:cs="Arial"/>
          <w:b/>
          <w:bCs/>
          <w:i/>
          <w:iCs/>
          <w:color w:val="333333"/>
          <w:sz w:val="21"/>
          <w:szCs w:val="21"/>
          <w:lang w:eastAsia="es-MX"/>
        </w:rPr>
        <w:t>Artículo 7</w:t>
      </w:r>
    </w:p>
    <w:p w:rsidR="00A100FC" w:rsidRPr="00A100FC" w:rsidRDefault="00A100FC" w:rsidP="00A100FC">
      <w:pPr>
        <w:numPr>
          <w:ilvl w:val="0"/>
          <w:numId w:val="16"/>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3" w:name="A7P1"/>
      <w:bookmarkEnd w:id="23"/>
      <w:r w:rsidRPr="00A100FC">
        <w:rPr>
          <w:rFonts w:ascii="Georgia" w:eastAsia="Times New Roman" w:hAnsi="Georgia" w:cs="Arial"/>
          <w:color w:val="333333"/>
          <w:sz w:val="18"/>
          <w:szCs w:val="18"/>
          <w:lang w:eastAsia="es-MX"/>
        </w:rPr>
        <w:t>1. El armador deberá sufragar los gastos del funeral en caso de muerte sobrevenida a bordo, o en caso de muerte sobrevenida en tierra si en el momento de su fallecimiento el difunto hubiere podido reclamar la asistencia del armador.</w:t>
      </w:r>
    </w:p>
    <w:p w:rsidR="00A100FC" w:rsidRPr="00A100FC" w:rsidRDefault="00A100FC" w:rsidP="00A100FC">
      <w:pPr>
        <w:numPr>
          <w:ilvl w:val="0"/>
          <w:numId w:val="16"/>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24" w:name="A7P2"/>
      <w:bookmarkEnd w:id="24"/>
      <w:r w:rsidRPr="00A100FC">
        <w:rPr>
          <w:rFonts w:ascii="Georgia" w:eastAsia="Times New Roman" w:hAnsi="Georgia" w:cs="Arial"/>
          <w:color w:val="333333"/>
          <w:sz w:val="18"/>
          <w:szCs w:val="18"/>
          <w:lang w:eastAsia="es-MX"/>
        </w:rPr>
        <w:t>2. La legislación nacional podrá establecer las disposiciones necesarias para que una institución de seguro reembolse los gastos sufragados por el armador, cuando el sistema de seguro social o de indemnización prevea una prestación para gastos funerarios.</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5" w:name="A8"/>
      <w:bookmarkEnd w:id="25"/>
      <w:r w:rsidRPr="00A100FC">
        <w:rPr>
          <w:rFonts w:ascii="Georgia" w:eastAsia="Times New Roman" w:hAnsi="Georgia" w:cs="Arial"/>
          <w:b/>
          <w:bCs/>
          <w:i/>
          <w:iCs/>
          <w:color w:val="333333"/>
          <w:sz w:val="21"/>
          <w:szCs w:val="21"/>
          <w:lang w:eastAsia="es-MX"/>
        </w:rPr>
        <w:t>Artículo 8</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 legislación nacional deberá exigir al armador o a su representante la adopción de medidas para proteger los bienes dejados a bordo por las personas enfermas, heridas o muertas, a las que se aplique el presente Convenio.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6" w:name="A9"/>
      <w:bookmarkEnd w:id="26"/>
      <w:r w:rsidRPr="00A100FC">
        <w:rPr>
          <w:rFonts w:ascii="Georgia" w:eastAsia="Times New Roman" w:hAnsi="Georgia" w:cs="Arial"/>
          <w:b/>
          <w:bCs/>
          <w:i/>
          <w:iCs/>
          <w:color w:val="333333"/>
          <w:sz w:val="21"/>
          <w:szCs w:val="21"/>
          <w:lang w:eastAsia="es-MX"/>
        </w:rPr>
        <w:t>Artículo 9</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 legislación nacional deberá establecer disposiciones que tiendan a obtener una solución rápida y poco costosa de los litigios a que puedan dar lugar las obligaciones del armador, en virtud del presente Convenio.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7" w:name="A10"/>
      <w:bookmarkEnd w:id="27"/>
      <w:r w:rsidRPr="00A100FC">
        <w:rPr>
          <w:rFonts w:ascii="Georgia" w:eastAsia="Times New Roman" w:hAnsi="Georgia" w:cs="Arial"/>
          <w:b/>
          <w:bCs/>
          <w:i/>
          <w:iCs/>
          <w:color w:val="333333"/>
          <w:sz w:val="21"/>
          <w:szCs w:val="21"/>
          <w:lang w:eastAsia="es-MX"/>
        </w:rPr>
        <w:t>Artículo 10</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El armador podrá ser eximido de las obligaciones estipuladas en los artículos 4, 6 y 7 del presente Convenio, siempre que los poderes públicos asuman la responsabilidad que de dichas obligaciones se deriva.</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8" w:name="A11"/>
      <w:bookmarkEnd w:id="28"/>
      <w:r w:rsidRPr="00A100FC">
        <w:rPr>
          <w:rFonts w:ascii="Georgia" w:eastAsia="Times New Roman" w:hAnsi="Georgia" w:cs="Arial"/>
          <w:b/>
          <w:bCs/>
          <w:i/>
          <w:iCs/>
          <w:color w:val="333333"/>
          <w:sz w:val="21"/>
          <w:szCs w:val="21"/>
          <w:lang w:eastAsia="es-MX"/>
        </w:rPr>
        <w:t>Artículo 11</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Este Convenio y la legislación nacional, en lo concerniente a las prestaciones devengadas en virtud de este Convenio, deberán interpretarse y aplicarse de suerte que garanticen la igualdad de trato a toda la gente de mar sin distinción de nacionalidad, residencia o raza.</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29" w:name="A12"/>
      <w:bookmarkEnd w:id="29"/>
      <w:r w:rsidRPr="00A100FC">
        <w:rPr>
          <w:rFonts w:ascii="Georgia" w:eastAsia="Times New Roman" w:hAnsi="Georgia" w:cs="Arial"/>
          <w:b/>
          <w:bCs/>
          <w:i/>
          <w:iCs/>
          <w:color w:val="333333"/>
          <w:sz w:val="21"/>
          <w:szCs w:val="21"/>
          <w:lang w:eastAsia="es-MX"/>
        </w:rPr>
        <w:t>Artículo 12</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lastRenderedPageBreak/>
        <w:t>Ninguna de las disposiciones del presente Convenio menoscabará en modo alguno las leyes, sentencias, costumbres o acuerdos celebrados entre armadores y gente de mar que garanticen condiciones más favorables que las prescritas en este Convenio.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0" w:name="A13"/>
      <w:bookmarkEnd w:id="30"/>
      <w:r w:rsidRPr="00A100FC">
        <w:rPr>
          <w:rFonts w:ascii="Georgia" w:eastAsia="Times New Roman" w:hAnsi="Georgia" w:cs="Arial"/>
          <w:b/>
          <w:bCs/>
          <w:i/>
          <w:iCs/>
          <w:color w:val="333333"/>
          <w:sz w:val="21"/>
          <w:szCs w:val="21"/>
          <w:lang w:eastAsia="es-MX"/>
        </w:rPr>
        <w:t>Artículo 13</w:t>
      </w:r>
    </w:p>
    <w:p w:rsidR="00A100FC" w:rsidRPr="00A100FC" w:rsidRDefault="00A100FC" w:rsidP="00A100FC">
      <w:pPr>
        <w:numPr>
          <w:ilvl w:val="0"/>
          <w:numId w:val="17"/>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1" w:name="A13P1"/>
      <w:bookmarkEnd w:id="31"/>
      <w:r w:rsidRPr="00A100FC">
        <w:rPr>
          <w:rFonts w:ascii="Georgia" w:eastAsia="Times New Roman" w:hAnsi="Georgia" w:cs="Arial"/>
          <w:color w:val="333333"/>
          <w:sz w:val="18"/>
          <w:szCs w:val="18"/>
          <w:lang w:eastAsia="es-MX"/>
        </w:rPr>
        <w:t>1. Respecto de los territorios mencionados en el artículo 35 de la Constitución de la Organización Internacional del Trabajo, todo Miembro de la Organización que ratifique el presente Convenio anexará a su ratificación una declaración en la que manifieste:</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(a) los territorios respecto de los cuales se obliga a que las disposiciones del Convenio sean aplicadas sin modificaciones;</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(b) los territorios respecto de los cuales se obliga a que las disposiciones del Convenio sean aplicadas con modificaciones, junto con los detalles de dichas modificaciones;</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(c) los territorios respecto de los cuales es inaplicable el Convenio y los motivos por los que es inaplicable;</w:t>
      </w:r>
    </w:p>
    <w:p w:rsidR="00A100FC" w:rsidRPr="00A100FC" w:rsidRDefault="00A100FC" w:rsidP="00A100FC">
      <w:pPr>
        <w:numPr>
          <w:ilvl w:val="1"/>
          <w:numId w:val="17"/>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(d) los territorios respecto de los cuales reserva su decisión.</w:t>
      </w:r>
    </w:p>
    <w:p w:rsidR="00A100FC" w:rsidRPr="00A100FC" w:rsidRDefault="00A100FC" w:rsidP="00A100FC">
      <w:pPr>
        <w:numPr>
          <w:ilvl w:val="0"/>
          <w:numId w:val="17"/>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2" w:name="A13P2"/>
      <w:bookmarkEnd w:id="32"/>
      <w:r w:rsidRPr="00A100FC">
        <w:rPr>
          <w:rFonts w:ascii="Georgia" w:eastAsia="Times New Roman" w:hAnsi="Georgia" w:cs="Arial"/>
          <w:color w:val="333333"/>
          <w:sz w:val="18"/>
          <w:szCs w:val="18"/>
          <w:lang w:eastAsia="es-MX"/>
        </w:rPr>
        <w:t>2. Las obligaciones a que se refieren los apartados a) y b) del párrafo 1 de este artículo se considerarán parte integrante de la ratificación y producirán sus mismos efectos.</w:t>
      </w:r>
    </w:p>
    <w:p w:rsidR="00A100FC" w:rsidRPr="00A100FC" w:rsidRDefault="00A100FC" w:rsidP="00A100FC">
      <w:pPr>
        <w:numPr>
          <w:ilvl w:val="0"/>
          <w:numId w:val="17"/>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3" w:name="A13P3"/>
      <w:bookmarkEnd w:id="33"/>
      <w:r w:rsidRPr="00A100FC">
        <w:rPr>
          <w:rFonts w:ascii="Georgia" w:eastAsia="Times New Roman" w:hAnsi="Georgia" w:cs="Arial"/>
          <w:color w:val="333333"/>
          <w:sz w:val="18"/>
          <w:szCs w:val="18"/>
          <w:lang w:eastAsia="es-MX"/>
        </w:rPr>
        <w:t>3. Todo Miembro podrá renunciar, total o parcialmente, por medio de una nueva declaración, a cualquier reserva formulada en su primera declaración en virtud de los apartados b), c) o d) del párrafo 1 de este artículo.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4" w:name="A14"/>
      <w:bookmarkEnd w:id="34"/>
      <w:r w:rsidRPr="00A100FC">
        <w:rPr>
          <w:rFonts w:ascii="Georgia" w:eastAsia="Times New Roman" w:hAnsi="Georgia" w:cs="Arial"/>
          <w:b/>
          <w:bCs/>
          <w:i/>
          <w:iCs/>
          <w:color w:val="333333"/>
          <w:sz w:val="21"/>
          <w:szCs w:val="21"/>
          <w:lang w:eastAsia="es-MX"/>
        </w:rPr>
        <w:t>Artículo 14</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Las ratificaciones formales del presente Convenio serán comunicadas, para su registro, al Director General de la Oficina Internacional del Trabajo.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5" w:name="A15"/>
      <w:bookmarkEnd w:id="35"/>
      <w:r w:rsidRPr="00A100FC">
        <w:rPr>
          <w:rFonts w:ascii="Georgia" w:eastAsia="Times New Roman" w:hAnsi="Georgia" w:cs="Arial"/>
          <w:b/>
          <w:bCs/>
          <w:i/>
          <w:iCs/>
          <w:color w:val="333333"/>
          <w:sz w:val="21"/>
          <w:szCs w:val="21"/>
          <w:lang w:eastAsia="es-MX"/>
        </w:rPr>
        <w:t>Artículo 15</w:t>
      </w:r>
    </w:p>
    <w:p w:rsidR="00A100FC" w:rsidRPr="00A100FC" w:rsidRDefault="00A100FC" w:rsidP="00A100FC">
      <w:pPr>
        <w:numPr>
          <w:ilvl w:val="0"/>
          <w:numId w:val="18"/>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6" w:name="A15P1"/>
      <w:bookmarkEnd w:id="36"/>
      <w:r w:rsidRPr="00A100FC">
        <w:rPr>
          <w:rFonts w:ascii="Georgia" w:eastAsia="Times New Roman" w:hAnsi="Georgia" w:cs="Arial"/>
          <w:color w:val="333333"/>
          <w:sz w:val="18"/>
          <w:szCs w:val="18"/>
          <w:lang w:eastAsia="es-MX"/>
        </w:rPr>
        <w:t>1. Este Convenio obligará únicamente a aquellos Miembros de la Organización Internacional del Trabajo cuyas ratificaciones haya registrado el Director General.</w:t>
      </w:r>
    </w:p>
    <w:p w:rsidR="00A100FC" w:rsidRPr="00A100FC" w:rsidRDefault="00A100FC" w:rsidP="00A100FC">
      <w:pPr>
        <w:numPr>
          <w:ilvl w:val="0"/>
          <w:numId w:val="18"/>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7" w:name="A15P2"/>
      <w:bookmarkEnd w:id="37"/>
      <w:r w:rsidRPr="00A100FC">
        <w:rPr>
          <w:rFonts w:ascii="Georgia" w:eastAsia="Times New Roman" w:hAnsi="Georgia" w:cs="Arial"/>
          <w:color w:val="333333"/>
          <w:sz w:val="18"/>
          <w:szCs w:val="18"/>
          <w:lang w:eastAsia="es-MX"/>
        </w:rPr>
        <w:t>2. Entrará en vigor doce meses después de la fecha en que las ratificaciones de dos Miembros hayan sido registradas por el Director General.</w:t>
      </w:r>
    </w:p>
    <w:p w:rsidR="00A100FC" w:rsidRPr="00A100FC" w:rsidRDefault="00A100FC" w:rsidP="00A100FC">
      <w:pPr>
        <w:numPr>
          <w:ilvl w:val="0"/>
          <w:numId w:val="18"/>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38" w:name="A15P3"/>
      <w:bookmarkEnd w:id="38"/>
      <w:r w:rsidRPr="00A100FC">
        <w:rPr>
          <w:rFonts w:ascii="Georgia" w:eastAsia="Times New Roman" w:hAnsi="Georgia" w:cs="Arial"/>
          <w:color w:val="333333"/>
          <w:sz w:val="18"/>
          <w:szCs w:val="18"/>
          <w:lang w:eastAsia="es-MX"/>
        </w:rPr>
        <w:lastRenderedPageBreak/>
        <w:t>3. Desde dicho momento, este Convenio entrará en vigor, para cada Miembro, doce meses después de la fecha en que haya sido registrada su ratificación.</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39" w:name="A16"/>
      <w:bookmarkEnd w:id="39"/>
      <w:r w:rsidRPr="00A100FC">
        <w:rPr>
          <w:rFonts w:ascii="Georgia" w:eastAsia="Times New Roman" w:hAnsi="Georgia" w:cs="Arial"/>
          <w:b/>
          <w:bCs/>
          <w:i/>
          <w:iCs/>
          <w:color w:val="333333"/>
          <w:sz w:val="21"/>
          <w:szCs w:val="21"/>
          <w:lang w:eastAsia="es-MX"/>
        </w:rPr>
        <w:t>Artículo 16</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0" w:name="A17"/>
      <w:bookmarkEnd w:id="40"/>
      <w:r w:rsidRPr="00A100FC">
        <w:rPr>
          <w:rFonts w:ascii="Georgia" w:eastAsia="Times New Roman" w:hAnsi="Georgia" w:cs="Arial"/>
          <w:b/>
          <w:bCs/>
          <w:i/>
          <w:iCs/>
          <w:color w:val="333333"/>
          <w:sz w:val="21"/>
          <w:szCs w:val="21"/>
          <w:lang w:eastAsia="es-MX"/>
        </w:rPr>
        <w:t>Artículo 17</w:t>
      </w:r>
    </w:p>
    <w:p w:rsidR="00A100FC" w:rsidRPr="00A100FC" w:rsidRDefault="00A100FC" w:rsidP="00A100FC">
      <w:pPr>
        <w:numPr>
          <w:ilvl w:val="0"/>
          <w:numId w:val="19"/>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1" w:name="A17P1"/>
      <w:bookmarkEnd w:id="41"/>
      <w:r w:rsidRPr="00A100FC">
        <w:rPr>
          <w:rFonts w:ascii="Georgia" w:eastAsia="Times New Roman" w:hAnsi="Georgia" w:cs="Arial"/>
          <w:color w:val="333333"/>
          <w:sz w:val="18"/>
          <w:szCs w:val="18"/>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A100FC" w:rsidRPr="00A100FC" w:rsidRDefault="00A100FC" w:rsidP="00A100FC">
      <w:pPr>
        <w:numPr>
          <w:ilvl w:val="0"/>
          <w:numId w:val="19"/>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2" w:name="A17P2"/>
      <w:bookmarkEnd w:id="42"/>
      <w:r w:rsidRPr="00A100FC">
        <w:rPr>
          <w:rFonts w:ascii="Georgia" w:eastAsia="Times New Roman" w:hAnsi="Georgia" w:cs="Arial"/>
          <w:color w:val="333333"/>
          <w:sz w:val="18"/>
          <w:szCs w:val="18"/>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3" w:name="A18"/>
      <w:bookmarkEnd w:id="43"/>
      <w:r w:rsidRPr="00A100FC">
        <w:rPr>
          <w:rFonts w:ascii="Georgia" w:eastAsia="Times New Roman" w:hAnsi="Georgia" w:cs="Arial"/>
          <w:b/>
          <w:bCs/>
          <w:i/>
          <w:iCs/>
          <w:color w:val="333333"/>
          <w:sz w:val="21"/>
          <w:szCs w:val="21"/>
          <w:lang w:eastAsia="es-MX"/>
        </w:rPr>
        <w:t>Artículo 18</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 xml:space="preserve">A la expiración de cada período de diez años, a partir de la fecha en que este Convenio entre en vigor, el Consejo de Administración de la Oficina Internacional del Trabajo deberá presentar a la Conferencia General una memoria sobre la </w:t>
      </w:r>
      <w:proofErr w:type="spellStart"/>
      <w:r w:rsidRPr="00A100FC">
        <w:rPr>
          <w:rFonts w:ascii="Georgia" w:eastAsia="Times New Roman" w:hAnsi="Georgia" w:cs="Arial"/>
          <w:color w:val="333333"/>
          <w:sz w:val="18"/>
          <w:szCs w:val="18"/>
          <w:lang w:eastAsia="es-MX"/>
        </w:rPr>
        <w:t>aplicacion</w:t>
      </w:r>
      <w:proofErr w:type="spellEnd"/>
      <w:r w:rsidRPr="00A100FC">
        <w:rPr>
          <w:rFonts w:ascii="Georgia" w:eastAsia="Times New Roman" w:hAnsi="Georgia" w:cs="Arial"/>
          <w:color w:val="333333"/>
          <w:sz w:val="18"/>
          <w:szCs w:val="18"/>
          <w:lang w:eastAsia="es-MX"/>
        </w:rPr>
        <w:t xml:space="preserve"> de este Convenio, y deberá considerar la conveniencia de incluir en el orden del día de la Conferencia la cuestión de la </w:t>
      </w:r>
      <w:proofErr w:type="spellStart"/>
      <w:r w:rsidRPr="00A100FC">
        <w:rPr>
          <w:rFonts w:ascii="Georgia" w:eastAsia="Times New Roman" w:hAnsi="Georgia" w:cs="Arial"/>
          <w:color w:val="333333"/>
          <w:sz w:val="18"/>
          <w:szCs w:val="18"/>
          <w:lang w:eastAsia="es-MX"/>
        </w:rPr>
        <w:t>revisíon</w:t>
      </w:r>
      <w:proofErr w:type="spellEnd"/>
      <w:r w:rsidRPr="00A100FC">
        <w:rPr>
          <w:rFonts w:ascii="Georgia" w:eastAsia="Times New Roman" w:hAnsi="Georgia" w:cs="Arial"/>
          <w:color w:val="333333"/>
          <w:sz w:val="18"/>
          <w:szCs w:val="18"/>
          <w:lang w:eastAsia="es-MX"/>
        </w:rPr>
        <w:t xml:space="preserve"> total o parcial del mismo.</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4" w:name="A19"/>
      <w:bookmarkEnd w:id="44"/>
      <w:r w:rsidRPr="00A100FC">
        <w:rPr>
          <w:rFonts w:ascii="Georgia" w:eastAsia="Times New Roman" w:hAnsi="Georgia" w:cs="Arial"/>
          <w:b/>
          <w:bCs/>
          <w:i/>
          <w:iCs/>
          <w:color w:val="333333"/>
          <w:sz w:val="21"/>
          <w:szCs w:val="21"/>
          <w:lang w:eastAsia="es-MX"/>
        </w:rPr>
        <w:t>Artículo 19</w:t>
      </w:r>
    </w:p>
    <w:p w:rsidR="00A100FC" w:rsidRPr="00A100FC" w:rsidRDefault="00A100FC" w:rsidP="00A100FC">
      <w:pPr>
        <w:numPr>
          <w:ilvl w:val="0"/>
          <w:numId w:val="2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5" w:name="A19P1"/>
      <w:bookmarkEnd w:id="45"/>
      <w:r w:rsidRPr="00A100FC">
        <w:rPr>
          <w:rFonts w:ascii="Georgia" w:eastAsia="Times New Roman" w:hAnsi="Georgia" w:cs="Arial"/>
          <w:color w:val="333333"/>
          <w:sz w:val="18"/>
          <w:szCs w:val="18"/>
          <w:lang w:eastAsia="es-MX"/>
        </w:rPr>
        <w:t>1. En caso de que la Conferencia adopte un nuevo convenio que implique una revisión total o parcial del presente, y a menos que el nuevo convenio contenga disposiciones en contrario:</w:t>
      </w:r>
    </w:p>
    <w:p w:rsidR="00A100FC" w:rsidRPr="00A100FC" w:rsidRDefault="00A100FC" w:rsidP="00A100FC">
      <w:pPr>
        <w:numPr>
          <w:ilvl w:val="1"/>
          <w:numId w:val="2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 xml:space="preserve">(a) la ratificación, por un Miembro, del nuevo convenio revisor implicará, ipso jure, la denuncia inmediata de este Convenio, no </w:t>
      </w:r>
      <w:proofErr w:type="gramStart"/>
      <w:r w:rsidRPr="00A100FC">
        <w:rPr>
          <w:rFonts w:ascii="Georgia" w:eastAsia="Times New Roman" w:hAnsi="Georgia" w:cs="Arial"/>
          <w:color w:val="333333"/>
          <w:sz w:val="18"/>
          <w:szCs w:val="18"/>
          <w:lang w:eastAsia="es-MX"/>
        </w:rPr>
        <w:t>obstante</w:t>
      </w:r>
      <w:proofErr w:type="gramEnd"/>
      <w:r w:rsidRPr="00A100FC">
        <w:rPr>
          <w:rFonts w:ascii="Georgia" w:eastAsia="Times New Roman" w:hAnsi="Georgia" w:cs="Arial"/>
          <w:color w:val="333333"/>
          <w:sz w:val="18"/>
          <w:szCs w:val="18"/>
          <w:lang w:eastAsia="es-MX"/>
        </w:rPr>
        <w:t xml:space="preserve"> las disposiciones contenidas en el artículo 17, siempre que el nuevo convenio revisor haya entrado en vigor;</w:t>
      </w:r>
    </w:p>
    <w:p w:rsidR="00A100FC" w:rsidRPr="00A100FC" w:rsidRDefault="00A100FC" w:rsidP="00A100FC">
      <w:pPr>
        <w:numPr>
          <w:ilvl w:val="1"/>
          <w:numId w:val="20"/>
        </w:numPr>
        <w:shd w:val="clear" w:color="auto" w:fill="FFFFFF"/>
        <w:spacing w:after="144" w:line="408" w:lineRule="atLeast"/>
        <w:ind w:left="480"/>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lastRenderedPageBreak/>
        <w:t>(b) a partir de la fecha en que entre en vigor el nuevo convenio revisor, el presente Convenio cesará de estar abierto a la ratificación por los Miembros.</w:t>
      </w:r>
    </w:p>
    <w:p w:rsidR="00A100FC" w:rsidRPr="00A100FC" w:rsidRDefault="00A100FC" w:rsidP="00A100FC">
      <w:pPr>
        <w:numPr>
          <w:ilvl w:val="0"/>
          <w:numId w:val="20"/>
        </w:numPr>
        <w:shd w:val="clear" w:color="auto" w:fill="FFFFFF"/>
        <w:spacing w:after="144" w:line="408" w:lineRule="atLeast"/>
        <w:ind w:left="0"/>
        <w:jc w:val="both"/>
        <w:rPr>
          <w:rFonts w:ascii="Georgia" w:eastAsia="Times New Roman" w:hAnsi="Georgia" w:cs="Arial"/>
          <w:color w:val="333333"/>
          <w:sz w:val="18"/>
          <w:szCs w:val="18"/>
          <w:lang w:eastAsia="es-MX"/>
        </w:rPr>
      </w:pPr>
      <w:bookmarkStart w:id="46" w:name="A19P2"/>
      <w:bookmarkEnd w:id="46"/>
      <w:r w:rsidRPr="00A100FC">
        <w:rPr>
          <w:rFonts w:ascii="Georgia" w:eastAsia="Times New Roman" w:hAnsi="Georgia" w:cs="Arial"/>
          <w:color w:val="333333"/>
          <w:sz w:val="18"/>
          <w:szCs w:val="18"/>
          <w:lang w:eastAsia="es-MX"/>
        </w:rPr>
        <w:t>2. Este Convenio continuará en vigor en todo caso, en su forma y contenido actuales, para los Miembros que lo hayan ratificado y no ratifiquen el convenio revisor.</w:t>
      </w:r>
    </w:p>
    <w:p w:rsidR="00A100FC" w:rsidRPr="00A100FC" w:rsidRDefault="00A100FC" w:rsidP="00A100FC">
      <w:pPr>
        <w:pBdr>
          <w:bottom w:val="dotted" w:sz="2" w:space="0" w:color="BBBBBB"/>
        </w:pBdr>
        <w:shd w:val="clear" w:color="auto" w:fill="FFFFFF"/>
        <w:spacing w:after="75" w:line="408" w:lineRule="atLeast"/>
        <w:jc w:val="both"/>
        <w:outlineLvl w:val="4"/>
        <w:rPr>
          <w:rFonts w:ascii="Georgia" w:eastAsia="Times New Roman" w:hAnsi="Georgia" w:cs="Arial"/>
          <w:b/>
          <w:bCs/>
          <w:i/>
          <w:iCs/>
          <w:color w:val="333333"/>
          <w:sz w:val="21"/>
          <w:szCs w:val="21"/>
          <w:lang w:eastAsia="es-MX"/>
        </w:rPr>
      </w:pPr>
      <w:bookmarkStart w:id="47" w:name="A20"/>
      <w:bookmarkEnd w:id="47"/>
      <w:r w:rsidRPr="00A100FC">
        <w:rPr>
          <w:rFonts w:ascii="Georgia" w:eastAsia="Times New Roman" w:hAnsi="Georgia" w:cs="Arial"/>
          <w:b/>
          <w:bCs/>
          <w:i/>
          <w:iCs/>
          <w:color w:val="333333"/>
          <w:sz w:val="21"/>
          <w:szCs w:val="21"/>
          <w:lang w:eastAsia="es-MX"/>
        </w:rPr>
        <w:t>Artículo 20</w:t>
      </w:r>
    </w:p>
    <w:p w:rsidR="00A100FC" w:rsidRPr="00A100FC" w:rsidRDefault="00A100FC" w:rsidP="00A100FC">
      <w:pPr>
        <w:shd w:val="clear" w:color="auto" w:fill="FFFFFF"/>
        <w:spacing w:after="240" w:line="408" w:lineRule="atLeast"/>
        <w:jc w:val="both"/>
        <w:rPr>
          <w:rFonts w:ascii="Georgia" w:eastAsia="Times New Roman" w:hAnsi="Georgia" w:cs="Arial"/>
          <w:color w:val="333333"/>
          <w:sz w:val="18"/>
          <w:szCs w:val="18"/>
          <w:lang w:eastAsia="es-MX"/>
        </w:rPr>
      </w:pPr>
      <w:r w:rsidRPr="00A100FC">
        <w:rPr>
          <w:rFonts w:ascii="Georgia" w:eastAsia="Times New Roman" w:hAnsi="Georgia" w:cs="Arial"/>
          <w:color w:val="333333"/>
          <w:sz w:val="18"/>
          <w:szCs w:val="18"/>
          <w:lang w:eastAsia="es-MX"/>
        </w:rPr>
        <w:t>Las versiones inglesa y francesa del texto de este Convenio son igualmente auténticas.</w:t>
      </w:r>
    </w:p>
    <w:p w:rsidR="00E852BB" w:rsidRPr="00A80773" w:rsidRDefault="00E852BB" w:rsidP="00A80773">
      <w:pPr>
        <w:jc w:val="both"/>
        <w:rPr>
          <w:rFonts w:ascii="Arial" w:hAnsi="Arial" w:cs="Arial"/>
        </w:rPr>
      </w:pPr>
    </w:p>
    <w:sectPr w:rsidR="00E852BB" w:rsidRPr="00A807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38A"/>
    <w:multiLevelType w:val="multilevel"/>
    <w:tmpl w:val="98B4B0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DCE"/>
    <w:multiLevelType w:val="multilevel"/>
    <w:tmpl w:val="5C2680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28F1"/>
    <w:multiLevelType w:val="multilevel"/>
    <w:tmpl w:val="E208D8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881"/>
    <w:multiLevelType w:val="multilevel"/>
    <w:tmpl w:val="6CBA8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57AFD"/>
    <w:multiLevelType w:val="multilevel"/>
    <w:tmpl w:val="01102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51421"/>
    <w:multiLevelType w:val="multilevel"/>
    <w:tmpl w:val="C92C2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66237"/>
    <w:multiLevelType w:val="multilevel"/>
    <w:tmpl w:val="5B1CD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45A32"/>
    <w:multiLevelType w:val="multilevel"/>
    <w:tmpl w:val="0B5A0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12BE1"/>
    <w:multiLevelType w:val="multilevel"/>
    <w:tmpl w:val="1528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1314C"/>
    <w:multiLevelType w:val="multilevel"/>
    <w:tmpl w:val="BE763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F7660"/>
    <w:multiLevelType w:val="multilevel"/>
    <w:tmpl w:val="1708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15F50"/>
    <w:multiLevelType w:val="multilevel"/>
    <w:tmpl w:val="8F1469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2769F"/>
    <w:multiLevelType w:val="multilevel"/>
    <w:tmpl w:val="126ACF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734D"/>
    <w:multiLevelType w:val="multilevel"/>
    <w:tmpl w:val="4EDCA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3025E"/>
    <w:multiLevelType w:val="multilevel"/>
    <w:tmpl w:val="11DA32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41442"/>
    <w:multiLevelType w:val="multilevel"/>
    <w:tmpl w:val="A5DC8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1795A"/>
    <w:multiLevelType w:val="multilevel"/>
    <w:tmpl w:val="9252E8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455"/>
    <w:multiLevelType w:val="multilevel"/>
    <w:tmpl w:val="A34AE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A3647"/>
    <w:multiLevelType w:val="multilevel"/>
    <w:tmpl w:val="14BCBC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F388A"/>
    <w:multiLevelType w:val="multilevel"/>
    <w:tmpl w:val="7828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12"/>
  </w:num>
  <w:num w:numId="5">
    <w:abstractNumId w:val="8"/>
  </w:num>
  <w:num w:numId="6">
    <w:abstractNumId w:val="15"/>
  </w:num>
  <w:num w:numId="7">
    <w:abstractNumId w:val="19"/>
  </w:num>
  <w:num w:numId="8">
    <w:abstractNumId w:val="6"/>
  </w:num>
  <w:num w:numId="9">
    <w:abstractNumId w:val="1"/>
  </w:num>
  <w:num w:numId="10">
    <w:abstractNumId w:val="9"/>
  </w:num>
  <w:num w:numId="11">
    <w:abstractNumId w:val="14"/>
  </w:num>
  <w:num w:numId="12">
    <w:abstractNumId w:val="7"/>
  </w:num>
  <w:num w:numId="13">
    <w:abstractNumId w:val="16"/>
  </w:num>
  <w:num w:numId="14">
    <w:abstractNumId w:val="11"/>
  </w:num>
  <w:num w:numId="15">
    <w:abstractNumId w:val="2"/>
  </w:num>
  <w:num w:numId="16">
    <w:abstractNumId w:val="4"/>
  </w:num>
  <w:num w:numId="17">
    <w:abstractNumId w:val="17"/>
  </w:num>
  <w:num w:numId="18">
    <w:abstractNumId w:val="13"/>
  </w:num>
  <w:num w:numId="19">
    <w:abstractNumId w:val="5"/>
  </w:num>
  <w:num w:numId="20">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6D0C99"/>
    <w:rsid w:val="008112D8"/>
    <w:rsid w:val="009620BF"/>
    <w:rsid w:val="009B6C1C"/>
    <w:rsid w:val="00A100FC"/>
    <w:rsid w:val="00A80773"/>
    <w:rsid w:val="00B20D37"/>
    <w:rsid w:val="00DD46DD"/>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80B"/>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298418">
      <w:bodyDiv w:val="1"/>
      <w:marLeft w:val="0"/>
      <w:marRight w:val="0"/>
      <w:marTop w:val="0"/>
      <w:marBottom w:val="0"/>
      <w:divBdr>
        <w:top w:val="none" w:sz="0" w:space="0" w:color="auto"/>
        <w:left w:val="none" w:sz="0" w:space="0" w:color="auto"/>
        <w:bottom w:val="none" w:sz="0" w:space="0" w:color="auto"/>
        <w:right w:val="none" w:sz="0" w:space="0" w:color="auto"/>
      </w:divBdr>
      <w:divsChild>
        <w:div w:id="27679228">
          <w:marLeft w:val="0"/>
          <w:marRight w:val="0"/>
          <w:marTop w:val="0"/>
          <w:marBottom w:val="225"/>
          <w:divBdr>
            <w:top w:val="none" w:sz="0" w:space="0" w:color="auto"/>
            <w:left w:val="none" w:sz="0" w:space="0" w:color="auto"/>
            <w:bottom w:val="none" w:sz="0" w:space="0" w:color="auto"/>
            <w:right w:val="none" w:sz="0" w:space="0" w:color="auto"/>
          </w:divBdr>
        </w:div>
        <w:div w:id="1844121384">
          <w:marLeft w:val="0"/>
          <w:marRight w:val="0"/>
          <w:marTop w:val="0"/>
          <w:marBottom w:val="0"/>
          <w:divBdr>
            <w:top w:val="none" w:sz="0" w:space="0" w:color="auto"/>
            <w:left w:val="none" w:sz="0" w:space="0" w:color="auto"/>
            <w:bottom w:val="none" w:sz="0" w:space="0" w:color="auto"/>
            <w:right w:val="none" w:sz="0" w:space="0" w:color="auto"/>
          </w:divBdr>
          <w:divsChild>
            <w:div w:id="181282771">
              <w:marLeft w:val="0"/>
              <w:marRight w:val="0"/>
              <w:marTop w:val="0"/>
              <w:marBottom w:val="0"/>
              <w:divBdr>
                <w:top w:val="none" w:sz="0" w:space="0" w:color="auto"/>
                <w:left w:val="none" w:sz="0" w:space="0" w:color="auto"/>
                <w:bottom w:val="none" w:sz="0" w:space="0" w:color="auto"/>
                <w:right w:val="none" w:sz="0" w:space="0" w:color="auto"/>
              </w:divBdr>
              <w:divsChild>
                <w:div w:id="829756995">
                  <w:marLeft w:val="0"/>
                  <w:marRight w:val="0"/>
                  <w:marTop w:val="0"/>
                  <w:marBottom w:val="0"/>
                  <w:divBdr>
                    <w:top w:val="none" w:sz="0" w:space="0" w:color="auto"/>
                    <w:left w:val="none" w:sz="0" w:space="0" w:color="auto"/>
                    <w:bottom w:val="none" w:sz="0" w:space="0" w:color="auto"/>
                    <w:right w:val="none" w:sz="0" w:space="0" w:color="auto"/>
                  </w:divBdr>
                  <w:divsChild>
                    <w:div w:id="88698833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2082</Words>
  <Characters>11456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2023-01-14T01:14:00Z</dcterms:created>
  <dcterms:modified xsi:type="dcterms:W3CDTF">2023-01-14T01:14:00Z</dcterms:modified>
</cp:coreProperties>
</file>