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2C23" w14:textId="77777777" w:rsidR="0087361B" w:rsidRDefault="00000000">
      <w:pPr>
        <w:pStyle w:val="Estilo"/>
      </w:pPr>
      <w:r>
        <w:t>CONVENIO 118 RELATIVO A LA IGUALDAD DE TRATO DE NACIONALES Y EXTRANJEROS EN MATERIA DE SEGURIDAD SOCIAL</w:t>
      </w:r>
    </w:p>
    <w:p w14:paraId="08D43A2C" w14:textId="77777777" w:rsidR="0087361B" w:rsidRDefault="0087361B">
      <w:pPr>
        <w:pStyle w:val="Estilo"/>
      </w:pPr>
    </w:p>
    <w:p w14:paraId="50C85C69" w14:textId="77777777" w:rsidR="0087361B" w:rsidRDefault="00000000">
      <w:pPr>
        <w:pStyle w:val="Estilo"/>
      </w:pPr>
      <w:r>
        <w:t>TEXTO ORIGINAL.</w:t>
      </w:r>
    </w:p>
    <w:p w14:paraId="318E0B5A" w14:textId="77777777" w:rsidR="0087361B" w:rsidRDefault="0087361B">
      <w:pPr>
        <w:pStyle w:val="Estilo"/>
      </w:pPr>
    </w:p>
    <w:p w14:paraId="3156420E" w14:textId="77777777" w:rsidR="0087361B" w:rsidRDefault="00000000">
      <w:pPr>
        <w:pStyle w:val="Estilo"/>
      </w:pPr>
      <w:r>
        <w:t>Convenio publicado en el Diario Oficial de la Federación, el miércoles 15 de febrero de 1978.</w:t>
      </w:r>
    </w:p>
    <w:p w14:paraId="5530DC11" w14:textId="77777777" w:rsidR="0087361B" w:rsidRDefault="0087361B">
      <w:pPr>
        <w:pStyle w:val="Estilo"/>
      </w:pPr>
    </w:p>
    <w:p w14:paraId="4E774EDE" w14:textId="77777777" w:rsidR="0087361B" w:rsidRDefault="00000000">
      <w:pPr>
        <w:pStyle w:val="Estilo"/>
      </w:pPr>
      <w:r>
        <w:t>Al margen un sello con el Escudo Nacional, que dice: Estados Unidos Mexicanos.- Presidencia de la República.</w:t>
      </w:r>
    </w:p>
    <w:p w14:paraId="52197A8E" w14:textId="77777777" w:rsidR="0087361B" w:rsidRDefault="0087361B">
      <w:pPr>
        <w:pStyle w:val="Estilo"/>
      </w:pPr>
    </w:p>
    <w:p w14:paraId="367F869C" w14:textId="77777777" w:rsidR="0087361B" w:rsidRDefault="00000000">
      <w:pPr>
        <w:pStyle w:val="Estilo"/>
      </w:pPr>
      <w:r>
        <w:t>JOSE LOPEZ PORTILLO, Presidente de los Estados Unidos Mexicanos, a sus habitantes, sabed:</w:t>
      </w:r>
    </w:p>
    <w:p w14:paraId="555BCD29" w14:textId="77777777" w:rsidR="0087361B" w:rsidRDefault="0087361B">
      <w:pPr>
        <w:pStyle w:val="Estilo"/>
      </w:pPr>
    </w:p>
    <w:p w14:paraId="3DDA8A77" w14:textId="77777777" w:rsidR="0087361B" w:rsidRDefault="00000000">
      <w:pPr>
        <w:pStyle w:val="Estilo"/>
      </w:pPr>
      <w:r>
        <w:t>Que el día veintiocho del mes de junio del año mil novecientos sesenta y dos, la Conferencia General de la Organización Internacional del Trabajo adoptó el Convenio relativo a la Igualdad de Trato de Nacionales y Extranjeros en Materia de Seguridad Social.</w:t>
      </w:r>
    </w:p>
    <w:p w14:paraId="03FED8A4" w14:textId="77777777" w:rsidR="0087361B" w:rsidRDefault="0087361B">
      <w:pPr>
        <w:pStyle w:val="Estilo"/>
      </w:pPr>
    </w:p>
    <w:p w14:paraId="62C9C426" w14:textId="77777777" w:rsidR="0087361B" w:rsidRDefault="00000000">
      <w:pPr>
        <w:pStyle w:val="Estilo"/>
      </w:pPr>
      <w:r>
        <w:t>Que en (sic) anterior Convenio fue aprobado por la H. Cámara de Senadores del Congreso de la Unión, el día dieciocho del mes de diciembre del año mil novecientos sesenta y cuatro, según Decreto publicado en el "Diario Oficial" de la Federación del día seis del mes de marzo del año mil novecientos sesenta y cinco.</w:t>
      </w:r>
    </w:p>
    <w:p w14:paraId="7176C4F6" w14:textId="77777777" w:rsidR="0087361B" w:rsidRDefault="0087361B">
      <w:pPr>
        <w:pStyle w:val="Estilo"/>
      </w:pPr>
    </w:p>
    <w:p w14:paraId="746F056E" w14:textId="77777777" w:rsidR="0087361B" w:rsidRDefault="00000000">
      <w:pPr>
        <w:pStyle w:val="Estilo"/>
      </w:pPr>
      <w:r>
        <w:t>Que el Instrumento de Ratificación, firmado por mí el día dieciséis del mes de diciembre del año mil novecientos setenta y siete fue depositado, ante el Director General de la Oficina Internacional del Trabajo, el día seis del mes de enero del año mil novecientos setenta y ocho, con la siguiente Declaración:</w:t>
      </w:r>
    </w:p>
    <w:p w14:paraId="623034BC" w14:textId="77777777" w:rsidR="0087361B" w:rsidRDefault="0087361B">
      <w:pPr>
        <w:pStyle w:val="Estilo"/>
      </w:pPr>
    </w:p>
    <w:p w14:paraId="6E64002A" w14:textId="77777777" w:rsidR="0087361B" w:rsidRDefault="00000000">
      <w:pPr>
        <w:pStyle w:val="Estilo"/>
      </w:pPr>
      <w:r>
        <w:t>"Con objeto de cumplir con el párrafo 3 del Artículo 2 del Convenio No. 118 sobre la Igualdad de Trato (Seguridad Social), 1962; el Gobierno de los Estados Unidos Mexicanos manifiesta que acepta las obligaciones del citado Instrumento, respecto de las siguientes ramas de la seguridad social:</w:t>
      </w:r>
    </w:p>
    <w:p w14:paraId="0D672C5E" w14:textId="77777777" w:rsidR="0087361B" w:rsidRDefault="0087361B">
      <w:pPr>
        <w:pStyle w:val="Estilo"/>
      </w:pPr>
    </w:p>
    <w:p w14:paraId="4A1DD535" w14:textId="77777777" w:rsidR="0087361B" w:rsidRDefault="00000000">
      <w:pPr>
        <w:pStyle w:val="Estilo"/>
      </w:pPr>
      <w:r>
        <w:t>a).- Asistencia médica.</w:t>
      </w:r>
    </w:p>
    <w:p w14:paraId="758941E5" w14:textId="77777777" w:rsidR="0087361B" w:rsidRDefault="0087361B">
      <w:pPr>
        <w:pStyle w:val="Estilo"/>
      </w:pPr>
    </w:p>
    <w:p w14:paraId="2DB1E0C2" w14:textId="77777777" w:rsidR="0087361B" w:rsidRDefault="00000000">
      <w:pPr>
        <w:pStyle w:val="Estilo"/>
      </w:pPr>
      <w:r>
        <w:t>b).- Prestaciones de enfermedad.</w:t>
      </w:r>
    </w:p>
    <w:p w14:paraId="1C0841FA" w14:textId="77777777" w:rsidR="0087361B" w:rsidRDefault="0087361B">
      <w:pPr>
        <w:pStyle w:val="Estilo"/>
      </w:pPr>
    </w:p>
    <w:p w14:paraId="03D7E2F3" w14:textId="77777777" w:rsidR="0087361B" w:rsidRDefault="00000000">
      <w:pPr>
        <w:pStyle w:val="Estilo"/>
      </w:pPr>
      <w:r>
        <w:t>c).- Prestaciones de maternidad.</w:t>
      </w:r>
    </w:p>
    <w:p w14:paraId="0C2A3090" w14:textId="77777777" w:rsidR="0087361B" w:rsidRDefault="0087361B">
      <w:pPr>
        <w:pStyle w:val="Estilo"/>
      </w:pPr>
    </w:p>
    <w:p w14:paraId="4995C533" w14:textId="77777777" w:rsidR="0087361B" w:rsidRDefault="00000000">
      <w:pPr>
        <w:pStyle w:val="Estilo"/>
      </w:pPr>
      <w:r>
        <w:t>d).- Prestaciones de invalidez.</w:t>
      </w:r>
    </w:p>
    <w:p w14:paraId="11BB1AE9" w14:textId="77777777" w:rsidR="0087361B" w:rsidRDefault="0087361B">
      <w:pPr>
        <w:pStyle w:val="Estilo"/>
      </w:pPr>
    </w:p>
    <w:p w14:paraId="520406E7" w14:textId="77777777" w:rsidR="0087361B" w:rsidRDefault="00000000">
      <w:pPr>
        <w:pStyle w:val="Estilo"/>
      </w:pPr>
      <w:r>
        <w:t>e).- Prestaciones de vejez.</w:t>
      </w:r>
    </w:p>
    <w:p w14:paraId="7F89B6D6" w14:textId="77777777" w:rsidR="0087361B" w:rsidRDefault="0087361B">
      <w:pPr>
        <w:pStyle w:val="Estilo"/>
      </w:pPr>
    </w:p>
    <w:p w14:paraId="613837A9" w14:textId="77777777" w:rsidR="0087361B" w:rsidRDefault="00000000">
      <w:pPr>
        <w:pStyle w:val="Estilo"/>
      </w:pPr>
      <w:r>
        <w:t>f).- Prestaciones de sobrevivencia.</w:t>
      </w:r>
    </w:p>
    <w:p w14:paraId="44BC3B6A" w14:textId="77777777" w:rsidR="0087361B" w:rsidRDefault="0087361B">
      <w:pPr>
        <w:pStyle w:val="Estilo"/>
      </w:pPr>
    </w:p>
    <w:p w14:paraId="0440365E" w14:textId="77777777" w:rsidR="0087361B" w:rsidRDefault="00000000">
      <w:pPr>
        <w:pStyle w:val="Estilo"/>
      </w:pPr>
      <w:r>
        <w:lastRenderedPageBreak/>
        <w:t>g).- Prestaciones en caso de accidentes de trabajo y de enfermedades profesionales".</w:t>
      </w:r>
    </w:p>
    <w:p w14:paraId="2E7253FF" w14:textId="77777777" w:rsidR="0087361B" w:rsidRDefault="0087361B">
      <w:pPr>
        <w:pStyle w:val="Estilo"/>
      </w:pPr>
    </w:p>
    <w:p w14:paraId="730D18AD" w14:textId="77777777" w:rsidR="0087361B" w:rsidRDefault="00000000">
      <w:pPr>
        <w:pStyle w:val="Estilo"/>
      </w:pPr>
      <w:r>
        <w:t>LA LICENCIADA GUILLERMINA SANCHEZ MEZA DE SOLIS, OFICIAL MAYOR DE LA SECRETARIA DE RELACIONES EXTERIORES,</w:t>
      </w:r>
    </w:p>
    <w:p w14:paraId="5878AA25" w14:textId="77777777" w:rsidR="0087361B" w:rsidRDefault="0087361B">
      <w:pPr>
        <w:pStyle w:val="Estilo"/>
      </w:pPr>
    </w:p>
    <w:p w14:paraId="28242CAD" w14:textId="77777777" w:rsidR="0087361B" w:rsidRDefault="00000000">
      <w:pPr>
        <w:pStyle w:val="Estilo"/>
      </w:pPr>
      <w:r>
        <w:t>CERTIFICA:</w:t>
      </w:r>
    </w:p>
    <w:p w14:paraId="0ED2BD85" w14:textId="77777777" w:rsidR="0087361B" w:rsidRDefault="0087361B">
      <w:pPr>
        <w:pStyle w:val="Estilo"/>
      </w:pPr>
    </w:p>
    <w:p w14:paraId="45BD5488" w14:textId="77777777" w:rsidR="0087361B" w:rsidRDefault="00000000">
      <w:pPr>
        <w:pStyle w:val="Estilo"/>
      </w:pPr>
      <w:r>
        <w:t>Que en los Archivos de esta Secretaría obra copia certificada del Convenio relativo a la Igualdad de Trato de Nacionales y Extranjeros en materia de Seguridad Social, adoptado por la Conferencia General de la Organización Internacional del Trabajo en su Cuadragésima Sexta Reunión, en la ciudad de Ginebra, el día veintiocho del mes de junio del año mil novecientos sesenta y dos, cuyo texto y forma en español son los siguientes:</w:t>
      </w:r>
    </w:p>
    <w:p w14:paraId="0B60CE9C" w14:textId="77777777" w:rsidR="0087361B" w:rsidRDefault="0087361B">
      <w:pPr>
        <w:pStyle w:val="Estilo"/>
      </w:pPr>
    </w:p>
    <w:p w14:paraId="1BE2EB0D" w14:textId="77777777" w:rsidR="0087361B" w:rsidRDefault="0087361B">
      <w:pPr>
        <w:pStyle w:val="Estilo"/>
      </w:pPr>
    </w:p>
    <w:p w14:paraId="6B6003EC" w14:textId="77777777" w:rsidR="0087361B" w:rsidRDefault="00000000">
      <w:pPr>
        <w:pStyle w:val="Estilo"/>
      </w:pPr>
      <w:r>
        <w:t>CONFERENCIA INTERNACIONAL DEL TRABAJO</w:t>
      </w:r>
    </w:p>
    <w:p w14:paraId="5D836965" w14:textId="77777777" w:rsidR="0087361B" w:rsidRDefault="0087361B">
      <w:pPr>
        <w:pStyle w:val="Estilo"/>
      </w:pPr>
    </w:p>
    <w:p w14:paraId="156F40DA" w14:textId="77777777" w:rsidR="0087361B" w:rsidRDefault="00000000">
      <w:pPr>
        <w:pStyle w:val="Estilo"/>
      </w:pPr>
      <w:r>
        <w:t>Convenio 118</w:t>
      </w:r>
    </w:p>
    <w:p w14:paraId="6817BA05" w14:textId="77777777" w:rsidR="0087361B" w:rsidRDefault="0087361B">
      <w:pPr>
        <w:pStyle w:val="Estilo"/>
      </w:pPr>
    </w:p>
    <w:p w14:paraId="71482EF3" w14:textId="77777777" w:rsidR="0087361B" w:rsidRDefault="00000000">
      <w:pPr>
        <w:pStyle w:val="Estilo"/>
      </w:pPr>
      <w:r>
        <w:t>CONVENIO RELATIVO A LA IGUALDAD DE TRATO DE NACIONALES Y EXTRANJEROS EN MATERIA DE SEGURIDAD SOCIAL</w:t>
      </w:r>
    </w:p>
    <w:p w14:paraId="793E1802" w14:textId="77777777" w:rsidR="0087361B" w:rsidRDefault="0087361B">
      <w:pPr>
        <w:pStyle w:val="Estilo"/>
      </w:pPr>
    </w:p>
    <w:p w14:paraId="5E2C0F1E" w14:textId="77777777" w:rsidR="0087361B" w:rsidRDefault="00000000">
      <w:pPr>
        <w:pStyle w:val="Estilo"/>
      </w:pPr>
      <w:r>
        <w:t>La Conferencia General de la Organización Internacional del Trabajo:</w:t>
      </w:r>
    </w:p>
    <w:p w14:paraId="5B4CDE9E" w14:textId="77777777" w:rsidR="0087361B" w:rsidRDefault="0087361B">
      <w:pPr>
        <w:pStyle w:val="Estilo"/>
      </w:pPr>
    </w:p>
    <w:p w14:paraId="2F0542BE" w14:textId="77777777" w:rsidR="0087361B" w:rsidRDefault="00000000">
      <w:pPr>
        <w:pStyle w:val="Estilo"/>
      </w:pPr>
      <w:r>
        <w:t>Convocada en Ginebra por el Consejo de Administración de la Oficina Internacional del Trabajo, y congregada en dicha ciudad el 6 de junio de 1962 en su cuadragésima sexta reunión;</w:t>
      </w:r>
    </w:p>
    <w:p w14:paraId="77DE49B6" w14:textId="77777777" w:rsidR="0087361B" w:rsidRDefault="0087361B">
      <w:pPr>
        <w:pStyle w:val="Estilo"/>
      </w:pPr>
    </w:p>
    <w:p w14:paraId="25BED164" w14:textId="77777777" w:rsidR="0087361B" w:rsidRDefault="00000000">
      <w:pPr>
        <w:pStyle w:val="Estilo"/>
      </w:pPr>
      <w:r>
        <w:t>Después de haber decidido adoptar diversas proposiciones relativas a la igualdad de trato de nacionales y extranjeros (seguridad social), cuestión que constituye el quinto punto del orden del día de la reunión, y</w:t>
      </w:r>
    </w:p>
    <w:p w14:paraId="2473AFFD" w14:textId="77777777" w:rsidR="0087361B" w:rsidRDefault="0087361B">
      <w:pPr>
        <w:pStyle w:val="Estilo"/>
      </w:pPr>
    </w:p>
    <w:p w14:paraId="05333B67" w14:textId="77777777" w:rsidR="0087361B" w:rsidRDefault="00000000">
      <w:pPr>
        <w:pStyle w:val="Estilo"/>
      </w:pPr>
      <w:r>
        <w:t>Después de haber decidido que dichas proposiciones revistan la forma de un convenio internacional, adopta, con fecha 28 de junio de mil novecientos sesenta y dos, el siguiente Convenio, que podrá ser citado como el Convenio sobre la igualdad de trato (seguridad social), 1962:</w:t>
      </w:r>
    </w:p>
    <w:p w14:paraId="197AA4A1" w14:textId="77777777" w:rsidR="0087361B" w:rsidRDefault="0087361B">
      <w:pPr>
        <w:pStyle w:val="Estilo"/>
      </w:pPr>
    </w:p>
    <w:p w14:paraId="110A6F89" w14:textId="77777777" w:rsidR="0087361B" w:rsidRDefault="00000000">
      <w:pPr>
        <w:pStyle w:val="Estilo"/>
      </w:pPr>
      <w:r>
        <w:t>ARTICULO 1</w:t>
      </w:r>
    </w:p>
    <w:p w14:paraId="58659357" w14:textId="77777777" w:rsidR="0087361B" w:rsidRDefault="0087361B">
      <w:pPr>
        <w:pStyle w:val="Estilo"/>
      </w:pPr>
    </w:p>
    <w:p w14:paraId="4BD24FC4" w14:textId="77777777" w:rsidR="0087361B" w:rsidRDefault="00000000">
      <w:pPr>
        <w:pStyle w:val="Estilo"/>
      </w:pPr>
      <w:r>
        <w:t>A los efectos del presente Convenio:</w:t>
      </w:r>
    </w:p>
    <w:p w14:paraId="5E4ADFE7" w14:textId="77777777" w:rsidR="0087361B" w:rsidRDefault="0087361B">
      <w:pPr>
        <w:pStyle w:val="Estilo"/>
      </w:pPr>
    </w:p>
    <w:p w14:paraId="797C889E" w14:textId="77777777" w:rsidR="0087361B" w:rsidRDefault="00000000">
      <w:pPr>
        <w:pStyle w:val="Estilo"/>
      </w:pPr>
      <w:r>
        <w:t>a) El término "legislación" comprende las leyes y reglamentos, así como las disposiciones estatutarias, en materia de seguridad social;</w:t>
      </w:r>
    </w:p>
    <w:p w14:paraId="3991FE39" w14:textId="77777777" w:rsidR="0087361B" w:rsidRDefault="0087361B">
      <w:pPr>
        <w:pStyle w:val="Estilo"/>
      </w:pPr>
    </w:p>
    <w:p w14:paraId="30D2AF0B" w14:textId="77777777" w:rsidR="0087361B" w:rsidRDefault="00000000">
      <w:pPr>
        <w:pStyle w:val="Estilo"/>
      </w:pPr>
      <w:r>
        <w:lastRenderedPageBreak/>
        <w:t>b) El término "prestaciones" designa todas las prestaciones, pensiones, rentas y subsidios, con inclusión de todos los suplementos o aumentos eventuales;</w:t>
      </w:r>
    </w:p>
    <w:p w14:paraId="1D9206C6" w14:textId="77777777" w:rsidR="0087361B" w:rsidRDefault="0087361B">
      <w:pPr>
        <w:pStyle w:val="Estilo"/>
      </w:pPr>
    </w:p>
    <w:p w14:paraId="061AA23D" w14:textId="77777777" w:rsidR="0087361B" w:rsidRDefault="00000000">
      <w:pPr>
        <w:pStyle w:val="Estilo"/>
      </w:pPr>
      <w:r>
        <w:t>c) Los términos "prestaciones concedidas a título de regímenes transitorios" designan las prestaciones concedidas a personas que hayan rebasado cierta edad en el momento de la entrada en vigor de la legislación aplicable, o las prestaciones asignadas, a título transitorio, por concepto de contingencias acaecidas o de períodos cumplidos fuera de los límites actuales, del territorio de un Estado Miembro;</w:t>
      </w:r>
    </w:p>
    <w:p w14:paraId="46CEBC80" w14:textId="77777777" w:rsidR="0087361B" w:rsidRDefault="0087361B">
      <w:pPr>
        <w:pStyle w:val="Estilo"/>
      </w:pPr>
    </w:p>
    <w:p w14:paraId="04225923" w14:textId="77777777" w:rsidR="0087361B" w:rsidRDefault="00000000">
      <w:pPr>
        <w:pStyle w:val="Estilo"/>
      </w:pPr>
      <w:r>
        <w:t>d) Los términos "subsidio de muerte" designan toda suma pagada de una sola vez en caso de fallecimiento;</w:t>
      </w:r>
    </w:p>
    <w:p w14:paraId="34C25700" w14:textId="77777777" w:rsidR="0087361B" w:rsidRDefault="0087361B">
      <w:pPr>
        <w:pStyle w:val="Estilo"/>
      </w:pPr>
    </w:p>
    <w:p w14:paraId="1E907930" w14:textId="77777777" w:rsidR="0087361B" w:rsidRDefault="00000000">
      <w:pPr>
        <w:pStyle w:val="Estilo"/>
      </w:pPr>
      <w:r>
        <w:t>e) El término "residencia" designa la residencia habitual;</w:t>
      </w:r>
    </w:p>
    <w:p w14:paraId="2785E647" w14:textId="77777777" w:rsidR="0087361B" w:rsidRDefault="0087361B">
      <w:pPr>
        <w:pStyle w:val="Estilo"/>
      </w:pPr>
    </w:p>
    <w:p w14:paraId="56E00257" w14:textId="77777777" w:rsidR="0087361B" w:rsidRDefault="00000000">
      <w:pPr>
        <w:pStyle w:val="Estilo"/>
      </w:pPr>
      <w:r>
        <w:t>f) El término "prescrito" significa determinado por la legislación nacional en virtud de ella, a tenor del apartado a);</w:t>
      </w:r>
    </w:p>
    <w:p w14:paraId="6AC6A78F" w14:textId="77777777" w:rsidR="0087361B" w:rsidRDefault="0087361B">
      <w:pPr>
        <w:pStyle w:val="Estilo"/>
      </w:pPr>
    </w:p>
    <w:p w14:paraId="6216FEA0" w14:textId="77777777" w:rsidR="0087361B" w:rsidRDefault="00000000">
      <w:pPr>
        <w:pStyle w:val="Estilo"/>
      </w:pPr>
      <w:r>
        <w:t>g) El término "refugiado" tiene la significación que le atribuye el artículo 1 de la Convención sobre el Estatuto de los Refugiados, de 28 de julio de 1951;</w:t>
      </w:r>
    </w:p>
    <w:p w14:paraId="27332CB3" w14:textId="77777777" w:rsidR="0087361B" w:rsidRDefault="0087361B">
      <w:pPr>
        <w:pStyle w:val="Estilo"/>
      </w:pPr>
    </w:p>
    <w:p w14:paraId="71468A11" w14:textId="77777777" w:rsidR="0087361B" w:rsidRDefault="00000000">
      <w:pPr>
        <w:pStyle w:val="Estilo"/>
      </w:pPr>
      <w:r>
        <w:t>h) El término "apátrida" tiene la significación que le atribuye el artículo 1 de la Convención sobre el Estatuto de los Apátridas, de 28 de septiembre de 1954.</w:t>
      </w:r>
    </w:p>
    <w:p w14:paraId="3A2BB379" w14:textId="77777777" w:rsidR="0087361B" w:rsidRDefault="0087361B">
      <w:pPr>
        <w:pStyle w:val="Estilo"/>
      </w:pPr>
    </w:p>
    <w:p w14:paraId="39910831" w14:textId="77777777" w:rsidR="0087361B" w:rsidRDefault="00000000">
      <w:pPr>
        <w:pStyle w:val="Estilo"/>
      </w:pPr>
      <w:r>
        <w:t>ARTICULO 2</w:t>
      </w:r>
    </w:p>
    <w:p w14:paraId="0BF41479" w14:textId="77777777" w:rsidR="0087361B" w:rsidRDefault="0087361B">
      <w:pPr>
        <w:pStyle w:val="Estilo"/>
      </w:pPr>
    </w:p>
    <w:p w14:paraId="2DC2232D" w14:textId="77777777" w:rsidR="0087361B" w:rsidRDefault="00000000">
      <w:pPr>
        <w:pStyle w:val="Estilo"/>
      </w:pPr>
      <w:r>
        <w:t>1. Todo Estado Miembro puede aceptar las obligaciones del presente Convenio en cuanto concierna a una o varias de las ramas de seguridad social siguientes, para las cuales posea una legislación efectivamente aplicada en su territorio a sus propios nacionales:</w:t>
      </w:r>
    </w:p>
    <w:p w14:paraId="0BCC3830" w14:textId="77777777" w:rsidR="0087361B" w:rsidRDefault="0087361B">
      <w:pPr>
        <w:pStyle w:val="Estilo"/>
      </w:pPr>
    </w:p>
    <w:p w14:paraId="34943DD0" w14:textId="77777777" w:rsidR="0087361B" w:rsidRDefault="00000000">
      <w:pPr>
        <w:pStyle w:val="Estilo"/>
      </w:pPr>
      <w:r>
        <w:t>a) asistencia médica;</w:t>
      </w:r>
    </w:p>
    <w:p w14:paraId="36142D21" w14:textId="77777777" w:rsidR="0087361B" w:rsidRDefault="0087361B">
      <w:pPr>
        <w:pStyle w:val="Estilo"/>
      </w:pPr>
    </w:p>
    <w:p w14:paraId="3F14194A" w14:textId="77777777" w:rsidR="0087361B" w:rsidRDefault="00000000">
      <w:pPr>
        <w:pStyle w:val="Estilo"/>
      </w:pPr>
      <w:r>
        <w:t>b) prestaciones de enfermedad;</w:t>
      </w:r>
    </w:p>
    <w:p w14:paraId="011AFE9C" w14:textId="77777777" w:rsidR="0087361B" w:rsidRDefault="0087361B">
      <w:pPr>
        <w:pStyle w:val="Estilo"/>
      </w:pPr>
    </w:p>
    <w:p w14:paraId="03A6482B" w14:textId="77777777" w:rsidR="0087361B" w:rsidRDefault="00000000">
      <w:pPr>
        <w:pStyle w:val="Estilo"/>
      </w:pPr>
      <w:r>
        <w:t>c) prestaciones de maternidad;</w:t>
      </w:r>
    </w:p>
    <w:p w14:paraId="1D2B5485" w14:textId="77777777" w:rsidR="0087361B" w:rsidRDefault="0087361B">
      <w:pPr>
        <w:pStyle w:val="Estilo"/>
      </w:pPr>
    </w:p>
    <w:p w14:paraId="22562873" w14:textId="77777777" w:rsidR="0087361B" w:rsidRDefault="00000000">
      <w:pPr>
        <w:pStyle w:val="Estilo"/>
      </w:pPr>
      <w:r>
        <w:t>d) prestaciones de invalidez;</w:t>
      </w:r>
    </w:p>
    <w:p w14:paraId="5E5A8BD2" w14:textId="77777777" w:rsidR="0087361B" w:rsidRDefault="0087361B">
      <w:pPr>
        <w:pStyle w:val="Estilo"/>
      </w:pPr>
    </w:p>
    <w:p w14:paraId="52B2D6C9" w14:textId="77777777" w:rsidR="0087361B" w:rsidRDefault="00000000">
      <w:pPr>
        <w:pStyle w:val="Estilo"/>
      </w:pPr>
      <w:r>
        <w:t>e) prestaciones de vejez;</w:t>
      </w:r>
    </w:p>
    <w:p w14:paraId="31E6B6EF" w14:textId="77777777" w:rsidR="0087361B" w:rsidRDefault="0087361B">
      <w:pPr>
        <w:pStyle w:val="Estilo"/>
      </w:pPr>
    </w:p>
    <w:p w14:paraId="7B04C776" w14:textId="77777777" w:rsidR="0087361B" w:rsidRDefault="00000000">
      <w:pPr>
        <w:pStyle w:val="Estilo"/>
      </w:pPr>
      <w:r>
        <w:t>f) prestaciones de sobrevivencia;</w:t>
      </w:r>
    </w:p>
    <w:p w14:paraId="0164F581" w14:textId="77777777" w:rsidR="0087361B" w:rsidRDefault="0087361B">
      <w:pPr>
        <w:pStyle w:val="Estilo"/>
      </w:pPr>
    </w:p>
    <w:p w14:paraId="192AFE41" w14:textId="77777777" w:rsidR="0087361B" w:rsidRDefault="00000000">
      <w:pPr>
        <w:pStyle w:val="Estilo"/>
      </w:pPr>
      <w:r>
        <w:t>g) prestaciones en caso de accidentes del trabajo y de enfermedades profesionales;</w:t>
      </w:r>
    </w:p>
    <w:p w14:paraId="2168B36C" w14:textId="77777777" w:rsidR="0087361B" w:rsidRDefault="0087361B">
      <w:pPr>
        <w:pStyle w:val="Estilo"/>
      </w:pPr>
    </w:p>
    <w:p w14:paraId="48B7F0DE" w14:textId="77777777" w:rsidR="0087361B" w:rsidRDefault="00000000">
      <w:pPr>
        <w:pStyle w:val="Estilo"/>
      </w:pPr>
      <w:r>
        <w:lastRenderedPageBreak/>
        <w:t>h) prestaciones de desempleo;</w:t>
      </w:r>
    </w:p>
    <w:p w14:paraId="53A04070" w14:textId="77777777" w:rsidR="0087361B" w:rsidRDefault="0087361B">
      <w:pPr>
        <w:pStyle w:val="Estilo"/>
      </w:pPr>
    </w:p>
    <w:p w14:paraId="45D4EB4B" w14:textId="77777777" w:rsidR="0087361B" w:rsidRDefault="00000000">
      <w:pPr>
        <w:pStyle w:val="Estilo"/>
      </w:pPr>
      <w:r>
        <w:t>i) prestaciones familiares.</w:t>
      </w:r>
    </w:p>
    <w:p w14:paraId="14537796" w14:textId="77777777" w:rsidR="0087361B" w:rsidRDefault="0087361B">
      <w:pPr>
        <w:pStyle w:val="Estilo"/>
      </w:pPr>
    </w:p>
    <w:p w14:paraId="611F7913" w14:textId="77777777" w:rsidR="0087361B" w:rsidRDefault="00000000">
      <w:pPr>
        <w:pStyle w:val="Estilo"/>
      </w:pPr>
      <w:r>
        <w:t>2. Todo Estado Miembro para el que el presente Convenio esté en vigor deberá aplicar las disposiciones del mismo por lo que concierna a la rama o ramas de la seguridad social respecto de las que haya aceptado las obligaciones del Convenio.</w:t>
      </w:r>
    </w:p>
    <w:p w14:paraId="0F74C7F7" w14:textId="77777777" w:rsidR="0087361B" w:rsidRDefault="0087361B">
      <w:pPr>
        <w:pStyle w:val="Estilo"/>
      </w:pPr>
    </w:p>
    <w:p w14:paraId="0E27FE17" w14:textId="77777777" w:rsidR="0087361B" w:rsidRDefault="00000000">
      <w:pPr>
        <w:pStyle w:val="Estilo"/>
      </w:pPr>
      <w:r>
        <w:t>3. Todo Estado Miembro deberá especificar en su ratificación cuál es la rama o las ramas de la seguridad social respecto de las cuales acepta las obligaciones del presente Convenio.</w:t>
      </w:r>
    </w:p>
    <w:p w14:paraId="2F4B640A" w14:textId="77777777" w:rsidR="0087361B" w:rsidRDefault="0087361B">
      <w:pPr>
        <w:pStyle w:val="Estilo"/>
      </w:pPr>
    </w:p>
    <w:p w14:paraId="7A49A97F" w14:textId="77777777" w:rsidR="0087361B" w:rsidRDefault="00000000">
      <w:pPr>
        <w:pStyle w:val="Estilo"/>
      </w:pPr>
      <w:r>
        <w:t>4. Todo Estado Miembro que ratifique el presente Convenio puede seguidamente notificar al Director General de la Oficina Internacional del Trabajo que acepta las obligaciones del Convenio por lo que se refiera a una de las ramas de la seguridad social que no hubiere especificado ya en la ratificación, o a varias de ellas.</w:t>
      </w:r>
    </w:p>
    <w:p w14:paraId="76F8737B" w14:textId="77777777" w:rsidR="0087361B" w:rsidRDefault="0087361B">
      <w:pPr>
        <w:pStyle w:val="Estilo"/>
      </w:pPr>
    </w:p>
    <w:p w14:paraId="347329C0" w14:textId="77777777" w:rsidR="0087361B" w:rsidRDefault="00000000">
      <w:pPr>
        <w:pStyle w:val="Estilo"/>
      </w:pPr>
      <w:r>
        <w:t>5. Las obligaciones referidas en el párrafo precedente se considerarán parte integrante de la ratificación y surtirán efectos idénticos a partir de la fecha de la notificación.</w:t>
      </w:r>
    </w:p>
    <w:p w14:paraId="41156C2A" w14:textId="77777777" w:rsidR="0087361B" w:rsidRDefault="0087361B">
      <w:pPr>
        <w:pStyle w:val="Estilo"/>
      </w:pPr>
    </w:p>
    <w:p w14:paraId="6DE350AF" w14:textId="77777777" w:rsidR="0087361B" w:rsidRDefault="00000000">
      <w:pPr>
        <w:pStyle w:val="Estilo"/>
      </w:pPr>
      <w:r>
        <w:t>6. A los efectos de la aplicación del presente Convenio, todo Estado Miembro que acepte las obligaciones del mismo por lo que concierna a cualquiera de las ramas de la seguridad social deberá notificar, llegado el caso, al Director General de la Oficina Internacional del Trabajo las prestaciones previstas por su legislación que considere como:</w:t>
      </w:r>
    </w:p>
    <w:p w14:paraId="449B4A14" w14:textId="77777777" w:rsidR="0087361B" w:rsidRDefault="0087361B">
      <w:pPr>
        <w:pStyle w:val="Estilo"/>
      </w:pPr>
    </w:p>
    <w:p w14:paraId="1475A887" w14:textId="77777777" w:rsidR="0087361B" w:rsidRDefault="00000000">
      <w:pPr>
        <w:pStyle w:val="Estilo"/>
      </w:pPr>
      <w:r>
        <w:t>a) prestaciones cuya concesión no depende de una participación financiera directa de las personas protegidas o de su empleador, ni de un período de calificación de actividad profesional;</w:t>
      </w:r>
    </w:p>
    <w:p w14:paraId="00CEEC8F" w14:textId="77777777" w:rsidR="0087361B" w:rsidRDefault="0087361B">
      <w:pPr>
        <w:pStyle w:val="Estilo"/>
      </w:pPr>
    </w:p>
    <w:p w14:paraId="1D55CF31" w14:textId="77777777" w:rsidR="0087361B" w:rsidRDefault="00000000">
      <w:pPr>
        <w:pStyle w:val="Estilo"/>
      </w:pPr>
      <w:r>
        <w:t>b) prestaciones concedidas en virtud de regímenes transitorios.</w:t>
      </w:r>
    </w:p>
    <w:p w14:paraId="7FFA48D7" w14:textId="77777777" w:rsidR="0087361B" w:rsidRDefault="0087361B">
      <w:pPr>
        <w:pStyle w:val="Estilo"/>
      </w:pPr>
    </w:p>
    <w:p w14:paraId="3FC954BB" w14:textId="77777777" w:rsidR="0087361B" w:rsidRDefault="00000000">
      <w:pPr>
        <w:pStyle w:val="Estilo"/>
      </w:pPr>
      <w:r>
        <w:t>7. La notificación prevista en el párrafo precedente debe efectuarse en el momento de la ratificación o de la notificación prevista en el párrafo 4 del presente artículo y, por lo que se refiera a toda legislación adoptada ulteriormente dentro del término de tres meses a partir de la adopción de ésta.</w:t>
      </w:r>
    </w:p>
    <w:p w14:paraId="29C46C77" w14:textId="77777777" w:rsidR="0087361B" w:rsidRDefault="0087361B">
      <w:pPr>
        <w:pStyle w:val="Estilo"/>
      </w:pPr>
    </w:p>
    <w:p w14:paraId="6F81E599" w14:textId="77777777" w:rsidR="0087361B" w:rsidRDefault="00000000">
      <w:pPr>
        <w:pStyle w:val="Estilo"/>
      </w:pPr>
      <w:r>
        <w:t>ARTICULO 3</w:t>
      </w:r>
    </w:p>
    <w:p w14:paraId="65520CA6" w14:textId="77777777" w:rsidR="0087361B" w:rsidRDefault="0087361B">
      <w:pPr>
        <w:pStyle w:val="Estilo"/>
      </w:pPr>
    </w:p>
    <w:p w14:paraId="17BC3611" w14:textId="77777777" w:rsidR="0087361B" w:rsidRDefault="00000000">
      <w:pPr>
        <w:pStyle w:val="Estilo"/>
      </w:pPr>
      <w:r>
        <w:t xml:space="preserve">1. Todo Estado Miembro para el que el presente Convenio esté en vigor deberá conceder, en su territorio, a los nacionales de todo otro Estado Miembro para el que dicho Convenio esté igualmente en vigor, igualdad de trato respecto de sus propios nacionales por lo que se refiera a su legislación, tanto en lo que concierna a los requisitos de admisión como al derecho a las prestaciones, en todas las </w:t>
      </w:r>
      <w:r>
        <w:lastRenderedPageBreak/>
        <w:t>ramas de la seguridad social respecto de las cuales haya aceptado las obligaciones del Convenio.</w:t>
      </w:r>
    </w:p>
    <w:p w14:paraId="2A72E406" w14:textId="77777777" w:rsidR="0087361B" w:rsidRDefault="0087361B">
      <w:pPr>
        <w:pStyle w:val="Estilo"/>
      </w:pPr>
    </w:p>
    <w:p w14:paraId="14A2765A" w14:textId="77777777" w:rsidR="0087361B" w:rsidRDefault="00000000">
      <w:pPr>
        <w:pStyle w:val="Estilo"/>
      </w:pPr>
      <w:r>
        <w:t>2. En cuanto concierna a las prestaciones de sobrevivencia, dicha igualdad de trato deberá concederse, además, a los derechohabientes de los nacionales de un Estado Miembro para el que el presente Convenio esté en vigor, independientemente de la nacionalidad de dichos derechohabientes.</w:t>
      </w:r>
    </w:p>
    <w:p w14:paraId="37A308B4" w14:textId="77777777" w:rsidR="0087361B" w:rsidRDefault="0087361B">
      <w:pPr>
        <w:pStyle w:val="Estilo"/>
      </w:pPr>
    </w:p>
    <w:p w14:paraId="0491A91A" w14:textId="77777777" w:rsidR="0087361B" w:rsidRDefault="00000000">
      <w:pPr>
        <w:pStyle w:val="Estilo"/>
      </w:pPr>
      <w:r>
        <w:t>3. No obstante, con respecto a las prestaciones de una rama determinada de la seguridad social, un Estado Miembro podrá derogar las disposiciones de los párrafos precedentes del presente artículo, respecto de los nacionales de Todo Estado Miembro que, a pesar de poseer una legislación relativa a esta rama, no concede igualdad de trato a los nacionales de primer Estado Miembro en la rama mencionada.</w:t>
      </w:r>
    </w:p>
    <w:p w14:paraId="6310F767" w14:textId="77777777" w:rsidR="0087361B" w:rsidRDefault="0087361B">
      <w:pPr>
        <w:pStyle w:val="Estilo"/>
      </w:pPr>
    </w:p>
    <w:p w14:paraId="1CF003A9" w14:textId="77777777" w:rsidR="0087361B" w:rsidRDefault="00000000">
      <w:pPr>
        <w:pStyle w:val="Estilo"/>
      </w:pPr>
      <w:r>
        <w:t>ARTICULO 4</w:t>
      </w:r>
    </w:p>
    <w:p w14:paraId="3EC92AAF" w14:textId="77777777" w:rsidR="0087361B" w:rsidRDefault="0087361B">
      <w:pPr>
        <w:pStyle w:val="Estilo"/>
      </w:pPr>
    </w:p>
    <w:p w14:paraId="46774F92" w14:textId="77777777" w:rsidR="0087361B" w:rsidRDefault="00000000">
      <w:pPr>
        <w:pStyle w:val="Estilo"/>
      </w:pPr>
      <w:r>
        <w:t>1. En cuanto concierna al beneficio de las prestaciones, deberá garantizarse la igualdad de trato sin condición de residencia. Sin embargo, dicha igualdad puede estar subordinada a una condición de residencia, por lo que se refiera a las prestaciones de una rama determinada de la seguridad social, respecto de los nacionales de todo Estado Miembro cuya legislación subordine la atribución de prestaciones de la misma rama a la condición de que residan en su territorio.</w:t>
      </w:r>
    </w:p>
    <w:p w14:paraId="6A345F44" w14:textId="77777777" w:rsidR="0087361B" w:rsidRDefault="0087361B">
      <w:pPr>
        <w:pStyle w:val="Estilo"/>
      </w:pPr>
    </w:p>
    <w:p w14:paraId="76379BA0" w14:textId="77777777" w:rsidR="0087361B" w:rsidRDefault="00000000">
      <w:pPr>
        <w:pStyle w:val="Estilo"/>
      </w:pPr>
      <w:r>
        <w:t>2. A pesar de las disposiciones del párrafo precedente, podrá subordinarse el beneficio de las prestaciones a que se refiere el párrafo 6, a), del artículo 2 -con exclusión de la asistencia médica, de las prestaciones de enfermedad, de las prestaciones de accidentes del trabajo o enfermedades profesionales y de las prestaciones familiares- a la condición de que el beneficiario haya residido en el territorio del Estado Miembro en virtud de cuya legislación la prestación sea pagadera o, si se trata de prestaciones de sobrevivencia, que el causante haya residido, durante un período que no podrá fijarse, según el caso, en más de:</w:t>
      </w:r>
    </w:p>
    <w:p w14:paraId="4E5A46DB" w14:textId="77777777" w:rsidR="0087361B" w:rsidRDefault="0087361B">
      <w:pPr>
        <w:pStyle w:val="Estilo"/>
      </w:pPr>
    </w:p>
    <w:p w14:paraId="785D119A" w14:textId="77777777" w:rsidR="0087361B" w:rsidRDefault="00000000">
      <w:pPr>
        <w:pStyle w:val="Estilo"/>
      </w:pPr>
      <w:r>
        <w:t>a) seis meses, que inmediatamente preceden a la solicitud de prestación, en cuanto concierna a las prestaciones de maternidad y a las prestaciones de desempleo;</w:t>
      </w:r>
    </w:p>
    <w:p w14:paraId="25793D2E" w14:textId="77777777" w:rsidR="0087361B" w:rsidRDefault="0087361B">
      <w:pPr>
        <w:pStyle w:val="Estilo"/>
      </w:pPr>
    </w:p>
    <w:p w14:paraId="372CC77B" w14:textId="77777777" w:rsidR="0087361B" w:rsidRDefault="00000000">
      <w:pPr>
        <w:pStyle w:val="Estilo"/>
      </w:pPr>
      <w:r>
        <w:t>b) los cinco años consecutivos que inmediatamente precedan a la solicitud de prestación, por lo que se refiera a las prestaciones de invalidez, o que precedan a la muerte, en cuanto concierna a las prestaciones de sobrevivencia;</w:t>
      </w:r>
    </w:p>
    <w:p w14:paraId="4BED953F" w14:textId="77777777" w:rsidR="0087361B" w:rsidRDefault="0087361B">
      <w:pPr>
        <w:pStyle w:val="Estilo"/>
      </w:pPr>
    </w:p>
    <w:p w14:paraId="74836A60" w14:textId="77777777" w:rsidR="0087361B" w:rsidRDefault="00000000">
      <w:pPr>
        <w:pStyle w:val="Estilo"/>
      </w:pPr>
      <w:r>
        <w:t>c) diez años posteriores a la fecha en que el asegurado hubiere alcanzado la edad de 18 años - pudiendo exigirse que cinco años consecutivos precedan inmediatamente a la solicitud de prestación - por lo que respecta a las prestaciones de vejez.</w:t>
      </w:r>
    </w:p>
    <w:p w14:paraId="7094D291" w14:textId="77777777" w:rsidR="0087361B" w:rsidRDefault="0087361B">
      <w:pPr>
        <w:pStyle w:val="Estilo"/>
      </w:pPr>
    </w:p>
    <w:p w14:paraId="185F01E2" w14:textId="77777777" w:rsidR="0087361B" w:rsidRDefault="00000000">
      <w:pPr>
        <w:pStyle w:val="Estilo"/>
      </w:pPr>
      <w:r>
        <w:lastRenderedPageBreak/>
        <w:t>3. Podrán prescribirse disposiciones especiales en cuanto concierna a las prestaciones concedidas a título de regímenes transitorios</w:t>
      </w:r>
    </w:p>
    <w:p w14:paraId="0FD802A9" w14:textId="77777777" w:rsidR="0087361B" w:rsidRDefault="0087361B">
      <w:pPr>
        <w:pStyle w:val="Estilo"/>
      </w:pPr>
    </w:p>
    <w:p w14:paraId="6CEAD2C7" w14:textId="77777777" w:rsidR="0087361B" w:rsidRDefault="00000000">
      <w:pPr>
        <w:pStyle w:val="Estilo"/>
      </w:pPr>
      <w:r>
        <w:t>4. Las disposiciones requeridas para evitar la acumulación de prestaciones serán reglamentadas, en la medida necesaria mediante acuerdos especiales concluidos entre los Estados Miembros interesados.</w:t>
      </w:r>
    </w:p>
    <w:p w14:paraId="07A4FDC7" w14:textId="77777777" w:rsidR="0087361B" w:rsidRDefault="0087361B">
      <w:pPr>
        <w:pStyle w:val="Estilo"/>
      </w:pPr>
    </w:p>
    <w:p w14:paraId="5FA87AE8" w14:textId="77777777" w:rsidR="0087361B" w:rsidRDefault="00000000">
      <w:pPr>
        <w:pStyle w:val="Estilo"/>
      </w:pPr>
      <w:r>
        <w:t>ARTICULO 5</w:t>
      </w:r>
    </w:p>
    <w:p w14:paraId="5D7FF849" w14:textId="77777777" w:rsidR="0087361B" w:rsidRDefault="0087361B">
      <w:pPr>
        <w:pStyle w:val="Estilo"/>
      </w:pPr>
    </w:p>
    <w:p w14:paraId="1164F8D7" w14:textId="77777777" w:rsidR="0087361B" w:rsidRDefault="00000000">
      <w:pPr>
        <w:pStyle w:val="Estilo"/>
      </w:pPr>
      <w:r>
        <w:t>1. Además de lo dispuesto en el artículo 4, todo Estado Miembro que haya aceptado las obligaciones del presente Convenio, en lo que respecte a una o a varias de las ramas de la seguridad social referidas en el presente párrafo, deberá garantizar a sus propios nacionales y a los nacionales de todo otro Estado Miembro que haya aceptado las obligaciones de dicho Convenio respecto a una rama correspondiente, en caso de residencia en el extranjero, el pago de las prestaciones de invalidez, de las prestaciones de vejez, de las prestaciones de sobrevivencia y de los subsidios de muerte, así como el pago de las pensiones por accidentes del trabajo y enfermedades profesionales, a reserva de las medidas que se adopten a estos efectos en caso necesario de conformidad con lo dispuesto en el artículo 8.</w:t>
      </w:r>
    </w:p>
    <w:p w14:paraId="69AB0E4B" w14:textId="77777777" w:rsidR="0087361B" w:rsidRDefault="0087361B">
      <w:pPr>
        <w:pStyle w:val="Estilo"/>
      </w:pPr>
    </w:p>
    <w:p w14:paraId="62504A4E" w14:textId="77777777" w:rsidR="0087361B" w:rsidRDefault="00000000">
      <w:pPr>
        <w:pStyle w:val="Estilo"/>
      </w:pPr>
      <w:r>
        <w:t>2. No obstante, en caso de residencia en el extranjero, el pago de las prestaciones de invalidez, de vejez y de sobrevivencia del tipo previsto en el párrafo 6, a), del artículo 2 podrá subordinarse a la participación de los Estados Miembros interesados en el sistema de conservación de derechos previsto en el artículo 7.</w:t>
      </w:r>
    </w:p>
    <w:p w14:paraId="3D3F843A" w14:textId="77777777" w:rsidR="0087361B" w:rsidRDefault="0087361B">
      <w:pPr>
        <w:pStyle w:val="Estilo"/>
      </w:pPr>
    </w:p>
    <w:p w14:paraId="48C08281" w14:textId="77777777" w:rsidR="0087361B" w:rsidRDefault="00000000">
      <w:pPr>
        <w:pStyle w:val="Estilo"/>
      </w:pPr>
      <w:r>
        <w:t>3. Las disposiciones del presente artículo no se aplican a las prestaciones concedidas a título de regímenes transitorios.</w:t>
      </w:r>
    </w:p>
    <w:p w14:paraId="1C5B7C1C" w14:textId="77777777" w:rsidR="0087361B" w:rsidRDefault="0087361B">
      <w:pPr>
        <w:pStyle w:val="Estilo"/>
      </w:pPr>
    </w:p>
    <w:p w14:paraId="7CB51190" w14:textId="77777777" w:rsidR="0087361B" w:rsidRDefault="00000000">
      <w:pPr>
        <w:pStyle w:val="Estilo"/>
      </w:pPr>
      <w:r>
        <w:t>ARTICULO 6</w:t>
      </w:r>
    </w:p>
    <w:p w14:paraId="496FC7E2" w14:textId="77777777" w:rsidR="0087361B" w:rsidRDefault="0087361B">
      <w:pPr>
        <w:pStyle w:val="Estilo"/>
      </w:pPr>
    </w:p>
    <w:p w14:paraId="60540BA1" w14:textId="77777777" w:rsidR="0087361B" w:rsidRDefault="00000000">
      <w:pPr>
        <w:pStyle w:val="Estilo"/>
      </w:pPr>
      <w:r>
        <w:t>Además de lo dispuesto en el artículo 4, todo Estado Miembro que haya aceptado las obligaciones del presente Convenio en lo que respecte a las prestaciones familiares deberá garantizar el beneficio de las asignaciones familiares a sus propios nacionales y a los nacionales de los demás Estados Miembros que hayan aceptado las obligaciones de dicho Convenio respecto a la misma rama, en relación con los niños que residan en el territorio de uno de estos Estados Miembros a reserva de las condiciones y limitaciones a ser establecidas de común acuerdo entre los Estados Miembros interesados.</w:t>
      </w:r>
    </w:p>
    <w:p w14:paraId="134F1A39" w14:textId="77777777" w:rsidR="0087361B" w:rsidRDefault="0087361B">
      <w:pPr>
        <w:pStyle w:val="Estilo"/>
      </w:pPr>
    </w:p>
    <w:p w14:paraId="5CADC469" w14:textId="77777777" w:rsidR="0087361B" w:rsidRDefault="00000000">
      <w:pPr>
        <w:pStyle w:val="Estilo"/>
      </w:pPr>
      <w:r>
        <w:t>ARTICULO 7</w:t>
      </w:r>
    </w:p>
    <w:p w14:paraId="1154E9D5" w14:textId="77777777" w:rsidR="0087361B" w:rsidRDefault="0087361B">
      <w:pPr>
        <w:pStyle w:val="Estilo"/>
      </w:pPr>
    </w:p>
    <w:p w14:paraId="019B4342" w14:textId="77777777" w:rsidR="0087361B" w:rsidRDefault="00000000">
      <w:pPr>
        <w:pStyle w:val="Estilo"/>
      </w:pPr>
      <w:r>
        <w:t xml:space="preserve">1. Los Estados Miembros para los que el presente Convenio esté en vigor deberán esforzarse en participar, a reserva de las condiciones que se fijen de común acuerdo entre los Estados Miembros interesados de conformidad con lo dispuesto en el artículo 8 en un sistema de conservación de derechos adquiridos y de </w:t>
      </w:r>
      <w:r>
        <w:lastRenderedPageBreak/>
        <w:t>derechos en vías de adquisición, reconocidos en virtud de su legislación a los nacionales de los Estados Miembros para los que dicho Convenio esté en vigor respecto de todas las ramas de la seguridad social para las cuales los Estados Miembros referidos hayan aceptado las obligaciones del Convenio.</w:t>
      </w:r>
    </w:p>
    <w:p w14:paraId="3C6FFB44" w14:textId="77777777" w:rsidR="0087361B" w:rsidRDefault="0087361B">
      <w:pPr>
        <w:pStyle w:val="Estilo"/>
      </w:pPr>
    </w:p>
    <w:p w14:paraId="2F0733B3" w14:textId="77777777" w:rsidR="0087361B" w:rsidRDefault="00000000">
      <w:pPr>
        <w:pStyle w:val="Estilo"/>
      </w:pPr>
      <w:r>
        <w:t>2. Este sistema deberá prever especialmente la totalización de los períodos de seguro, de empleo o de residencia y de los períodos asimilados para el nacimiento, conservación o recuperación de los derechos, así como para el cálculo de las prestaciones.</w:t>
      </w:r>
    </w:p>
    <w:p w14:paraId="425730B8" w14:textId="77777777" w:rsidR="0087361B" w:rsidRDefault="0087361B">
      <w:pPr>
        <w:pStyle w:val="Estilo"/>
      </w:pPr>
    </w:p>
    <w:p w14:paraId="25F4E2C1" w14:textId="77777777" w:rsidR="0087361B" w:rsidRDefault="00000000">
      <w:pPr>
        <w:pStyle w:val="Estilo"/>
      </w:pPr>
      <w:r>
        <w:t>3. Las cargas financieras por concepto de prestaciones de invalidez, prestaciones de vejez y prestaciones de sobrevivencia así liquidadas deberán distribuirse entre los Estados Miembros interesados o ser costeadas por el Estado Miembro en cuyo territorio residan los beneficiarios, según las modalidades que se determinen de común acuerdo entre los Estados Miembros interesados.</w:t>
      </w:r>
    </w:p>
    <w:p w14:paraId="3EABCCC5" w14:textId="77777777" w:rsidR="0087361B" w:rsidRDefault="0087361B">
      <w:pPr>
        <w:pStyle w:val="Estilo"/>
      </w:pPr>
    </w:p>
    <w:p w14:paraId="5FDB866B" w14:textId="77777777" w:rsidR="0087361B" w:rsidRDefault="00000000">
      <w:pPr>
        <w:pStyle w:val="Estilo"/>
      </w:pPr>
      <w:r>
        <w:t>ARTICULO 8</w:t>
      </w:r>
    </w:p>
    <w:p w14:paraId="03C0A372" w14:textId="77777777" w:rsidR="0087361B" w:rsidRDefault="0087361B">
      <w:pPr>
        <w:pStyle w:val="Estilo"/>
      </w:pPr>
    </w:p>
    <w:p w14:paraId="104B0776" w14:textId="77777777" w:rsidR="0087361B" w:rsidRDefault="00000000">
      <w:pPr>
        <w:pStyle w:val="Estilo"/>
      </w:pPr>
      <w:r>
        <w:t>Los Estados Miembros para los que el presente Convenio esté en vigor podrán cumplir las obligaciones resultantes de lo dispuesto en los artículos 5 y 7 mediante la ratificación del Convenio sobre la conservación de los derechos de pensión de los migrantes, 1935; mediante la aplicación, por mutuo acuerdo entre ellos, de las disposiciones de dicho Convenio, o bien mediante cualquier instrumento multilateral o bilateral que garantice el cumplimiento de dichas obligaciones.</w:t>
      </w:r>
    </w:p>
    <w:p w14:paraId="2969F271" w14:textId="77777777" w:rsidR="0087361B" w:rsidRDefault="0087361B">
      <w:pPr>
        <w:pStyle w:val="Estilo"/>
      </w:pPr>
    </w:p>
    <w:p w14:paraId="608691D8" w14:textId="77777777" w:rsidR="0087361B" w:rsidRDefault="00000000">
      <w:pPr>
        <w:pStyle w:val="Estilo"/>
      </w:pPr>
      <w:r>
        <w:t>ARTICULO 9</w:t>
      </w:r>
    </w:p>
    <w:p w14:paraId="2595FF89" w14:textId="77777777" w:rsidR="0087361B" w:rsidRDefault="0087361B">
      <w:pPr>
        <w:pStyle w:val="Estilo"/>
      </w:pPr>
    </w:p>
    <w:p w14:paraId="0678EC1C" w14:textId="77777777" w:rsidR="0087361B" w:rsidRDefault="00000000">
      <w:pPr>
        <w:pStyle w:val="Estilo"/>
      </w:pPr>
      <w:r>
        <w:t>Los Estados Miembros podrán derogar las disposiciones del presente Convenio mediante acuerdos especiales, que no podrán menoscabar los derechos y obligaciones de los demás Estados Miembros, y a reserva de determinar la conservación de los derechos adquiridos y de los derechos en curso de adquisición en condiciones que, en su conjunto, sean tan favorables, por lo menos, como las establecidas por el presente Convenio.</w:t>
      </w:r>
    </w:p>
    <w:p w14:paraId="6806B0A2" w14:textId="77777777" w:rsidR="0087361B" w:rsidRDefault="0087361B">
      <w:pPr>
        <w:pStyle w:val="Estilo"/>
      </w:pPr>
    </w:p>
    <w:p w14:paraId="63B3151C" w14:textId="77777777" w:rsidR="0087361B" w:rsidRDefault="00000000">
      <w:pPr>
        <w:pStyle w:val="Estilo"/>
      </w:pPr>
      <w:r>
        <w:t>ARTICULO 10</w:t>
      </w:r>
    </w:p>
    <w:p w14:paraId="683DC057" w14:textId="77777777" w:rsidR="0087361B" w:rsidRDefault="0087361B">
      <w:pPr>
        <w:pStyle w:val="Estilo"/>
      </w:pPr>
    </w:p>
    <w:p w14:paraId="2408BC66" w14:textId="77777777" w:rsidR="0087361B" w:rsidRDefault="00000000">
      <w:pPr>
        <w:pStyle w:val="Estilo"/>
      </w:pPr>
      <w:r>
        <w:t>1. Las disposiciones del presente Convenio son aplicables a los refugiados y a los apátridas sin condición de reciprocidad.</w:t>
      </w:r>
    </w:p>
    <w:p w14:paraId="7E305304" w14:textId="77777777" w:rsidR="0087361B" w:rsidRDefault="0087361B">
      <w:pPr>
        <w:pStyle w:val="Estilo"/>
      </w:pPr>
    </w:p>
    <w:p w14:paraId="1EEDC8FA" w14:textId="77777777" w:rsidR="0087361B" w:rsidRDefault="00000000">
      <w:pPr>
        <w:pStyle w:val="Estilo"/>
      </w:pPr>
      <w:r>
        <w:t>2. El presente Convenio no se aplicará a los regímenes especiales de los funcionarios, a los regímenes especiales de las víctimas de guerra, ni a la asistencia pública.</w:t>
      </w:r>
    </w:p>
    <w:p w14:paraId="2343D080" w14:textId="77777777" w:rsidR="0087361B" w:rsidRDefault="0087361B">
      <w:pPr>
        <w:pStyle w:val="Estilo"/>
      </w:pPr>
    </w:p>
    <w:p w14:paraId="7BA28262" w14:textId="77777777" w:rsidR="0087361B" w:rsidRDefault="00000000">
      <w:pPr>
        <w:pStyle w:val="Estilo"/>
      </w:pPr>
      <w:r>
        <w:t xml:space="preserve">3. El presente Convenio no obliga a ningún Estado Miembro a aplicar sus disposiciones a las personas que en virtud de instrumentos internacionales se </w:t>
      </w:r>
      <w:r>
        <w:lastRenderedPageBreak/>
        <w:t>hallen exentas de la aplicación de las disposiciones de su legislación nacional de seguridad social.</w:t>
      </w:r>
    </w:p>
    <w:p w14:paraId="2470D92C" w14:textId="77777777" w:rsidR="0087361B" w:rsidRDefault="0087361B">
      <w:pPr>
        <w:pStyle w:val="Estilo"/>
      </w:pPr>
    </w:p>
    <w:p w14:paraId="1848324C" w14:textId="77777777" w:rsidR="0087361B" w:rsidRDefault="00000000">
      <w:pPr>
        <w:pStyle w:val="Estilo"/>
      </w:pPr>
      <w:r>
        <w:t>ARTICULO 11</w:t>
      </w:r>
    </w:p>
    <w:p w14:paraId="24BE41C3" w14:textId="77777777" w:rsidR="0087361B" w:rsidRDefault="0087361B">
      <w:pPr>
        <w:pStyle w:val="Estilo"/>
      </w:pPr>
    </w:p>
    <w:p w14:paraId="31ED9980" w14:textId="77777777" w:rsidR="0087361B" w:rsidRDefault="00000000">
      <w:pPr>
        <w:pStyle w:val="Estilo"/>
      </w:pPr>
      <w:r>
        <w:t>Los Estados Miembros para los que el presente Convenio esté en vigor deben prestarse, a título gratuito, la mutua asistencia administrativa requerida a fin de facilitar la aplicación del Convenio, así como la ejecución de sus respectivas legislaciones de seguridad social.</w:t>
      </w:r>
    </w:p>
    <w:p w14:paraId="03269E2B" w14:textId="77777777" w:rsidR="0087361B" w:rsidRDefault="0087361B">
      <w:pPr>
        <w:pStyle w:val="Estilo"/>
      </w:pPr>
    </w:p>
    <w:p w14:paraId="7B8E82DA" w14:textId="77777777" w:rsidR="0087361B" w:rsidRDefault="00000000">
      <w:pPr>
        <w:pStyle w:val="Estilo"/>
      </w:pPr>
      <w:r>
        <w:t>ARTICULO 12</w:t>
      </w:r>
    </w:p>
    <w:p w14:paraId="253EDDFC" w14:textId="77777777" w:rsidR="0087361B" w:rsidRDefault="0087361B">
      <w:pPr>
        <w:pStyle w:val="Estilo"/>
      </w:pPr>
    </w:p>
    <w:p w14:paraId="77D6CF9B" w14:textId="77777777" w:rsidR="0087361B" w:rsidRDefault="00000000">
      <w:pPr>
        <w:pStyle w:val="Estilo"/>
      </w:pPr>
      <w:r>
        <w:t>1. El presente Convenio no se aplicará a las prestaciones pagaderas antes de la entrada en vigor para el Estado Miembro interesado de las disposiciones del Convenio en cuanto concierna a la rama de seguridad social a título de la cual dichas prestaciones sean pagaderas.</w:t>
      </w:r>
    </w:p>
    <w:p w14:paraId="06E75CF5" w14:textId="77777777" w:rsidR="0087361B" w:rsidRDefault="0087361B">
      <w:pPr>
        <w:pStyle w:val="Estilo"/>
      </w:pPr>
    </w:p>
    <w:p w14:paraId="74E5C8FD" w14:textId="77777777" w:rsidR="0087361B" w:rsidRDefault="00000000">
      <w:pPr>
        <w:pStyle w:val="Estilo"/>
      </w:pPr>
      <w:r>
        <w:t>2. La medida en que el Convenio se aplique a las prestaciones pagaderas después de la entrada en vigor para el Estado Miembro interesado de sus disposiciones en cuanto concierna a la rama de seguridad social por concepto de la cual dichas prestaciones sean pagaderas, en lo que respecte a contingencias acaecidas antes de dicha entrada en vigor, será determinada por vía de instrumentos multilaterales o bilaterales o, en su defecto, mediante la legislación del Estado Miembro interesado,</w:t>
      </w:r>
    </w:p>
    <w:p w14:paraId="2E5C95A3" w14:textId="77777777" w:rsidR="0087361B" w:rsidRDefault="0087361B">
      <w:pPr>
        <w:pStyle w:val="Estilo"/>
      </w:pPr>
    </w:p>
    <w:p w14:paraId="30E54E48" w14:textId="77777777" w:rsidR="0087361B" w:rsidRDefault="00000000">
      <w:pPr>
        <w:pStyle w:val="Estilo"/>
      </w:pPr>
      <w:r>
        <w:t>ARTICULO 13</w:t>
      </w:r>
    </w:p>
    <w:p w14:paraId="67F8DF3E" w14:textId="77777777" w:rsidR="0087361B" w:rsidRDefault="0087361B">
      <w:pPr>
        <w:pStyle w:val="Estilo"/>
      </w:pPr>
    </w:p>
    <w:p w14:paraId="51994B7A" w14:textId="77777777" w:rsidR="0087361B" w:rsidRDefault="00000000">
      <w:pPr>
        <w:pStyle w:val="Estilo"/>
      </w:pPr>
      <w:r>
        <w:t>No deberá considerarse que el presente Convenio constituye una revisión de cualquiera de los convenios ya existentes</w:t>
      </w:r>
    </w:p>
    <w:p w14:paraId="00F16E20" w14:textId="77777777" w:rsidR="0087361B" w:rsidRDefault="0087361B">
      <w:pPr>
        <w:pStyle w:val="Estilo"/>
      </w:pPr>
    </w:p>
    <w:p w14:paraId="491A7D31" w14:textId="77777777" w:rsidR="0087361B" w:rsidRDefault="00000000">
      <w:pPr>
        <w:pStyle w:val="Estilo"/>
      </w:pPr>
      <w:r>
        <w:t>ARTICULO 14</w:t>
      </w:r>
    </w:p>
    <w:p w14:paraId="1841AA27" w14:textId="77777777" w:rsidR="0087361B" w:rsidRDefault="0087361B">
      <w:pPr>
        <w:pStyle w:val="Estilo"/>
      </w:pPr>
    </w:p>
    <w:p w14:paraId="2A2967F2" w14:textId="77777777" w:rsidR="0087361B" w:rsidRDefault="00000000">
      <w:pPr>
        <w:pStyle w:val="Estilo"/>
      </w:pPr>
      <w:r>
        <w:t>Las ratificaciones formales del presente Convenio serán comunicadas, para su registro, al Director General de la oficina Internacional del Trabajo.</w:t>
      </w:r>
    </w:p>
    <w:p w14:paraId="11857739" w14:textId="77777777" w:rsidR="0087361B" w:rsidRDefault="0087361B">
      <w:pPr>
        <w:pStyle w:val="Estilo"/>
      </w:pPr>
    </w:p>
    <w:p w14:paraId="483B840C" w14:textId="77777777" w:rsidR="0087361B" w:rsidRDefault="00000000">
      <w:pPr>
        <w:pStyle w:val="Estilo"/>
      </w:pPr>
      <w:r>
        <w:t>ARTICULO 15</w:t>
      </w:r>
    </w:p>
    <w:p w14:paraId="2E459EFF" w14:textId="77777777" w:rsidR="0087361B" w:rsidRDefault="0087361B">
      <w:pPr>
        <w:pStyle w:val="Estilo"/>
      </w:pPr>
    </w:p>
    <w:p w14:paraId="3FF15FEC" w14:textId="77777777" w:rsidR="0087361B" w:rsidRDefault="00000000">
      <w:pPr>
        <w:pStyle w:val="Estilo"/>
      </w:pPr>
      <w:r>
        <w:t>1. Este Convenio obligará únicamente a aquellos Miembros de la Organización Internacional del Trabajo cuyas ratificaciones haya registrado el Director General.</w:t>
      </w:r>
    </w:p>
    <w:p w14:paraId="29F9BEEC" w14:textId="77777777" w:rsidR="0087361B" w:rsidRDefault="0087361B">
      <w:pPr>
        <w:pStyle w:val="Estilo"/>
      </w:pPr>
    </w:p>
    <w:p w14:paraId="6D1E2392" w14:textId="77777777" w:rsidR="0087361B" w:rsidRDefault="00000000">
      <w:pPr>
        <w:pStyle w:val="Estilo"/>
      </w:pPr>
      <w:r>
        <w:t>2. Entrará en vigor doce meses después de la fecha en que las ratificaciones de dos Miembros hayan sido registradas por el Director General.</w:t>
      </w:r>
    </w:p>
    <w:p w14:paraId="38478EF3" w14:textId="77777777" w:rsidR="0087361B" w:rsidRDefault="0087361B">
      <w:pPr>
        <w:pStyle w:val="Estilo"/>
      </w:pPr>
    </w:p>
    <w:p w14:paraId="2C43E44F" w14:textId="77777777" w:rsidR="0087361B" w:rsidRDefault="00000000">
      <w:pPr>
        <w:pStyle w:val="Estilo"/>
      </w:pPr>
      <w:r>
        <w:t>3. Desde dicho momento, este Convenio entrará en vigor, para cada Miembro, doce meses después de la fecha en que haya sido registrada su ratificación.</w:t>
      </w:r>
    </w:p>
    <w:p w14:paraId="439A70FB" w14:textId="77777777" w:rsidR="0087361B" w:rsidRDefault="0087361B">
      <w:pPr>
        <w:pStyle w:val="Estilo"/>
      </w:pPr>
    </w:p>
    <w:p w14:paraId="16ED3590" w14:textId="77777777" w:rsidR="0087361B" w:rsidRDefault="00000000">
      <w:pPr>
        <w:pStyle w:val="Estilo"/>
      </w:pPr>
      <w:r>
        <w:lastRenderedPageBreak/>
        <w:t>ARTICULO 16</w:t>
      </w:r>
    </w:p>
    <w:p w14:paraId="252C89C4" w14:textId="77777777" w:rsidR="0087361B" w:rsidRDefault="0087361B">
      <w:pPr>
        <w:pStyle w:val="Estilo"/>
      </w:pPr>
    </w:p>
    <w:p w14:paraId="38ADDD60" w14:textId="77777777" w:rsidR="0087361B"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0112760F" w14:textId="77777777" w:rsidR="0087361B" w:rsidRDefault="0087361B">
      <w:pPr>
        <w:pStyle w:val="Estilo"/>
      </w:pPr>
    </w:p>
    <w:p w14:paraId="3C47CA2F" w14:textId="77777777" w:rsidR="0087361B"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29243169" w14:textId="77777777" w:rsidR="0087361B" w:rsidRDefault="0087361B">
      <w:pPr>
        <w:pStyle w:val="Estilo"/>
      </w:pPr>
    </w:p>
    <w:p w14:paraId="6C886142" w14:textId="77777777" w:rsidR="0087361B" w:rsidRDefault="00000000">
      <w:pPr>
        <w:pStyle w:val="Estilo"/>
      </w:pPr>
      <w:r>
        <w:t>ARTICULO 17</w:t>
      </w:r>
    </w:p>
    <w:p w14:paraId="47081231" w14:textId="77777777" w:rsidR="0087361B" w:rsidRDefault="0087361B">
      <w:pPr>
        <w:pStyle w:val="Estilo"/>
      </w:pPr>
    </w:p>
    <w:p w14:paraId="1BAECD53" w14:textId="77777777" w:rsidR="0087361B"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1C07B5BB" w14:textId="77777777" w:rsidR="0087361B" w:rsidRDefault="0087361B">
      <w:pPr>
        <w:pStyle w:val="Estilo"/>
      </w:pPr>
    </w:p>
    <w:p w14:paraId="6ED392D5" w14:textId="77777777" w:rsidR="0087361B"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45B4F5A8" w14:textId="77777777" w:rsidR="0087361B" w:rsidRDefault="0087361B">
      <w:pPr>
        <w:pStyle w:val="Estilo"/>
      </w:pPr>
    </w:p>
    <w:p w14:paraId="4A4106AC" w14:textId="77777777" w:rsidR="0087361B" w:rsidRDefault="00000000">
      <w:pPr>
        <w:pStyle w:val="Estilo"/>
      </w:pPr>
      <w:r>
        <w:t>ARTICULO 18</w:t>
      </w:r>
    </w:p>
    <w:p w14:paraId="3BA9C9C1" w14:textId="77777777" w:rsidR="0087361B" w:rsidRDefault="0087361B">
      <w:pPr>
        <w:pStyle w:val="Estilo"/>
      </w:pPr>
    </w:p>
    <w:p w14:paraId="7BADBFB6" w14:textId="77777777" w:rsidR="0087361B"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3A097B6" w14:textId="77777777" w:rsidR="0087361B" w:rsidRDefault="0087361B">
      <w:pPr>
        <w:pStyle w:val="Estilo"/>
      </w:pPr>
    </w:p>
    <w:p w14:paraId="52E8FEDA" w14:textId="77777777" w:rsidR="0087361B" w:rsidRDefault="00000000">
      <w:pPr>
        <w:pStyle w:val="Estilo"/>
      </w:pPr>
      <w:r>
        <w:t>ARTICULO 19</w:t>
      </w:r>
    </w:p>
    <w:p w14:paraId="4F85D3F3" w14:textId="77777777" w:rsidR="0087361B" w:rsidRDefault="0087361B">
      <w:pPr>
        <w:pStyle w:val="Estilo"/>
      </w:pPr>
    </w:p>
    <w:p w14:paraId="5C20FA8D" w14:textId="77777777" w:rsidR="0087361B"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7838D4ED" w14:textId="77777777" w:rsidR="0087361B" w:rsidRDefault="0087361B">
      <w:pPr>
        <w:pStyle w:val="Estilo"/>
      </w:pPr>
    </w:p>
    <w:p w14:paraId="374D82E8" w14:textId="77777777" w:rsidR="0087361B" w:rsidRDefault="00000000">
      <w:pPr>
        <w:pStyle w:val="Estilo"/>
      </w:pPr>
      <w:r>
        <w:t>ARTICULO 20</w:t>
      </w:r>
    </w:p>
    <w:p w14:paraId="33A3CD08" w14:textId="77777777" w:rsidR="0087361B" w:rsidRDefault="0087361B">
      <w:pPr>
        <w:pStyle w:val="Estilo"/>
      </w:pPr>
    </w:p>
    <w:p w14:paraId="2DFD8213" w14:textId="77777777" w:rsidR="0087361B" w:rsidRDefault="00000000">
      <w:pPr>
        <w:pStyle w:val="Estilo"/>
      </w:pPr>
      <w:r>
        <w:lastRenderedPageBreak/>
        <w:t>1. En caso de que la Conferencia adopte un nuevo convenio que implique una revisión total o parcial del presente, y a menos que el nuevo convenio contenga disposiciones en contrario:</w:t>
      </w:r>
    </w:p>
    <w:p w14:paraId="7173E865" w14:textId="77777777" w:rsidR="0087361B" w:rsidRDefault="0087361B">
      <w:pPr>
        <w:pStyle w:val="Estilo"/>
      </w:pPr>
    </w:p>
    <w:p w14:paraId="06A74E33" w14:textId="77777777" w:rsidR="0087361B" w:rsidRDefault="00000000">
      <w:pPr>
        <w:pStyle w:val="Estilo"/>
      </w:pPr>
      <w:r>
        <w:t>a) la ratificación, por un Miembro, del nuevo convenio revisor implicará, ipso jure, la denuncia inmediata de este Convenio, no obstante las disposiciones contenidas en el artículo 16, siempre que el nuevo convenio revisor haya entrado en vigor.</w:t>
      </w:r>
    </w:p>
    <w:p w14:paraId="5B6FB665" w14:textId="77777777" w:rsidR="0087361B" w:rsidRDefault="0087361B">
      <w:pPr>
        <w:pStyle w:val="Estilo"/>
      </w:pPr>
    </w:p>
    <w:p w14:paraId="67B51F8C" w14:textId="77777777" w:rsidR="0087361B" w:rsidRDefault="00000000">
      <w:pPr>
        <w:pStyle w:val="Estilo"/>
      </w:pPr>
      <w:r>
        <w:t>b) a partir de la fecha en que entre en vigor el nuevo convenio revisor, el presente Convenio cesará de estar abierto a la ratificación por los Miembros.</w:t>
      </w:r>
    </w:p>
    <w:p w14:paraId="2A883C6A" w14:textId="77777777" w:rsidR="0087361B" w:rsidRDefault="0087361B">
      <w:pPr>
        <w:pStyle w:val="Estilo"/>
      </w:pPr>
    </w:p>
    <w:p w14:paraId="47828054" w14:textId="77777777" w:rsidR="0087361B" w:rsidRDefault="00000000">
      <w:pPr>
        <w:pStyle w:val="Estilo"/>
      </w:pPr>
      <w:r>
        <w:t>2.- Este Convenio continuará en vigor en todo caso, en su forma y contenido actuales, para los Miembros que lo hayan ratificado y no ratifiquen el Convenio revisor.</w:t>
      </w:r>
    </w:p>
    <w:p w14:paraId="7481FDD7" w14:textId="77777777" w:rsidR="0087361B" w:rsidRDefault="0087361B">
      <w:pPr>
        <w:pStyle w:val="Estilo"/>
      </w:pPr>
    </w:p>
    <w:p w14:paraId="39F40D74" w14:textId="77777777" w:rsidR="0087361B" w:rsidRDefault="00000000">
      <w:pPr>
        <w:pStyle w:val="Estilo"/>
      </w:pPr>
      <w:r>
        <w:t>ARTICULO 21</w:t>
      </w:r>
    </w:p>
    <w:p w14:paraId="62B4E7CA" w14:textId="77777777" w:rsidR="0087361B" w:rsidRDefault="0087361B">
      <w:pPr>
        <w:pStyle w:val="Estilo"/>
      </w:pPr>
    </w:p>
    <w:p w14:paraId="512D299E" w14:textId="77777777" w:rsidR="0087361B" w:rsidRDefault="00000000">
      <w:pPr>
        <w:pStyle w:val="Estilo"/>
      </w:pPr>
      <w:r>
        <w:t>Las versiones inglesa y francesa del texto de este Convenio son igualmente auténticas.</w:t>
      </w:r>
    </w:p>
    <w:p w14:paraId="4CA26831" w14:textId="77777777" w:rsidR="0087361B" w:rsidRDefault="0087361B">
      <w:pPr>
        <w:pStyle w:val="Estilo"/>
      </w:pPr>
    </w:p>
    <w:p w14:paraId="0D83F8D2" w14:textId="77777777" w:rsidR="0087361B" w:rsidRDefault="0087361B">
      <w:pPr>
        <w:pStyle w:val="Estilo"/>
      </w:pPr>
    </w:p>
    <w:p w14:paraId="1AED3BAD" w14:textId="77777777" w:rsidR="0087361B" w:rsidRDefault="00000000">
      <w:pPr>
        <w:pStyle w:val="Estilo"/>
      </w:pPr>
      <w:r>
        <w:t>La presente es copia fiel y completa en español del Convenio relativo a la Igualdad de Trato de Nacionales y Extranjeros en materia de Seguridad Social, adoptado por la Conferencia General de la Organización Internacional del Trabajo en su Cuadragésima Sexta Reunión, en la ciudad de Ginebra, el día veintiocho del mes de junio del año de mil novecientos sesenta y dos.</w:t>
      </w:r>
    </w:p>
    <w:p w14:paraId="1A1715D8" w14:textId="77777777" w:rsidR="0087361B" w:rsidRDefault="0087361B">
      <w:pPr>
        <w:pStyle w:val="Estilo"/>
      </w:pPr>
    </w:p>
    <w:p w14:paraId="02ADC994" w14:textId="77777777" w:rsidR="0087361B" w:rsidRDefault="00000000">
      <w:pPr>
        <w:pStyle w:val="Estilo"/>
      </w:pPr>
      <w:r>
        <w:t>Extiendo la presente, en nueve páginas útiles, en Tlatelolco, Distrito Federal a los trece días del mes de enero del año mil novecientos setenta y ocho, a fin de incorporarla al Decreto de Promulgación respectivo.- Guillermina Sánchez Meza de Solís.- Rúbrica.</w:t>
      </w:r>
    </w:p>
    <w:p w14:paraId="601AD887" w14:textId="77777777" w:rsidR="0087361B" w:rsidRDefault="0087361B">
      <w:pPr>
        <w:pStyle w:val="Estilo"/>
      </w:pPr>
    </w:p>
    <w:p w14:paraId="00F1A1DE" w14:textId="77777777" w:rsidR="0087361B" w:rsidRDefault="0087361B">
      <w:pPr>
        <w:pStyle w:val="Estilo"/>
      </w:pPr>
    </w:p>
    <w:p w14:paraId="50DB7E90" w14:textId="77777777" w:rsidR="0087361B" w:rsidRDefault="00000000">
      <w:pPr>
        <w:pStyle w:val="Estilo"/>
      </w:pPr>
      <w:r>
        <w:t>En cumplimiento de lo dispuesto en la Fracción Primera del Artículo Ochenta y Nueve de la Constitución Política de los Estados Unidos Mexicanos y, para su debida observancia, promulgo el presente Decreto, en la residencia del Poder Ejecutivo Federal, en la Ciudad de México, Distrito Federal, a los dieciocho días del mes de enero del año mil novecientos setenta y ocho.- José López Portillo.- Rúbrica.- El Secretario de Relaciones Exteriores, Santiago Roel.- Rúbrica.</w:t>
      </w:r>
    </w:p>
    <w:p w14:paraId="0F934E02" w14:textId="77777777" w:rsidR="0087361B" w:rsidRDefault="0087361B">
      <w:pPr>
        <w:pStyle w:val="Estilo"/>
      </w:pPr>
    </w:p>
    <w:sectPr w:rsidR="0087361B"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6E67" w14:textId="77777777" w:rsidR="00601A36" w:rsidRDefault="00601A36" w:rsidP="006E4391">
      <w:pPr>
        <w:spacing w:after="0" w:line="240" w:lineRule="auto"/>
      </w:pPr>
      <w:r>
        <w:separator/>
      </w:r>
    </w:p>
  </w:endnote>
  <w:endnote w:type="continuationSeparator" w:id="0">
    <w:p w14:paraId="4385CE73" w14:textId="77777777" w:rsidR="00601A36" w:rsidRDefault="00601A36"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3F23"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0AAE411" w14:textId="77777777" w:rsidTr="00D61ABC">
      <w:tc>
        <w:tcPr>
          <w:tcW w:w="2500" w:type="pct"/>
        </w:tcPr>
        <w:p w14:paraId="5D1D643F" w14:textId="0E8A5828" w:rsidR="00A9075C" w:rsidRDefault="003E086C" w:rsidP="00275FEE">
          <w:pPr>
            <w:pStyle w:val="Piedepgina"/>
          </w:pPr>
          <w:r>
            <w:fldChar w:fldCharType="begin"/>
          </w:r>
          <w:r w:rsidR="00A9075C">
            <w:instrText xml:space="preserve"> DATE  \@ "dd/MM/yyyy hh:mm am/pm"  \* MERGEFORMAT </w:instrText>
          </w:r>
          <w:r>
            <w:fldChar w:fldCharType="separate"/>
          </w:r>
          <w:r w:rsidR="00A936C7">
            <w:rPr>
              <w:noProof/>
            </w:rPr>
            <w:t>19/05/2023 03:29 p. m.</w:t>
          </w:r>
          <w:r>
            <w:fldChar w:fldCharType="end"/>
          </w:r>
        </w:p>
      </w:tc>
      <w:tc>
        <w:tcPr>
          <w:tcW w:w="2500" w:type="pct"/>
        </w:tcPr>
        <w:sdt>
          <w:sdtPr>
            <w:id w:val="8289949"/>
            <w:docPartObj>
              <w:docPartGallery w:val="Page Numbers (Bottom of Page)"/>
              <w:docPartUnique/>
            </w:docPartObj>
          </w:sdtPr>
          <w:sdtContent>
            <w:p w14:paraId="4B9BB7FA"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2FEDCBA9" w14:textId="77777777" w:rsidR="00A9075C" w:rsidRDefault="00A9075C" w:rsidP="00275FEE">
          <w:pPr>
            <w:pStyle w:val="Piedepgina"/>
          </w:pPr>
        </w:p>
      </w:tc>
    </w:tr>
  </w:tbl>
  <w:p w14:paraId="46FC3991"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62A1E31" w14:textId="77777777" w:rsidTr="00D61ABC">
      <w:tc>
        <w:tcPr>
          <w:tcW w:w="2500" w:type="pct"/>
        </w:tcPr>
        <w:p w14:paraId="0A523BC1" w14:textId="3D9E99A4" w:rsidR="00A9075C" w:rsidRDefault="00D11F99">
          <w:pPr>
            <w:pStyle w:val="Piedepgina"/>
          </w:pPr>
          <w:r>
            <w:fldChar w:fldCharType="begin"/>
          </w:r>
          <w:r>
            <w:instrText xml:space="preserve"> DATE  \@ "dd/MM/yyyy hh:mm am/pm"  \* MERGEFORMAT </w:instrText>
          </w:r>
          <w:r>
            <w:fldChar w:fldCharType="separate"/>
          </w:r>
          <w:r w:rsidR="00A936C7">
            <w:rPr>
              <w:noProof/>
            </w:rPr>
            <w:t>19/05/2023 03:29 p. m.</w:t>
          </w:r>
          <w:r>
            <w:rPr>
              <w:noProof/>
            </w:rPr>
            <w:fldChar w:fldCharType="end"/>
          </w:r>
        </w:p>
      </w:tc>
      <w:tc>
        <w:tcPr>
          <w:tcW w:w="2500" w:type="pct"/>
        </w:tcPr>
        <w:sdt>
          <w:sdtPr>
            <w:id w:val="8289945"/>
            <w:docPartObj>
              <w:docPartGallery w:val="Page Numbers (Bottom of Page)"/>
              <w:docPartUnique/>
            </w:docPartObj>
          </w:sdtPr>
          <w:sdtContent>
            <w:p w14:paraId="0FCB0946"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B2F71B5" w14:textId="77777777" w:rsidR="00A9075C" w:rsidRDefault="00A9075C">
          <w:pPr>
            <w:pStyle w:val="Piedepgina"/>
          </w:pPr>
        </w:p>
      </w:tc>
    </w:tr>
  </w:tbl>
  <w:p w14:paraId="78D53E4D"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FCA0" w14:textId="77777777" w:rsidR="00601A36" w:rsidRDefault="00601A36" w:rsidP="006E4391">
      <w:pPr>
        <w:spacing w:after="0" w:line="240" w:lineRule="auto"/>
      </w:pPr>
      <w:r>
        <w:separator/>
      </w:r>
    </w:p>
  </w:footnote>
  <w:footnote w:type="continuationSeparator" w:id="0">
    <w:p w14:paraId="32AED343" w14:textId="77777777" w:rsidR="00601A36" w:rsidRDefault="00601A36"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DBB1"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CD93"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92AC"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2ADB"/>
    <w:rsid w:val="00593863"/>
    <w:rsid w:val="005A31EC"/>
    <w:rsid w:val="005A43B7"/>
    <w:rsid w:val="005B7422"/>
    <w:rsid w:val="005C1967"/>
    <w:rsid w:val="005C223D"/>
    <w:rsid w:val="005F4960"/>
    <w:rsid w:val="005F4C76"/>
    <w:rsid w:val="00601A3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361B"/>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6E6B"/>
    <w:rsid w:val="00A076DD"/>
    <w:rsid w:val="00A177D7"/>
    <w:rsid w:val="00A51D8A"/>
    <w:rsid w:val="00A543C7"/>
    <w:rsid w:val="00A56AED"/>
    <w:rsid w:val="00A57DC5"/>
    <w:rsid w:val="00A86219"/>
    <w:rsid w:val="00A9075C"/>
    <w:rsid w:val="00A936C7"/>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E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3204</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2023-01-14T19:50:00Z</dcterms:created>
  <dcterms:modified xsi:type="dcterms:W3CDTF">2023-05-19T21:31:00Z</dcterms:modified>
</cp:coreProperties>
</file>