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BF23C" w14:textId="77777777" w:rsidR="007F37F5" w:rsidRDefault="00000000">
      <w:pPr>
        <w:pStyle w:val="Estilo"/>
      </w:pPr>
      <w:r>
        <w:t>CONVENIO RELATIVO A LA HIGIENE EN EL COMERCIO Y EN LAS OFICINAS</w:t>
      </w:r>
    </w:p>
    <w:p w14:paraId="14D8D259" w14:textId="77777777" w:rsidR="007F37F5" w:rsidRDefault="007F37F5">
      <w:pPr>
        <w:pStyle w:val="Estilo"/>
      </w:pPr>
    </w:p>
    <w:p w14:paraId="5D0A5F32" w14:textId="77777777" w:rsidR="007F37F5" w:rsidRDefault="00000000">
      <w:pPr>
        <w:pStyle w:val="Estilo"/>
      </w:pPr>
      <w:r>
        <w:t>TEXTO ORIGINAL.</w:t>
      </w:r>
    </w:p>
    <w:p w14:paraId="71F2EA36" w14:textId="77777777" w:rsidR="007F37F5" w:rsidRDefault="007F37F5">
      <w:pPr>
        <w:pStyle w:val="Estilo"/>
      </w:pPr>
    </w:p>
    <w:p w14:paraId="0F100CC9" w14:textId="77777777" w:rsidR="007F37F5" w:rsidRDefault="00000000">
      <w:pPr>
        <w:pStyle w:val="Estilo"/>
      </w:pPr>
      <w:r>
        <w:t>Convenio adoptado en Ginebra, el miércoles 8 de julio de 1964.</w:t>
      </w:r>
    </w:p>
    <w:p w14:paraId="75C73589" w14:textId="77777777" w:rsidR="007F37F5" w:rsidRDefault="007F37F5">
      <w:pPr>
        <w:pStyle w:val="Estilo"/>
      </w:pPr>
    </w:p>
    <w:p w14:paraId="765DC3A6" w14:textId="77777777" w:rsidR="007F37F5" w:rsidRDefault="00000000">
      <w:pPr>
        <w:pStyle w:val="Estilo"/>
      </w:pPr>
      <w:r>
        <w:t>JOEL ANTONIO HERNÁNDEZ GARCÍA, CONSULTOR JURÍDICO DE LA SECRETARÍA DE RELACIONES EXTERIORES,</w:t>
      </w:r>
    </w:p>
    <w:p w14:paraId="0627B351" w14:textId="77777777" w:rsidR="007F37F5" w:rsidRDefault="007F37F5">
      <w:pPr>
        <w:pStyle w:val="Estilo"/>
      </w:pPr>
    </w:p>
    <w:p w14:paraId="3C16CF37" w14:textId="77777777" w:rsidR="007F37F5" w:rsidRDefault="00000000">
      <w:pPr>
        <w:pStyle w:val="Estilo"/>
      </w:pPr>
      <w:r>
        <w:t>CERTIFICA:</w:t>
      </w:r>
    </w:p>
    <w:p w14:paraId="521851F0" w14:textId="77777777" w:rsidR="007F37F5" w:rsidRDefault="007F37F5">
      <w:pPr>
        <w:pStyle w:val="Estilo"/>
      </w:pPr>
    </w:p>
    <w:p w14:paraId="0A0C3FAE" w14:textId="77777777" w:rsidR="007F37F5" w:rsidRDefault="00000000">
      <w:pPr>
        <w:pStyle w:val="Estilo"/>
      </w:pPr>
      <w:r>
        <w:t>Que en los archivos de esta Secretaría obra copia certificada del Convenio Internacional del Trabajo Núm. 120 relativo a la Higiene en el Comercio y en las Oficinas, adoptado en Ginebra, el ocho de julio de mil novecientos sesenta y cuatro, cuyo texto en español es el siguiente:</w:t>
      </w:r>
    </w:p>
    <w:p w14:paraId="12F3A15F" w14:textId="77777777" w:rsidR="007F37F5" w:rsidRDefault="007F37F5">
      <w:pPr>
        <w:pStyle w:val="Estilo"/>
      </w:pPr>
    </w:p>
    <w:p w14:paraId="278284F7" w14:textId="77777777" w:rsidR="007F37F5" w:rsidRDefault="007F37F5">
      <w:pPr>
        <w:pStyle w:val="Estilo"/>
      </w:pPr>
    </w:p>
    <w:p w14:paraId="5533CE32" w14:textId="77777777" w:rsidR="007F37F5" w:rsidRDefault="00000000">
      <w:pPr>
        <w:pStyle w:val="Estilo"/>
      </w:pPr>
      <w:r>
        <w:t>Convenio 120</w:t>
      </w:r>
    </w:p>
    <w:p w14:paraId="3F7A4588" w14:textId="77777777" w:rsidR="007F37F5" w:rsidRDefault="007F37F5">
      <w:pPr>
        <w:pStyle w:val="Estilo"/>
      </w:pPr>
    </w:p>
    <w:p w14:paraId="50CA456D" w14:textId="77777777" w:rsidR="007F37F5" w:rsidRDefault="00000000">
      <w:pPr>
        <w:pStyle w:val="Estilo"/>
      </w:pPr>
      <w:r>
        <w:t>CONVENIO RELATIVO A LA HIGIENE EN EL COMERCIO Y EN LAS OFICINAS</w:t>
      </w:r>
    </w:p>
    <w:p w14:paraId="7AD64A53" w14:textId="77777777" w:rsidR="007F37F5" w:rsidRDefault="007F37F5">
      <w:pPr>
        <w:pStyle w:val="Estilo"/>
      </w:pPr>
    </w:p>
    <w:p w14:paraId="09EE494B" w14:textId="77777777" w:rsidR="007F37F5" w:rsidRDefault="00000000">
      <w:pPr>
        <w:pStyle w:val="Estilo"/>
      </w:pPr>
      <w:r>
        <w:t>La Conferencia General de la Organización Internacional del Trabajo:</w:t>
      </w:r>
    </w:p>
    <w:p w14:paraId="157E6E88" w14:textId="77777777" w:rsidR="007F37F5" w:rsidRDefault="007F37F5">
      <w:pPr>
        <w:pStyle w:val="Estilo"/>
      </w:pPr>
    </w:p>
    <w:p w14:paraId="2E63184C" w14:textId="77777777" w:rsidR="007F37F5" w:rsidRDefault="00000000">
      <w:pPr>
        <w:pStyle w:val="Estilo"/>
      </w:pPr>
      <w:r>
        <w:t>Convocada en Ginebra por el Consejo de Administración de la Oficina Internacional del Trabajo, y congregada en dicha ciudad el 17 junio 1964 en su cuadragésima octava reunión;</w:t>
      </w:r>
    </w:p>
    <w:p w14:paraId="2AA7DAA0" w14:textId="77777777" w:rsidR="007F37F5" w:rsidRDefault="007F37F5">
      <w:pPr>
        <w:pStyle w:val="Estilo"/>
      </w:pPr>
    </w:p>
    <w:p w14:paraId="047AFCC0" w14:textId="77777777" w:rsidR="007F37F5" w:rsidRDefault="00000000">
      <w:pPr>
        <w:pStyle w:val="Estilo"/>
      </w:pPr>
      <w:r>
        <w:t>Después de haber decidido adoptar diversas proposiciones relativas a la higiene en el comercio y en las oficinas, cuestión que constituye el cuarto punto del orden del día de la reunión, y</w:t>
      </w:r>
    </w:p>
    <w:p w14:paraId="7D3F164E" w14:textId="77777777" w:rsidR="007F37F5" w:rsidRDefault="007F37F5">
      <w:pPr>
        <w:pStyle w:val="Estilo"/>
      </w:pPr>
    </w:p>
    <w:p w14:paraId="7847B641" w14:textId="77777777" w:rsidR="007F37F5" w:rsidRDefault="00000000">
      <w:pPr>
        <w:pStyle w:val="Estilo"/>
      </w:pPr>
      <w:r>
        <w:t>Después de haber decidido que algunas de esas proposiciones revistan la forma de un convenio internacional,</w:t>
      </w:r>
    </w:p>
    <w:p w14:paraId="7227C8A2" w14:textId="77777777" w:rsidR="007F37F5" w:rsidRDefault="007F37F5">
      <w:pPr>
        <w:pStyle w:val="Estilo"/>
      </w:pPr>
    </w:p>
    <w:p w14:paraId="7B48D3C7" w14:textId="77777777" w:rsidR="007F37F5" w:rsidRDefault="00000000">
      <w:pPr>
        <w:pStyle w:val="Estilo"/>
      </w:pPr>
      <w:r>
        <w:t>adopta, con fecha ocho de julio de mil novecientos sesenta y cuatro, el siguiente Convenio, que podrá ser citado como el Convenio sobre la higiene (comercio y oficinas), 1964:</w:t>
      </w:r>
    </w:p>
    <w:p w14:paraId="33F16CE9" w14:textId="77777777" w:rsidR="007F37F5" w:rsidRDefault="007F37F5">
      <w:pPr>
        <w:pStyle w:val="Estilo"/>
      </w:pPr>
    </w:p>
    <w:p w14:paraId="4FEBE49C" w14:textId="77777777" w:rsidR="007F37F5" w:rsidRDefault="007F37F5">
      <w:pPr>
        <w:pStyle w:val="Estilo"/>
      </w:pPr>
    </w:p>
    <w:p w14:paraId="27AE16D4" w14:textId="77777777" w:rsidR="007F37F5" w:rsidRDefault="00000000">
      <w:pPr>
        <w:pStyle w:val="Estilo"/>
      </w:pPr>
      <w:r>
        <w:t>PARTE I. OBLIGACIONES DE LAS PARTES</w:t>
      </w:r>
    </w:p>
    <w:p w14:paraId="5CAE9AE8" w14:textId="77777777" w:rsidR="007F37F5" w:rsidRDefault="007F37F5">
      <w:pPr>
        <w:pStyle w:val="Estilo"/>
      </w:pPr>
    </w:p>
    <w:p w14:paraId="31799298" w14:textId="77777777" w:rsidR="007F37F5" w:rsidRDefault="00000000">
      <w:pPr>
        <w:pStyle w:val="Estilo"/>
      </w:pPr>
      <w:r>
        <w:t>Artículo 1</w:t>
      </w:r>
    </w:p>
    <w:p w14:paraId="1FF9A2AB" w14:textId="77777777" w:rsidR="007F37F5" w:rsidRDefault="007F37F5">
      <w:pPr>
        <w:pStyle w:val="Estilo"/>
      </w:pPr>
    </w:p>
    <w:p w14:paraId="46E23E9B" w14:textId="77777777" w:rsidR="007F37F5" w:rsidRDefault="00000000">
      <w:pPr>
        <w:pStyle w:val="Estilo"/>
      </w:pPr>
      <w:r>
        <w:t>El presente Convenio se aplica:</w:t>
      </w:r>
    </w:p>
    <w:p w14:paraId="70889AE5" w14:textId="77777777" w:rsidR="007F37F5" w:rsidRDefault="007F37F5">
      <w:pPr>
        <w:pStyle w:val="Estilo"/>
      </w:pPr>
    </w:p>
    <w:p w14:paraId="43AB342F" w14:textId="77777777" w:rsidR="007F37F5" w:rsidRDefault="00000000">
      <w:pPr>
        <w:pStyle w:val="Estilo"/>
      </w:pPr>
      <w:r>
        <w:t>a) a los establecimientos de comercio;</w:t>
      </w:r>
    </w:p>
    <w:p w14:paraId="19FDC59E" w14:textId="77777777" w:rsidR="007F37F5" w:rsidRDefault="007F37F5">
      <w:pPr>
        <w:pStyle w:val="Estilo"/>
      </w:pPr>
    </w:p>
    <w:p w14:paraId="3793105F" w14:textId="77777777" w:rsidR="007F37F5" w:rsidRDefault="00000000">
      <w:pPr>
        <w:pStyle w:val="Estilo"/>
      </w:pPr>
      <w:r>
        <w:t>b) a los establecimientos, instituciones o servicios administrativos cuyo personal efectúe principalmente trabajos de oficina;</w:t>
      </w:r>
    </w:p>
    <w:p w14:paraId="1FE7DB6A" w14:textId="77777777" w:rsidR="007F37F5" w:rsidRDefault="007F37F5">
      <w:pPr>
        <w:pStyle w:val="Estilo"/>
      </w:pPr>
    </w:p>
    <w:p w14:paraId="1CD92F40" w14:textId="77777777" w:rsidR="007F37F5" w:rsidRDefault="00000000">
      <w:pPr>
        <w:pStyle w:val="Estilo"/>
      </w:pPr>
      <w:r>
        <w:t>c) en la medida en que no estén sometidos a la legislación nacional o a otras disposiciones relativas a la higiene en la industria, las minas, los transportes o la agricultura, a toda sección de otros establecimientos, instituciones o servicios administrativos en que el personal efectúe principalmente actividades comerciales o trabajos de oficina.</w:t>
      </w:r>
    </w:p>
    <w:p w14:paraId="52F67780" w14:textId="77777777" w:rsidR="007F37F5" w:rsidRDefault="007F37F5">
      <w:pPr>
        <w:pStyle w:val="Estilo"/>
      </w:pPr>
    </w:p>
    <w:p w14:paraId="54534DC1" w14:textId="77777777" w:rsidR="007F37F5" w:rsidRDefault="00000000">
      <w:pPr>
        <w:pStyle w:val="Estilo"/>
      </w:pPr>
      <w:r>
        <w:t>Artículo 2</w:t>
      </w:r>
    </w:p>
    <w:p w14:paraId="1ADAC04E" w14:textId="77777777" w:rsidR="007F37F5" w:rsidRDefault="007F37F5">
      <w:pPr>
        <w:pStyle w:val="Estilo"/>
      </w:pPr>
    </w:p>
    <w:p w14:paraId="551025FC" w14:textId="77777777" w:rsidR="007F37F5" w:rsidRDefault="00000000">
      <w:pPr>
        <w:pStyle w:val="Estilo"/>
      </w:pPr>
      <w:r>
        <w:t>La autoridad competente podrá, previa consulta con las organizaciones de empleadores y de trabajadores directamente interesadas, donde tales organizaciones existan, excluir de la aplicación de la totalidad o de algunas de las disposiciones del presente Convenio a determinadas categorías de establecimientos, instituciones o servicios administrativos mencionadas en el artículo 1, o a algunas de sus secciones, cuando las circunstancias y las condiciones de empleo sean tales que la aplicación del Convenio en su conjunto o de algunas de sus disposiciones no resulte conveniente.</w:t>
      </w:r>
    </w:p>
    <w:p w14:paraId="678E107B" w14:textId="77777777" w:rsidR="007F37F5" w:rsidRDefault="007F37F5">
      <w:pPr>
        <w:pStyle w:val="Estilo"/>
      </w:pPr>
    </w:p>
    <w:p w14:paraId="501B3A04" w14:textId="77777777" w:rsidR="007F37F5" w:rsidRDefault="00000000">
      <w:pPr>
        <w:pStyle w:val="Estilo"/>
      </w:pPr>
      <w:r>
        <w:t>Artículo 3</w:t>
      </w:r>
    </w:p>
    <w:p w14:paraId="3F8D848B" w14:textId="77777777" w:rsidR="007F37F5" w:rsidRDefault="007F37F5">
      <w:pPr>
        <w:pStyle w:val="Estilo"/>
      </w:pPr>
    </w:p>
    <w:p w14:paraId="3322A136" w14:textId="77777777" w:rsidR="007F37F5" w:rsidRDefault="00000000">
      <w:pPr>
        <w:pStyle w:val="Estilo"/>
      </w:pPr>
      <w:r>
        <w:t>En todos los casos en que no resulte evidente que el presente Convenio se aplica a un establecimiento, institución o servicio administrativo determinado, la cuestión será resuelta, sea por la autoridad competente previa consulta con las organizaciones representativas de empleadores y de trabajadores interesadas, donde tales organizaciones existan, o por cualquier otro método compatible con la legislación y la práctica nacionales.</w:t>
      </w:r>
    </w:p>
    <w:p w14:paraId="528F70DA" w14:textId="77777777" w:rsidR="007F37F5" w:rsidRDefault="007F37F5">
      <w:pPr>
        <w:pStyle w:val="Estilo"/>
      </w:pPr>
    </w:p>
    <w:p w14:paraId="63E94C09" w14:textId="77777777" w:rsidR="007F37F5" w:rsidRDefault="00000000">
      <w:pPr>
        <w:pStyle w:val="Estilo"/>
      </w:pPr>
      <w:r>
        <w:t>Artículo 4</w:t>
      </w:r>
    </w:p>
    <w:p w14:paraId="0816E43E" w14:textId="77777777" w:rsidR="007F37F5" w:rsidRDefault="007F37F5">
      <w:pPr>
        <w:pStyle w:val="Estilo"/>
      </w:pPr>
    </w:p>
    <w:p w14:paraId="713ED25F" w14:textId="77777777" w:rsidR="007F37F5" w:rsidRDefault="00000000">
      <w:pPr>
        <w:pStyle w:val="Estilo"/>
      </w:pPr>
      <w:r>
        <w:t>Todo Miembro que ratifique este Convenio se compromete:</w:t>
      </w:r>
    </w:p>
    <w:p w14:paraId="12197B07" w14:textId="77777777" w:rsidR="007F37F5" w:rsidRDefault="007F37F5">
      <w:pPr>
        <w:pStyle w:val="Estilo"/>
      </w:pPr>
    </w:p>
    <w:p w14:paraId="76918066" w14:textId="77777777" w:rsidR="007F37F5" w:rsidRDefault="00000000">
      <w:pPr>
        <w:pStyle w:val="Estilo"/>
      </w:pPr>
      <w:r>
        <w:t>a) a adoptar y mantener vigente una legislación que asegure la aplicación de los principios generales contenidos en la parte II; y</w:t>
      </w:r>
    </w:p>
    <w:p w14:paraId="46F7C67C" w14:textId="77777777" w:rsidR="007F37F5" w:rsidRDefault="007F37F5">
      <w:pPr>
        <w:pStyle w:val="Estilo"/>
      </w:pPr>
    </w:p>
    <w:p w14:paraId="2A865F96" w14:textId="77777777" w:rsidR="007F37F5" w:rsidRDefault="00000000">
      <w:pPr>
        <w:pStyle w:val="Estilo"/>
      </w:pPr>
      <w:r>
        <w:t>b) a asegurar que, en la medida en que las condiciones nacionales lo hagan posible y oportuno, se dé efecto a las disposiciones de la Recomendación sobre la higiene (comercio y oficinas), 1964, o a disposiciones equivalentes.</w:t>
      </w:r>
    </w:p>
    <w:p w14:paraId="000DBD7C" w14:textId="77777777" w:rsidR="007F37F5" w:rsidRDefault="007F37F5">
      <w:pPr>
        <w:pStyle w:val="Estilo"/>
      </w:pPr>
    </w:p>
    <w:p w14:paraId="2A2AF62B" w14:textId="77777777" w:rsidR="007F37F5" w:rsidRDefault="00000000">
      <w:pPr>
        <w:pStyle w:val="Estilo"/>
      </w:pPr>
      <w:r>
        <w:t>Artículo 5</w:t>
      </w:r>
    </w:p>
    <w:p w14:paraId="4D32AB56" w14:textId="77777777" w:rsidR="007F37F5" w:rsidRDefault="007F37F5">
      <w:pPr>
        <w:pStyle w:val="Estilo"/>
      </w:pPr>
    </w:p>
    <w:p w14:paraId="2BE3CFF2" w14:textId="77777777" w:rsidR="007F37F5" w:rsidRDefault="00000000">
      <w:pPr>
        <w:pStyle w:val="Estilo"/>
      </w:pPr>
      <w:r>
        <w:t xml:space="preserve">La legislación por la que se dé efecto a las disposiciones del presente Convenio, así como aquella por la que se asegure, dentro de lo que sea posible y conveniente, habida cuenta de las condiciones nacionales, que se dé efecto a las </w:t>
      </w:r>
      <w:r>
        <w:lastRenderedPageBreak/>
        <w:t>disposiciones de la Recomendación sobre la higiene (comercio y oficinas), 1964, o a disposiciones equivalentes, deberán ser establecidas previa consulta con las organizaciones representativas de empleadores y de trabajadores interesadas, donde tales organizaciones existan.</w:t>
      </w:r>
    </w:p>
    <w:p w14:paraId="5DAD3840" w14:textId="77777777" w:rsidR="007F37F5" w:rsidRDefault="007F37F5">
      <w:pPr>
        <w:pStyle w:val="Estilo"/>
      </w:pPr>
    </w:p>
    <w:p w14:paraId="5953D813" w14:textId="77777777" w:rsidR="007F37F5" w:rsidRDefault="00000000">
      <w:pPr>
        <w:pStyle w:val="Estilo"/>
      </w:pPr>
      <w:r>
        <w:t>Artículo 6</w:t>
      </w:r>
    </w:p>
    <w:p w14:paraId="00952F2B" w14:textId="77777777" w:rsidR="007F37F5" w:rsidRDefault="007F37F5">
      <w:pPr>
        <w:pStyle w:val="Estilo"/>
      </w:pPr>
    </w:p>
    <w:p w14:paraId="763F2510" w14:textId="77777777" w:rsidR="007F37F5" w:rsidRDefault="00000000">
      <w:pPr>
        <w:pStyle w:val="Estilo"/>
      </w:pPr>
      <w:r>
        <w:t>1. Se deberán tomar las medidas apropiadas, mediante servicios de inspección adecuados o por otros medios, para asegurar la aplicación efectiva de la legislación mencionada en el artículo 5.</w:t>
      </w:r>
    </w:p>
    <w:p w14:paraId="6F7DC99A" w14:textId="77777777" w:rsidR="007F37F5" w:rsidRDefault="007F37F5">
      <w:pPr>
        <w:pStyle w:val="Estilo"/>
      </w:pPr>
    </w:p>
    <w:p w14:paraId="47AC08D0" w14:textId="77777777" w:rsidR="007F37F5" w:rsidRDefault="00000000">
      <w:pPr>
        <w:pStyle w:val="Estilo"/>
      </w:pPr>
      <w:r>
        <w:t>2. Si las medidas por las que se dé efecto a las disposiciones del presente Convenio lo permiten, deberá garantizarse la aplicación efectiva de esa legislación mediante el establecimiento de un sistema adecuado de sanciones.</w:t>
      </w:r>
    </w:p>
    <w:p w14:paraId="2DDAF4BF" w14:textId="77777777" w:rsidR="007F37F5" w:rsidRDefault="007F37F5">
      <w:pPr>
        <w:pStyle w:val="Estilo"/>
      </w:pPr>
    </w:p>
    <w:p w14:paraId="43EC0D6A" w14:textId="77777777" w:rsidR="007F37F5" w:rsidRDefault="007F37F5">
      <w:pPr>
        <w:pStyle w:val="Estilo"/>
      </w:pPr>
    </w:p>
    <w:p w14:paraId="51CB8707" w14:textId="77777777" w:rsidR="007F37F5" w:rsidRDefault="00000000">
      <w:pPr>
        <w:pStyle w:val="Estilo"/>
      </w:pPr>
      <w:r>
        <w:t>PARTE II. PRINCIPIOS GENERALES</w:t>
      </w:r>
    </w:p>
    <w:p w14:paraId="08080A7D" w14:textId="77777777" w:rsidR="007F37F5" w:rsidRDefault="007F37F5">
      <w:pPr>
        <w:pStyle w:val="Estilo"/>
      </w:pPr>
    </w:p>
    <w:p w14:paraId="378702F3" w14:textId="77777777" w:rsidR="007F37F5" w:rsidRDefault="00000000">
      <w:pPr>
        <w:pStyle w:val="Estilo"/>
      </w:pPr>
      <w:r>
        <w:t>Artículo 7</w:t>
      </w:r>
    </w:p>
    <w:p w14:paraId="5188FE31" w14:textId="77777777" w:rsidR="007F37F5" w:rsidRDefault="007F37F5">
      <w:pPr>
        <w:pStyle w:val="Estilo"/>
      </w:pPr>
    </w:p>
    <w:p w14:paraId="0F8C7672" w14:textId="77777777" w:rsidR="007F37F5" w:rsidRDefault="00000000">
      <w:pPr>
        <w:pStyle w:val="Estilo"/>
      </w:pPr>
      <w:r>
        <w:t>Todos los locales utilizados por los trabajadores y los equipos de tales locales deberán ser mantenidos en buen estado de conservación y de limpieza.</w:t>
      </w:r>
    </w:p>
    <w:p w14:paraId="1AA8A252" w14:textId="77777777" w:rsidR="007F37F5" w:rsidRDefault="007F37F5">
      <w:pPr>
        <w:pStyle w:val="Estilo"/>
      </w:pPr>
    </w:p>
    <w:p w14:paraId="5267F263" w14:textId="77777777" w:rsidR="007F37F5" w:rsidRDefault="00000000">
      <w:pPr>
        <w:pStyle w:val="Estilo"/>
      </w:pPr>
      <w:r>
        <w:t>Artículo 8</w:t>
      </w:r>
    </w:p>
    <w:p w14:paraId="78CAAE8E" w14:textId="77777777" w:rsidR="007F37F5" w:rsidRDefault="007F37F5">
      <w:pPr>
        <w:pStyle w:val="Estilo"/>
      </w:pPr>
    </w:p>
    <w:p w14:paraId="129781B0" w14:textId="77777777" w:rsidR="007F37F5" w:rsidRDefault="00000000">
      <w:pPr>
        <w:pStyle w:val="Estilo"/>
      </w:pPr>
      <w:r>
        <w:t>Todos los locales utilizados por los trabajadores deberán tener suficiente y adecuada ventilación natural o artificial, o ambas a la vez, que provean a dichos locales de aire puro o purificado.</w:t>
      </w:r>
    </w:p>
    <w:p w14:paraId="5956F967" w14:textId="77777777" w:rsidR="007F37F5" w:rsidRDefault="007F37F5">
      <w:pPr>
        <w:pStyle w:val="Estilo"/>
      </w:pPr>
    </w:p>
    <w:p w14:paraId="78AAD4A8" w14:textId="77777777" w:rsidR="007F37F5" w:rsidRDefault="00000000">
      <w:pPr>
        <w:pStyle w:val="Estilo"/>
      </w:pPr>
      <w:r>
        <w:t>Artículo 9</w:t>
      </w:r>
    </w:p>
    <w:p w14:paraId="4CAD34FB" w14:textId="77777777" w:rsidR="007F37F5" w:rsidRDefault="007F37F5">
      <w:pPr>
        <w:pStyle w:val="Estilo"/>
      </w:pPr>
    </w:p>
    <w:p w14:paraId="2BD65614" w14:textId="77777777" w:rsidR="007F37F5" w:rsidRDefault="00000000">
      <w:pPr>
        <w:pStyle w:val="Estilo"/>
      </w:pPr>
      <w:r>
        <w:t>Todos los locales utilizados por los trabajadores deberán estar iluminados de manera suficiente y apropiada. Los lugares de trabajo tendrán, dentro de lo posible, luz natural.</w:t>
      </w:r>
    </w:p>
    <w:p w14:paraId="58B10F63" w14:textId="77777777" w:rsidR="007F37F5" w:rsidRDefault="007F37F5">
      <w:pPr>
        <w:pStyle w:val="Estilo"/>
      </w:pPr>
    </w:p>
    <w:p w14:paraId="1BA825CE" w14:textId="77777777" w:rsidR="007F37F5" w:rsidRDefault="00000000">
      <w:pPr>
        <w:pStyle w:val="Estilo"/>
      </w:pPr>
      <w:r>
        <w:t>Artículo 10</w:t>
      </w:r>
    </w:p>
    <w:p w14:paraId="1CBF0556" w14:textId="77777777" w:rsidR="007F37F5" w:rsidRDefault="007F37F5">
      <w:pPr>
        <w:pStyle w:val="Estilo"/>
      </w:pPr>
    </w:p>
    <w:p w14:paraId="673C823E" w14:textId="77777777" w:rsidR="007F37F5" w:rsidRDefault="00000000">
      <w:pPr>
        <w:pStyle w:val="Estilo"/>
      </w:pPr>
      <w:r>
        <w:t>En todos los locales utilizados por los trabajadores se deberá mantener la temperatura más agradable y estable que permitan las circunstancias.</w:t>
      </w:r>
    </w:p>
    <w:p w14:paraId="175D61BD" w14:textId="77777777" w:rsidR="007F37F5" w:rsidRDefault="007F37F5">
      <w:pPr>
        <w:pStyle w:val="Estilo"/>
      </w:pPr>
    </w:p>
    <w:p w14:paraId="747B41A2" w14:textId="77777777" w:rsidR="007F37F5" w:rsidRDefault="00000000">
      <w:pPr>
        <w:pStyle w:val="Estilo"/>
      </w:pPr>
      <w:r>
        <w:t>Artículo 11</w:t>
      </w:r>
    </w:p>
    <w:p w14:paraId="3791E9F9" w14:textId="77777777" w:rsidR="007F37F5" w:rsidRDefault="007F37F5">
      <w:pPr>
        <w:pStyle w:val="Estilo"/>
      </w:pPr>
    </w:p>
    <w:p w14:paraId="73C9D4B0" w14:textId="77777777" w:rsidR="007F37F5" w:rsidRDefault="00000000">
      <w:pPr>
        <w:pStyle w:val="Estilo"/>
      </w:pPr>
      <w:r>
        <w:t>Todos los locales de trabajo, así como los puestos de trabajo, estarán instalados de manera que no se produzca un efecto nocivo para la salud de los trabajadores.</w:t>
      </w:r>
    </w:p>
    <w:p w14:paraId="20F15EF9" w14:textId="77777777" w:rsidR="007F37F5" w:rsidRDefault="007F37F5">
      <w:pPr>
        <w:pStyle w:val="Estilo"/>
      </w:pPr>
    </w:p>
    <w:p w14:paraId="66D533D2" w14:textId="77777777" w:rsidR="007F37F5" w:rsidRDefault="00000000">
      <w:pPr>
        <w:pStyle w:val="Estilo"/>
      </w:pPr>
      <w:r>
        <w:t>Artículo 12</w:t>
      </w:r>
    </w:p>
    <w:p w14:paraId="1C31F66D" w14:textId="77777777" w:rsidR="007F37F5" w:rsidRDefault="007F37F5">
      <w:pPr>
        <w:pStyle w:val="Estilo"/>
      </w:pPr>
    </w:p>
    <w:p w14:paraId="43C78618" w14:textId="77777777" w:rsidR="007F37F5" w:rsidRDefault="00000000">
      <w:pPr>
        <w:pStyle w:val="Estilo"/>
      </w:pPr>
      <w:r>
        <w:t>Se deberá poner a disposición de los trabajadores, en cantidad suficiente, agua potable o cualquier otra bebida sana.</w:t>
      </w:r>
    </w:p>
    <w:p w14:paraId="58702008" w14:textId="77777777" w:rsidR="007F37F5" w:rsidRDefault="007F37F5">
      <w:pPr>
        <w:pStyle w:val="Estilo"/>
      </w:pPr>
    </w:p>
    <w:p w14:paraId="6089C086" w14:textId="77777777" w:rsidR="007F37F5" w:rsidRDefault="00000000">
      <w:pPr>
        <w:pStyle w:val="Estilo"/>
      </w:pPr>
      <w:r>
        <w:t>Artículo 13</w:t>
      </w:r>
    </w:p>
    <w:p w14:paraId="1FABCAEB" w14:textId="77777777" w:rsidR="007F37F5" w:rsidRDefault="007F37F5">
      <w:pPr>
        <w:pStyle w:val="Estilo"/>
      </w:pPr>
    </w:p>
    <w:p w14:paraId="1C9464FA" w14:textId="77777777" w:rsidR="007F37F5" w:rsidRDefault="00000000">
      <w:pPr>
        <w:pStyle w:val="Estilo"/>
      </w:pPr>
      <w:r>
        <w:t>Deberán existir instalaciones para lavarse e instalaciones sanitarias, apropiadas y en número suficiente, que serán mantenidas en condiciones satisfactorias.</w:t>
      </w:r>
    </w:p>
    <w:p w14:paraId="03F288DD" w14:textId="77777777" w:rsidR="007F37F5" w:rsidRDefault="007F37F5">
      <w:pPr>
        <w:pStyle w:val="Estilo"/>
      </w:pPr>
    </w:p>
    <w:p w14:paraId="0A79490D" w14:textId="77777777" w:rsidR="007F37F5" w:rsidRDefault="00000000">
      <w:pPr>
        <w:pStyle w:val="Estilo"/>
      </w:pPr>
      <w:r>
        <w:t>Artículo 14</w:t>
      </w:r>
    </w:p>
    <w:p w14:paraId="69F42521" w14:textId="77777777" w:rsidR="007F37F5" w:rsidRDefault="007F37F5">
      <w:pPr>
        <w:pStyle w:val="Estilo"/>
      </w:pPr>
    </w:p>
    <w:p w14:paraId="56413FAC" w14:textId="77777777" w:rsidR="007F37F5" w:rsidRDefault="00000000">
      <w:pPr>
        <w:pStyle w:val="Estilo"/>
      </w:pPr>
      <w:r>
        <w:t>Se deberán poner asientos adecuados y en número suficiente a disposición de los trabajadores, y éstos deberán tener la posibilidad de utilizarlos en una medida razonable.</w:t>
      </w:r>
    </w:p>
    <w:p w14:paraId="20349DC6" w14:textId="77777777" w:rsidR="007F37F5" w:rsidRDefault="007F37F5">
      <w:pPr>
        <w:pStyle w:val="Estilo"/>
      </w:pPr>
    </w:p>
    <w:p w14:paraId="1D958B2D" w14:textId="77777777" w:rsidR="007F37F5" w:rsidRDefault="00000000">
      <w:pPr>
        <w:pStyle w:val="Estilo"/>
      </w:pPr>
      <w:r>
        <w:t>Artículo 15</w:t>
      </w:r>
    </w:p>
    <w:p w14:paraId="0D08F373" w14:textId="77777777" w:rsidR="007F37F5" w:rsidRDefault="007F37F5">
      <w:pPr>
        <w:pStyle w:val="Estilo"/>
      </w:pPr>
    </w:p>
    <w:p w14:paraId="2B703BCD" w14:textId="77777777" w:rsidR="007F37F5" w:rsidRDefault="00000000">
      <w:pPr>
        <w:pStyle w:val="Estilo"/>
      </w:pPr>
      <w:r>
        <w:t>Para que los trabajadores puedan cambiarse de ropa, dejar las prendas que no vistan durante el trabajo y ponerlas a secar, deberán proporcionarse instalaciones adecuadas y mantenerlas en condiciones satisfactorias.</w:t>
      </w:r>
    </w:p>
    <w:p w14:paraId="0BB2E3B8" w14:textId="77777777" w:rsidR="007F37F5" w:rsidRDefault="007F37F5">
      <w:pPr>
        <w:pStyle w:val="Estilo"/>
      </w:pPr>
    </w:p>
    <w:p w14:paraId="68D6BED1" w14:textId="77777777" w:rsidR="007F37F5" w:rsidRDefault="00000000">
      <w:pPr>
        <w:pStyle w:val="Estilo"/>
      </w:pPr>
      <w:r>
        <w:t>Artículo 16</w:t>
      </w:r>
    </w:p>
    <w:p w14:paraId="116341E1" w14:textId="77777777" w:rsidR="007F37F5" w:rsidRDefault="007F37F5">
      <w:pPr>
        <w:pStyle w:val="Estilo"/>
      </w:pPr>
    </w:p>
    <w:p w14:paraId="27E30212" w14:textId="77777777" w:rsidR="007F37F5" w:rsidRDefault="00000000">
      <w:pPr>
        <w:pStyle w:val="Estilo"/>
      </w:pPr>
      <w:r>
        <w:t>Los locales subterráneos y los locales sin ventanas en los que se efectúe regularmente un trabajo deberán ajustarse a normas de higiene adecuadas.</w:t>
      </w:r>
    </w:p>
    <w:p w14:paraId="4AD34242" w14:textId="77777777" w:rsidR="007F37F5" w:rsidRDefault="007F37F5">
      <w:pPr>
        <w:pStyle w:val="Estilo"/>
      </w:pPr>
    </w:p>
    <w:p w14:paraId="25A1B006" w14:textId="77777777" w:rsidR="007F37F5" w:rsidRDefault="00000000">
      <w:pPr>
        <w:pStyle w:val="Estilo"/>
      </w:pPr>
      <w:r>
        <w:t>Artículo 17</w:t>
      </w:r>
    </w:p>
    <w:p w14:paraId="46EAAC0C" w14:textId="77777777" w:rsidR="007F37F5" w:rsidRDefault="007F37F5">
      <w:pPr>
        <w:pStyle w:val="Estilo"/>
      </w:pPr>
    </w:p>
    <w:p w14:paraId="33D72858" w14:textId="77777777" w:rsidR="007F37F5" w:rsidRDefault="00000000">
      <w:pPr>
        <w:pStyle w:val="Estilo"/>
      </w:pPr>
      <w:r>
        <w:t>Los trabajadores deberán estar protegidos, por medidas adecuadas y de posible aplicación, contra las sustancias o los procedimientos incómodos, insalubres o tóxicos, o nocivos por cualquier razón que sea. La autoridad competente prescribirá, cuando la naturaleza del trabajo lo exija, la utilización de equipos de protección personal.</w:t>
      </w:r>
    </w:p>
    <w:p w14:paraId="60338598" w14:textId="77777777" w:rsidR="007F37F5" w:rsidRDefault="007F37F5">
      <w:pPr>
        <w:pStyle w:val="Estilo"/>
      </w:pPr>
    </w:p>
    <w:p w14:paraId="3398F8F4" w14:textId="77777777" w:rsidR="007F37F5" w:rsidRDefault="00000000">
      <w:pPr>
        <w:pStyle w:val="Estilo"/>
      </w:pPr>
      <w:r>
        <w:t>Artículo 18</w:t>
      </w:r>
    </w:p>
    <w:p w14:paraId="0E936F3A" w14:textId="77777777" w:rsidR="007F37F5" w:rsidRDefault="007F37F5">
      <w:pPr>
        <w:pStyle w:val="Estilo"/>
      </w:pPr>
    </w:p>
    <w:p w14:paraId="491EBB98" w14:textId="77777777" w:rsidR="007F37F5" w:rsidRDefault="00000000">
      <w:pPr>
        <w:pStyle w:val="Estilo"/>
      </w:pPr>
      <w:r>
        <w:t>Deberán ser reducidos con medidas apropiadas y practicables y en todo lo que sea posible los ruidos y las vibraciones que puedan producir efectos nocivos en los trabajadores.</w:t>
      </w:r>
    </w:p>
    <w:p w14:paraId="3B0F808C" w14:textId="77777777" w:rsidR="007F37F5" w:rsidRDefault="007F37F5">
      <w:pPr>
        <w:pStyle w:val="Estilo"/>
      </w:pPr>
    </w:p>
    <w:p w14:paraId="5CC35BE4" w14:textId="77777777" w:rsidR="007F37F5" w:rsidRDefault="00000000">
      <w:pPr>
        <w:pStyle w:val="Estilo"/>
      </w:pPr>
      <w:r>
        <w:t>Artículo 19</w:t>
      </w:r>
    </w:p>
    <w:p w14:paraId="4DA91C49" w14:textId="77777777" w:rsidR="007F37F5" w:rsidRDefault="007F37F5">
      <w:pPr>
        <w:pStyle w:val="Estilo"/>
      </w:pPr>
    </w:p>
    <w:p w14:paraId="6BAEE9EB" w14:textId="77777777" w:rsidR="007F37F5" w:rsidRDefault="00000000">
      <w:pPr>
        <w:pStyle w:val="Estilo"/>
      </w:pPr>
      <w:r>
        <w:t>Todo establecimiento, institución, servicio administrativo, o secciones de ellos a que se aplique el presente Convenio deberá poseer, según su importancia y según los riesgos previsibles, lo siguiente:</w:t>
      </w:r>
    </w:p>
    <w:p w14:paraId="3050CE90" w14:textId="77777777" w:rsidR="007F37F5" w:rsidRDefault="007F37F5">
      <w:pPr>
        <w:pStyle w:val="Estilo"/>
      </w:pPr>
    </w:p>
    <w:p w14:paraId="27113D43" w14:textId="77777777" w:rsidR="007F37F5" w:rsidRDefault="00000000">
      <w:pPr>
        <w:pStyle w:val="Estilo"/>
      </w:pPr>
      <w:r>
        <w:lastRenderedPageBreak/>
        <w:t>a) una enfermería o un puesto de primeros auxilios propio;</w:t>
      </w:r>
    </w:p>
    <w:p w14:paraId="5B67E9BD" w14:textId="77777777" w:rsidR="007F37F5" w:rsidRDefault="007F37F5">
      <w:pPr>
        <w:pStyle w:val="Estilo"/>
      </w:pPr>
    </w:p>
    <w:p w14:paraId="3C7ECC8E" w14:textId="77777777" w:rsidR="007F37F5" w:rsidRDefault="00000000">
      <w:pPr>
        <w:pStyle w:val="Estilo"/>
      </w:pPr>
      <w:r>
        <w:t>b) una enfermería o un puesto de primeros auxilios común con otros establecimientos, instituciones, servicios administrativos, o sus secciones; o</w:t>
      </w:r>
    </w:p>
    <w:p w14:paraId="677A35B5" w14:textId="77777777" w:rsidR="007F37F5" w:rsidRDefault="007F37F5">
      <w:pPr>
        <w:pStyle w:val="Estilo"/>
      </w:pPr>
    </w:p>
    <w:p w14:paraId="566B3D97" w14:textId="77777777" w:rsidR="007F37F5" w:rsidRDefault="00000000">
      <w:pPr>
        <w:pStyle w:val="Estilo"/>
      </w:pPr>
      <w:r>
        <w:t>c) uno o varios botiquines, cajas o estuches de primeros auxilios.</w:t>
      </w:r>
    </w:p>
    <w:p w14:paraId="6B26A5B7" w14:textId="77777777" w:rsidR="007F37F5" w:rsidRDefault="007F37F5">
      <w:pPr>
        <w:pStyle w:val="Estilo"/>
      </w:pPr>
    </w:p>
    <w:p w14:paraId="44B051D8" w14:textId="77777777" w:rsidR="007F37F5" w:rsidRDefault="007F37F5">
      <w:pPr>
        <w:pStyle w:val="Estilo"/>
      </w:pPr>
    </w:p>
    <w:p w14:paraId="3B40A8C1" w14:textId="77777777" w:rsidR="007F37F5" w:rsidRDefault="00000000">
      <w:pPr>
        <w:pStyle w:val="Estilo"/>
      </w:pPr>
      <w:r>
        <w:t>PARTE III. DISPOSICIONES FINALES</w:t>
      </w:r>
    </w:p>
    <w:p w14:paraId="3A96D36C" w14:textId="77777777" w:rsidR="007F37F5" w:rsidRDefault="007F37F5">
      <w:pPr>
        <w:pStyle w:val="Estilo"/>
      </w:pPr>
    </w:p>
    <w:p w14:paraId="4739B1DF" w14:textId="77777777" w:rsidR="007F37F5" w:rsidRDefault="00000000">
      <w:pPr>
        <w:pStyle w:val="Estilo"/>
      </w:pPr>
      <w:r>
        <w:t>Artículo 20</w:t>
      </w:r>
    </w:p>
    <w:p w14:paraId="0B699779" w14:textId="77777777" w:rsidR="007F37F5" w:rsidRDefault="007F37F5">
      <w:pPr>
        <w:pStyle w:val="Estilo"/>
      </w:pPr>
    </w:p>
    <w:p w14:paraId="6CE4C02A" w14:textId="77777777" w:rsidR="007F37F5" w:rsidRDefault="00000000">
      <w:pPr>
        <w:pStyle w:val="Estilo"/>
      </w:pPr>
      <w:r>
        <w:t>Las ratificaciones formales del presente Convenio serán comunicadas, para su registro, al Director General de la Oficina Internacional del Trabajo.</w:t>
      </w:r>
    </w:p>
    <w:p w14:paraId="1EAD08D7" w14:textId="77777777" w:rsidR="007F37F5" w:rsidRDefault="007F37F5">
      <w:pPr>
        <w:pStyle w:val="Estilo"/>
      </w:pPr>
    </w:p>
    <w:p w14:paraId="6F38E410" w14:textId="77777777" w:rsidR="007F37F5" w:rsidRDefault="00000000">
      <w:pPr>
        <w:pStyle w:val="Estilo"/>
      </w:pPr>
      <w:r>
        <w:t>Artículo 21</w:t>
      </w:r>
    </w:p>
    <w:p w14:paraId="74923059" w14:textId="77777777" w:rsidR="007F37F5" w:rsidRDefault="007F37F5">
      <w:pPr>
        <w:pStyle w:val="Estilo"/>
      </w:pPr>
    </w:p>
    <w:p w14:paraId="2755ADF6" w14:textId="77777777" w:rsidR="007F37F5" w:rsidRDefault="00000000">
      <w:pPr>
        <w:pStyle w:val="Estilo"/>
      </w:pPr>
      <w:r>
        <w:t>1. Este Convenio obligará únicamente a aquellos Miembros de la Organización Internacional del Trabajo cuyas ratificaciones haya registrado el Director General.</w:t>
      </w:r>
    </w:p>
    <w:p w14:paraId="1CFF71F0" w14:textId="77777777" w:rsidR="007F37F5" w:rsidRDefault="007F37F5">
      <w:pPr>
        <w:pStyle w:val="Estilo"/>
      </w:pPr>
    </w:p>
    <w:p w14:paraId="0EC2C72D" w14:textId="77777777" w:rsidR="007F37F5" w:rsidRDefault="00000000">
      <w:pPr>
        <w:pStyle w:val="Estilo"/>
      </w:pPr>
      <w:r>
        <w:t>2. Entrará en vigor doce meses después de la fecha en que las ratificaciones de dos Miembros hayan sido registradas por el Director General.</w:t>
      </w:r>
    </w:p>
    <w:p w14:paraId="615FCBA8" w14:textId="77777777" w:rsidR="007F37F5" w:rsidRDefault="007F37F5">
      <w:pPr>
        <w:pStyle w:val="Estilo"/>
      </w:pPr>
    </w:p>
    <w:p w14:paraId="3314E2B8" w14:textId="77777777" w:rsidR="007F37F5" w:rsidRDefault="00000000">
      <w:pPr>
        <w:pStyle w:val="Estilo"/>
      </w:pPr>
      <w:r>
        <w:t>3. Desde dicho momento, este Convenio entrará en vigor, para cada Miembro, doce meses después de la fecha en que haya sido registrada su ratificación.</w:t>
      </w:r>
    </w:p>
    <w:p w14:paraId="434A7BE5" w14:textId="77777777" w:rsidR="007F37F5" w:rsidRDefault="007F37F5">
      <w:pPr>
        <w:pStyle w:val="Estilo"/>
      </w:pPr>
    </w:p>
    <w:p w14:paraId="1B7FCBDF" w14:textId="77777777" w:rsidR="007F37F5" w:rsidRDefault="00000000">
      <w:pPr>
        <w:pStyle w:val="Estilo"/>
      </w:pPr>
      <w:r>
        <w:t>Artículo 22</w:t>
      </w:r>
    </w:p>
    <w:p w14:paraId="10BCEF06" w14:textId="77777777" w:rsidR="007F37F5" w:rsidRDefault="007F37F5">
      <w:pPr>
        <w:pStyle w:val="Estilo"/>
      </w:pPr>
    </w:p>
    <w:p w14:paraId="3B2A77D2" w14:textId="77777777" w:rsidR="007F37F5" w:rsidRDefault="00000000">
      <w:pPr>
        <w:pStyle w:val="Estilo"/>
      </w:pPr>
      <w:r>
        <w:t>1. Todo Miembro que haya ratificado este Convenio podrá denunciarlo a la expiración de un período de diez años, a partir de la fecha en que se haya puesto inicialmente en vigor, mediante un acta comunicada, para su registro, al Director General de la Oficina Internacional del Trabajo. La denuncia no surtirá efecto hasta un año después de la fecha en que se haya registrado.</w:t>
      </w:r>
    </w:p>
    <w:p w14:paraId="6743876E" w14:textId="77777777" w:rsidR="007F37F5" w:rsidRDefault="007F37F5">
      <w:pPr>
        <w:pStyle w:val="Estilo"/>
      </w:pPr>
    </w:p>
    <w:p w14:paraId="24AF867E" w14:textId="77777777" w:rsidR="007F37F5" w:rsidRDefault="00000000">
      <w:pPr>
        <w:pStyle w:val="Estilo"/>
      </w:pPr>
      <w: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14:paraId="7CC74917" w14:textId="77777777" w:rsidR="007F37F5" w:rsidRDefault="007F37F5">
      <w:pPr>
        <w:pStyle w:val="Estilo"/>
      </w:pPr>
    </w:p>
    <w:p w14:paraId="044BF5D7" w14:textId="77777777" w:rsidR="007F37F5" w:rsidRDefault="00000000">
      <w:pPr>
        <w:pStyle w:val="Estilo"/>
      </w:pPr>
      <w:r>
        <w:t>Artículo 23</w:t>
      </w:r>
    </w:p>
    <w:p w14:paraId="7122DD98" w14:textId="77777777" w:rsidR="007F37F5" w:rsidRDefault="007F37F5">
      <w:pPr>
        <w:pStyle w:val="Estilo"/>
      </w:pPr>
    </w:p>
    <w:p w14:paraId="619BFBAA" w14:textId="77777777" w:rsidR="007F37F5" w:rsidRDefault="00000000">
      <w:pPr>
        <w:pStyle w:val="Estilo"/>
      </w:pPr>
      <w:r>
        <w:t xml:space="preserve">1. El Director General de la Oficina Internacional del Trabajo notificará a todos los Miembros de la Organización Internacional del Trabajo el registro de cuantas </w:t>
      </w:r>
      <w:r>
        <w:lastRenderedPageBreak/>
        <w:t>ratificaciones, declaraciones y denuncias le comuniquen los Miembros de la Organización.</w:t>
      </w:r>
    </w:p>
    <w:p w14:paraId="381294E1" w14:textId="77777777" w:rsidR="007F37F5" w:rsidRDefault="007F37F5">
      <w:pPr>
        <w:pStyle w:val="Estilo"/>
      </w:pPr>
    </w:p>
    <w:p w14:paraId="3BE659B3" w14:textId="77777777" w:rsidR="007F37F5" w:rsidRDefault="00000000">
      <w:pPr>
        <w:pStyle w:val="Estilo"/>
      </w:pPr>
      <w:r>
        <w:t>2. Al notificar a los Miembros de la Organización el registro de la segunda ratificación que le haya sido comunicada, el Director General llamará la atención de los Miembros de la Organización sobre la fecha en que entrará en vigor el presente Convenio.</w:t>
      </w:r>
    </w:p>
    <w:p w14:paraId="0F0BF954" w14:textId="77777777" w:rsidR="007F37F5" w:rsidRDefault="007F37F5">
      <w:pPr>
        <w:pStyle w:val="Estilo"/>
      </w:pPr>
    </w:p>
    <w:p w14:paraId="5968C210" w14:textId="77777777" w:rsidR="007F37F5" w:rsidRDefault="00000000">
      <w:pPr>
        <w:pStyle w:val="Estilo"/>
      </w:pPr>
      <w:r>
        <w:t>Artículo 24</w:t>
      </w:r>
    </w:p>
    <w:p w14:paraId="22E9C2A5" w14:textId="77777777" w:rsidR="007F37F5" w:rsidRDefault="007F37F5">
      <w:pPr>
        <w:pStyle w:val="Estilo"/>
      </w:pPr>
    </w:p>
    <w:p w14:paraId="7CDCFDD1" w14:textId="77777777" w:rsidR="007F37F5" w:rsidRDefault="00000000">
      <w:pPr>
        <w:pStyle w:val="Estilo"/>
      </w:pPr>
      <w:r>
        <w:t>El Director General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45023EE0" w14:textId="77777777" w:rsidR="007F37F5" w:rsidRDefault="007F37F5">
      <w:pPr>
        <w:pStyle w:val="Estilo"/>
      </w:pPr>
    </w:p>
    <w:p w14:paraId="0232EC46" w14:textId="77777777" w:rsidR="007F37F5" w:rsidRDefault="00000000">
      <w:pPr>
        <w:pStyle w:val="Estilo"/>
      </w:pPr>
      <w:r>
        <w:t>Artículo 25</w:t>
      </w:r>
    </w:p>
    <w:p w14:paraId="769EE52F" w14:textId="77777777" w:rsidR="007F37F5" w:rsidRDefault="007F37F5">
      <w:pPr>
        <w:pStyle w:val="Estilo"/>
      </w:pPr>
    </w:p>
    <w:p w14:paraId="48CB3F47" w14:textId="77777777" w:rsidR="007F37F5" w:rsidRDefault="00000000">
      <w:pPr>
        <w:pStyle w:val="Estilo"/>
      </w:pPr>
      <w: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3847534C" w14:textId="77777777" w:rsidR="007F37F5" w:rsidRDefault="007F37F5">
      <w:pPr>
        <w:pStyle w:val="Estilo"/>
      </w:pPr>
    </w:p>
    <w:p w14:paraId="23534F8C" w14:textId="77777777" w:rsidR="007F37F5" w:rsidRDefault="00000000">
      <w:pPr>
        <w:pStyle w:val="Estilo"/>
      </w:pPr>
      <w:r>
        <w:t>Artículo 26</w:t>
      </w:r>
    </w:p>
    <w:p w14:paraId="4E1F6588" w14:textId="77777777" w:rsidR="007F37F5" w:rsidRDefault="007F37F5">
      <w:pPr>
        <w:pStyle w:val="Estilo"/>
      </w:pPr>
    </w:p>
    <w:p w14:paraId="2586EAAC" w14:textId="77777777" w:rsidR="007F37F5" w:rsidRDefault="00000000">
      <w:pPr>
        <w:pStyle w:val="Estilo"/>
      </w:pPr>
      <w:r>
        <w:t>1. En caso de que la Conferencia adopte un nuevo convenio que implique una revisión total o parcial del presente, y a menos que el nuevo convenio contenga disposiciones en contrario:</w:t>
      </w:r>
    </w:p>
    <w:p w14:paraId="43E5A146" w14:textId="77777777" w:rsidR="007F37F5" w:rsidRDefault="007F37F5">
      <w:pPr>
        <w:pStyle w:val="Estilo"/>
      </w:pPr>
    </w:p>
    <w:p w14:paraId="5B68DDA2" w14:textId="77777777" w:rsidR="007F37F5" w:rsidRDefault="00000000">
      <w:pPr>
        <w:pStyle w:val="Estilo"/>
      </w:pPr>
      <w:r>
        <w:t>a) la ratificación, por un Miembro, del nuevo convenio revisor implicará, ipso jure, la denuncia inmediata de este Convenio, no obstante las disposiciones contenidas en el artículo 22, siempre que el nuevo convenio revisor haya entrado en vigor;</w:t>
      </w:r>
    </w:p>
    <w:p w14:paraId="610B7C92" w14:textId="77777777" w:rsidR="007F37F5" w:rsidRDefault="007F37F5">
      <w:pPr>
        <w:pStyle w:val="Estilo"/>
      </w:pPr>
    </w:p>
    <w:p w14:paraId="10B6DC63" w14:textId="77777777" w:rsidR="007F37F5" w:rsidRDefault="00000000">
      <w:pPr>
        <w:pStyle w:val="Estilo"/>
      </w:pPr>
      <w:r>
        <w:t>b) a partir de la fecha en que entre en vigor el nuevo convenio revisor, el presente Convenio cesará de estar abierto a la ratificación por los Miembros.</w:t>
      </w:r>
    </w:p>
    <w:p w14:paraId="5231724B" w14:textId="77777777" w:rsidR="007F37F5" w:rsidRDefault="007F37F5">
      <w:pPr>
        <w:pStyle w:val="Estilo"/>
      </w:pPr>
    </w:p>
    <w:p w14:paraId="4DFA8727" w14:textId="77777777" w:rsidR="007F37F5" w:rsidRDefault="00000000">
      <w:pPr>
        <w:pStyle w:val="Estilo"/>
      </w:pPr>
      <w:r>
        <w:t>2. Este Convenio continuará en vigor en todo caso, en su forma y contenido actuales, para los Miembros que lo hayan ratificado y no ratifiquen el convenio revisor.</w:t>
      </w:r>
    </w:p>
    <w:p w14:paraId="1F1FD031" w14:textId="77777777" w:rsidR="007F37F5" w:rsidRDefault="007F37F5">
      <w:pPr>
        <w:pStyle w:val="Estilo"/>
      </w:pPr>
    </w:p>
    <w:p w14:paraId="2282A64B" w14:textId="77777777" w:rsidR="007F37F5" w:rsidRDefault="00000000">
      <w:pPr>
        <w:pStyle w:val="Estilo"/>
      </w:pPr>
      <w:r>
        <w:t>Artículo 27</w:t>
      </w:r>
    </w:p>
    <w:p w14:paraId="09325175" w14:textId="77777777" w:rsidR="007F37F5" w:rsidRDefault="007F37F5">
      <w:pPr>
        <w:pStyle w:val="Estilo"/>
      </w:pPr>
    </w:p>
    <w:p w14:paraId="6A6BB08C" w14:textId="77777777" w:rsidR="007F37F5" w:rsidRDefault="00000000">
      <w:pPr>
        <w:pStyle w:val="Estilo"/>
      </w:pPr>
      <w:r>
        <w:t>Las versiones inglesa y francesa del texto de este Convenio son igualmente auténticas.</w:t>
      </w:r>
    </w:p>
    <w:p w14:paraId="4060C9CB" w14:textId="77777777" w:rsidR="007F37F5" w:rsidRDefault="007F37F5">
      <w:pPr>
        <w:pStyle w:val="Estilo"/>
      </w:pPr>
    </w:p>
    <w:p w14:paraId="5C2A4FE7" w14:textId="77777777" w:rsidR="007F37F5" w:rsidRDefault="007F37F5">
      <w:pPr>
        <w:pStyle w:val="Estilo"/>
      </w:pPr>
    </w:p>
    <w:p w14:paraId="5E4844FB" w14:textId="77777777" w:rsidR="007F37F5" w:rsidRDefault="00000000">
      <w:pPr>
        <w:pStyle w:val="Estilo"/>
      </w:pPr>
      <w:r>
        <w:lastRenderedPageBreak/>
        <w:t>La presente es copia fiel y completa en español del Convenio Internacional del Trabajo Num. 120 relativo a la Higiene en el Comercio y en las Oficinas, adoptado en Ginebra, el ocho de julio de mil novecientos sesenta y cuatro.</w:t>
      </w:r>
    </w:p>
    <w:p w14:paraId="158B38E3" w14:textId="77777777" w:rsidR="007F37F5" w:rsidRDefault="007F37F5">
      <w:pPr>
        <w:pStyle w:val="Estilo"/>
      </w:pPr>
    </w:p>
    <w:p w14:paraId="19121EEE" w14:textId="77777777" w:rsidR="007F37F5" w:rsidRDefault="00000000">
      <w:pPr>
        <w:pStyle w:val="Estilo"/>
      </w:pPr>
      <w:r>
        <w:t>Extiendo la presente, en siete páginas útiles, en la Ciudad de México, Distrito Federal, el tres de noviembre de dos mil nueve, a fin de proporcionarla a la Dirección General del Centro de Documentación y Análisis, Archivos y Compilación de Leyes de la Suprema Corte de Justicia de la Nación de los Estados Unidos Mexicanos.</w:t>
      </w:r>
    </w:p>
    <w:p w14:paraId="6739485B" w14:textId="77777777" w:rsidR="007F37F5" w:rsidRDefault="007F37F5">
      <w:pPr>
        <w:pStyle w:val="Estilo"/>
      </w:pPr>
    </w:p>
    <w:sectPr w:rsidR="007F37F5" w:rsidSect="009425A2">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0A37D" w14:textId="77777777" w:rsidR="00B326F5" w:rsidRDefault="00B326F5" w:rsidP="006E4391">
      <w:pPr>
        <w:spacing w:after="0" w:line="240" w:lineRule="auto"/>
      </w:pPr>
      <w:r>
        <w:separator/>
      </w:r>
    </w:p>
  </w:endnote>
  <w:endnote w:type="continuationSeparator" w:id="0">
    <w:p w14:paraId="603F2CC1" w14:textId="77777777" w:rsidR="00B326F5" w:rsidRDefault="00B326F5" w:rsidP="006E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A5C2" w14:textId="77777777" w:rsidR="009B0A07" w:rsidRDefault="009B0A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19B3C8EF" w14:textId="77777777" w:rsidTr="00D61ABC">
      <w:tc>
        <w:tcPr>
          <w:tcW w:w="2500" w:type="pct"/>
        </w:tcPr>
        <w:p w14:paraId="357855E5" w14:textId="7495DB7F" w:rsidR="00A9075C" w:rsidRDefault="003E086C" w:rsidP="00275FEE">
          <w:pPr>
            <w:pStyle w:val="Piedepgina"/>
          </w:pPr>
          <w:r>
            <w:fldChar w:fldCharType="begin"/>
          </w:r>
          <w:r w:rsidR="00A9075C">
            <w:instrText xml:space="preserve"> DATE  \@ "dd/MM/yyyy hh:mm am/pm"  \* MERGEFORMAT </w:instrText>
          </w:r>
          <w:r>
            <w:fldChar w:fldCharType="separate"/>
          </w:r>
          <w:r w:rsidR="003A2259">
            <w:rPr>
              <w:noProof/>
            </w:rPr>
            <w:t>19/05/2023 03:44 p. m.</w:t>
          </w:r>
          <w:r>
            <w:fldChar w:fldCharType="end"/>
          </w:r>
        </w:p>
      </w:tc>
      <w:tc>
        <w:tcPr>
          <w:tcW w:w="2500" w:type="pct"/>
        </w:tcPr>
        <w:sdt>
          <w:sdtPr>
            <w:id w:val="8289949"/>
            <w:docPartObj>
              <w:docPartGallery w:val="Page Numbers (Bottom of Page)"/>
              <w:docPartUnique/>
            </w:docPartObj>
          </w:sdtPr>
          <w:sdtContent>
            <w:p w14:paraId="64840296" w14:textId="77777777" w:rsidR="00A9075C" w:rsidRDefault="003E086C" w:rsidP="00275FEE">
              <w:pPr>
                <w:pStyle w:val="Piedepgina"/>
                <w:jc w:val="right"/>
              </w:pPr>
              <w:r>
                <w:fldChar w:fldCharType="begin"/>
              </w:r>
              <w:r w:rsidR="00A9075C">
                <w:instrText xml:space="preserve"> PAGE   \* MERGEFORMAT </w:instrText>
              </w:r>
              <w:r>
                <w:fldChar w:fldCharType="separate"/>
              </w:r>
              <w:r w:rsidR="00AB15A2">
                <w:rPr>
                  <w:noProof/>
                </w:rPr>
                <w:t>2</w:t>
              </w:r>
              <w:r>
                <w:fldChar w:fldCharType="end"/>
              </w:r>
            </w:p>
          </w:sdtContent>
        </w:sdt>
        <w:p w14:paraId="376430E0" w14:textId="77777777" w:rsidR="00A9075C" w:rsidRDefault="00A9075C" w:rsidP="00275FEE">
          <w:pPr>
            <w:pStyle w:val="Piedepgina"/>
          </w:pPr>
        </w:p>
      </w:tc>
    </w:tr>
  </w:tbl>
  <w:p w14:paraId="21303E36" w14:textId="77777777" w:rsidR="00184756" w:rsidRPr="00A9075C" w:rsidRDefault="00184756" w:rsidP="00A907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02FE538D" w14:textId="77777777" w:rsidTr="00D61ABC">
      <w:tc>
        <w:tcPr>
          <w:tcW w:w="2500" w:type="pct"/>
        </w:tcPr>
        <w:p w14:paraId="32C485D4" w14:textId="6EE6AF1E" w:rsidR="00A9075C" w:rsidRDefault="00D11F99">
          <w:pPr>
            <w:pStyle w:val="Piedepgina"/>
          </w:pPr>
          <w:r>
            <w:fldChar w:fldCharType="begin"/>
          </w:r>
          <w:r>
            <w:instrText xml:space="preserve"> DATE  \@ "dd/MM/yyyy hh:mm am/pm"  \* MERGEFORMAT </w:instrText>
          </w:r>
          <w:r>
            <w:fldChar w:fldCharType="separate"/>
          </w:r>
          <w:r w:rsidR="003A2259">
            <w:rPr>
              <w:noProof/>
            </w:rPr>
            <w:t>19/05/2023 03:44 p. m.</w:t>
          </w:r>
          <w:r>
            <w:rPr>
              <w:noProof/>
            </w:rPr>
            <w:fldChar w:fldCharType="end"/>
          </w:r>
        </w:p>
      </w:tc>
      <w:tc>
        <w:tcPr>
          <w:tcW w:w="2500" w:type="pct"/>
        </w:tcPr>
        <w:sdt>
          <w:sdtPr>
            <w:id w:val="8289945"/>
            <w:docPartObj>
              <w:docPartGallery w:val="Page Numbers (Bottom of Page)"/>
              <w:docPartUnique/>
            </w:docPartObj>
          </w:sdtPr>
          <w:sdtContent>
            <w:p w14:paraId="384EDACD" w14:textId="77777777" w:rsidR="00A9075C" w:rsidRDefault="00D11F99" w:rsidP="00A9075C">
              <w:pPr>
                <w:pStyle w:val="Piedepgina"/>
                <w:jc w:val="right"/>
              </w:pPr>
              <w:r>
                <w:fldChar w:fldCharType="begin"/>
              </w:r>
              <w:r>
                <w:instrText xml:space="preserve"> PAGE   \* MERGEFORMAT </w:instrText>
              </w:r>
              <w:r>
                <w:fldChar w:fldCharType="separate"/>
              </w:r>
              <w:r w:rsidR="009B0A07">
                <w:rPr>
                  <w:noProof/>
                </w:rPr>
                <w:t>1</w:t>
              </w:r>
              <w:r>
                <w:rPr>
                  <w:noProof/>
                </w:rPr>
                <w:fldChar w:fldCharType="end"/>
              </w:r>
            </w:p>
          </w:sdtContent>
        </w:sdt>
        <w:p w14:paraId="442CBA92" w14:textId="77777777" w:rsidR="00A9075C" w:rsidRDefault="00A9075C">
          <w:pPr>
            <w:pStyle w:val="Piedepgina"/>
          </w:pPr>
        </w:p>
      </w:tc>
    </w:tr>
  </w:tbl>
  <w:p w14:paraId="71D7F9E6" w14:textId="77777777" w:rsidR="00FB4FE4" w:rsidRDefault="00FB4F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FD8A9" w14:textId="77777777" w:rsidR="00B326F5" w:rsidRDefault="00B326F5" w:rsidP="006E4391">
      <w:pPr>
        <w:spacing w:after="0" w:line="240" w:lineRule="auto"/>
      </w:pPr>
      <w:r>
        <w:separator/>
      </w:r>
    </w:p>
  </w:footnote>
  <w:footnote w:type="continuationSeparator" w:id="0">
    <w:p w14:paraId="3851E08B" w14:textId="77777777" w:rsidR="00B326F5" w:rsidRDefault="00B326F5" w:rsidP="006E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8EA88" w14:textId="77777777" w:rsidR="009B0A07" w:rsidRDefault="009B0A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146D" w14:textId="77777777" w:rsidR="009B0A07" w:rsidRDefault="009B0A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0A32" w14:textId="77777777" w:rsidR="009B0A07" w:rsidRDefault="009B0A0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391"/>
    <w:rsid w:val="00007BDB"/>
    <w:rsid w:val="00014A98"/>
    <w:rsid w:val="00067A43"/>
    <w:rsid w:val="00073C0F"/>
    <w:rsid w:val="00075A0F"/>
    <w:rsid w:val="000778AA"/>
    <w:rsid w:val="0008216F"/>
    <w:rsid w:val="00090162"/>
    <w:rsid w:val="00095300"/>
    <w:rsid w:val="00095832"/>
    <w:rsid w:val="00095C64"/>
    <w:rsid w:val="000C0CE1"/>
    <w:rsid w:val="000C24C7"/>
    <w:rsid w:val="000D76F9"/>
    <w:rsid w:val="000F3084"/>
    <w:rsid w:val="00102C4F"/>
    <w:rsid w:val="00105071"/>
    <w:rsid w:val="0012001E"/>
    <w:rsid w:val="00122650"/>
    <w:rsid w:val="00123439"/>
    <w:rsid w:val="00184756"/>
    <w:rsid w:val="00190106"/>
    <w:rsid w:val="00196F02"/>
    <w:rsid w:val="001B6672"/>
    <w:rsid w:val="001E5B25"/>
    <w:rsid w:val="00206D4E"/>
    <w:rsid w:val="0021348C"/>
    <w:rsid w:val="00213A73"/>
    <w:rsid w:val="0025184D"/>
    <w:rsid w:val="002617C4"/>
    <w:rsid w:val="00264C0E"/>
    <w:rsid w:val="00270B4E"/>
    <w:rsid w:val="00284072"/>
    <w:rsid w:val="00295117"/>
    <w:rsid w:val="002A2708"/>
    <w:rsid w:val="002C3F97"/>
    <w:rsid w:val="002E1977"/>
    <w:rsid w:val="002F1CE2"/>
    <w:rsid w:val="002F69AB"/>
    <w:rsid w:val="003075E8"/>
    <w:rsid w:val="00315EE7"/>
    <w:rsid w:val="003210E1"/>
    <w:rsid w:val="00380CF9"/>
    <w:rsid w:val="00386A35"/>
    <w:rsid w:val="003A2259"/>
    <w:rsid w:val="003A26CB"/>
    <w:rsid w:val="003B60DC"/>
    <w:rsid w:val="003B655C"/>
    <w:rsid w:val="003C4033"/>
    <w:rsid w:val="003C7F2A"/>
    <w:rsid w:val="003D18E4"/>
    <w:rsid w:val="003E086C"/>
    <w:rsid w:val="00415B95"/>
    <w:rsid w:val="00432648"/>
    <w:rsid w:val="00446085"/>
    <w:rsid w:val="004548F2"/>
    <w:rsid w:val="00480F7D"/>
    <w:rsid w:val="004A1D37"/>
    <w:rsid w:val="004A441D"/>
    <w:rsid w:val="004B2B6F"/>
    <w:rsid w:val="004D171B"/>
    <w:rsid w:val="005255DB"/>
    <w:rsid w:val="005752B2"/>
    <w:rsid w:val="00593863"/>
    <w:rsid w:val="005A31EC"/>
    <w:rsid w:val="005A43B7"/>
    <w:rsid w:val="005B7422"/>
    <w:rsid w:val="005C1967"/>
    <w:rsid w:val="005C223D"/>
    <w:rsid w:val="005F4960"/>
    <w:rsid w:val="005F4C76"/>
    <w:rsid w:val="006176ED"/>
    <w:rsid w:val="006220AA"/>
    <w:rsid w:val="00633F4B"/>
    <w:rsid w:val="00634EA5"/>
    <w:rsid w:val="006620EF"/>
    <w:rsid w:val="00681A92"/>
    <w:rsid w:val="00691FFE"/>
    <w:rsid w:val="006B3D67"/>
    <w:rsid w:val="006C40EA"/>
    <w:rsid w:val="006C43CF"/>
    <w:rsid w:val="006C5DC8"/>
    <w:rsid w:val="006D7DF6"/>
    <w:rsid w:val="006E4391"/>
    <w:rsid w:val="00701A42"/>
    <w:rsid w:val="00703D18"/>
    <w:rsid w:val="00713CA9"/>
    <w:rsid w:val="00753F2B"/>
    <w:rsid w:val="00784137"/>
    <w:rsid w:val="00784164"/>
    <w:rsid w:val="007B6454"/>
    <w:rsid w:val="007D13F7"/>
    <w:rsid w:val="007D5729"/>
    <w:rsid w:val="007F37F5"/>
    <w:rsid w:val="007F3ED1"/>
    <w:rsid w:val="007F6EBC"/>
    <w:rsid w:val="008025D7"/>
    <w:rsid w:val="008361F9"/>
    <w:rsid w:val="00841A93"/>
    <w:rsid w:val="008448E4"/>
    <w:rsid w:val="008756BB"/>
    <w:rsid w:val="008771CB"/>
    <w:rsid w:val="008910D8"/>
    <w:rsid w:val="008B0A87"/>
    <w:rsid w:val="008B619A"/>
    <w:rsid w:val="008C2DD6"/>
    <w:rsid w:val="008E2A27"/>
    <w:rsid w:val="009112F1"/>
    <w:rsid w:val="009277F2"/>
    <w:rsid w:val="009425A2"/>
    <w:rsid w:val="00951EA7"/>
    <w:rsid w:val="0097112B"/>
    <w:rsid w:val="0097420E"/>
    <w:rsid w:val="00975D67"/>
    <w:rsid w:val="00975F8E"/>
    <w:rsid w:val="00982811"/>
    <w:rsid w:val="00985AF9"/>
    <w:rsid w:val="00994B0B"/>
    <w:rsid w:val="00995A89"/>
    <w:rsid w:val="009B0A07"/>
    <w:rsid w:val="009B34FE"/>
    <w:rsid w:val="009B4366"/>
    <w:rsid w:val="009C226A"/>
    <w:rsid w:val="00A03457"/>
    <w:rsid w:val="00A076DD"/>
    <w:rsid w:val="00A177D7"/>
    <w:rsid w:val="00A51D8A"/>
    <w:rsid w:val="00A543C7"/>
    <w:rsid w:val="00A56AED"/>
    <w:rsid w:val="00A57DC5"/>
    <w:rsid w:val="00A86219"/>
    <w:rsid w:val="00A9075C"/>
    <w:rsid w:val="00A95350"/>
    <w:rsid w:val="00A97920"/>
    <w:rsid w:val="00AB15A2"/>
    <w:rsid w:val="00AB3106"/>
    <w:rsid w:val="00AC7F1F"/>
    <w:rsid w:val="00AD060A"/>
    <w:rsid w:val="00AF26DA"/>
    <w:rsid w:val="00B07D9E"/>
    <w:rsid w:val="00B1094E"/>
    <w:rsid w:val="00B15ECE"/>
    <w:rsid w:val="00B32580"/>
    <w:rsid w:val="00B326F5"/>
    <w:rsid w:val="00B47AFF"/>
    <w:rsid w:val="00B83EF9"/>
    <w:rsid w:val="00B859EC"/>
    <w:rsid w:val="00B87B32"/>
    <w:rsid w:val="00B92804"/>
    <w:rsid w:val="00B9369B"/>
    <w:rsid w:val="00B9795B"/>
    <w:rsid w:val="00BD003F"/>
    <w:rsid w:val="00C01479"/>
    <w:rsid w:val="00C03311"/>
    <w:rsid w:val="00C06B9B"/>
    <w:rsid w:val="00C1718D"/>
    <w:rsid w:val="00C25890"/>
    <w:rsid w:val="00C41730"/>
    <w:rsid w:val="00C531D0"/>
    <w:rsid w:val="00C56943"/>
    <w:rsid w:val="00C70D54"/>
    <w:rsid w:val="00C71A24"/>
    <w:rsid w:val="00C942C0"/>
    <w:rsid w:val="00CA6B89"/>
    <w:rsid w:val="00CC41D2"/>
    <w:rsid w:val="00CE2C76"/>
    <w:rsid w:val="00D01515"/>
    <w:rsid w:val="00D1179B"/>
    <w:rsid w:val="00D11F99"/>
    <w:rsid w:val="00D165DE"/>
    <w:rsid w:val="00D61ABC"/>
    <w:rsid w:val="00D73ECC"/>
    <w:rsid w:val="00D7668D"/>
    <w:rsid w:val="00D86079"/>
    <w:rsid w:val="00DA77EC"/>
    <w:rsid w:val="00DB75D2"/>
    <w:rsid w:val="00DC2AD6"/>
    <w:rsid w:val="00E015C8"/>
    <w:rsid w:val="00E03B0E"/>
    <w:rsid w:val="00E21C0F"/>
    <w:rsid w:val="00E372CD"/>
    <w:rsid w:val="00E51460"/>
    <w:rsid w:val="00E76F11"/>
    <w:rsid w:val="00EA517E"/>
    <w:rsid w:val="00EC189C"/>
    <w:rsid w:val="00EC5A03"/>
    <w:rsid w:val="00EF3985"/>
    <w:rsid w:val="00EF524F"/>
    <w:rsid w:val="00F01BDA"/>
    <w:rsid w:val="00F16ED3"/>
    <w:rsid w:val="00F3095E"/>
    <w:rsid w:val="00F34D2A"/>
    <w:rsid w:val="00F4532A"/>
    <w:rsid w:val="00F8666C"/>
    <w:rsid w:val="00F92603"/>
    <w:rsid w:val="00FA2A92"/>
    <w:rsid w:val="00FA7656"/>
    <w:rsid w:val="00FB49EA"/>
    <w:rsid w:val="00FB4ADF"/>
    <w:rsid w:val="00FB4FE4"/>
    <w:rsid w:val="00FB5DF4"/>
    <w:rsid w:val="00FB7F1F"/>
    <w:rsid w:val="00FC1DED"/>
    <w:rsid w:val="00FC30C8"/>
    <w:rsid w:val="00FC417C"/>
    <w:rsid w:val="00FE5F41"/>
    <w:rsid w:val="00FF7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10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F9"/>
    <w:rPr>
      <w:lang w:val="es-MX"/>
    </w:rPr>
  </w:style>
  <w:style w:type="paragraph" w:styleId="Ttulo1">
    <w:name w:val="heading 1"/>
    <w:basedOn w:val="Normal"/>
    <w:next w:val="Normal"/>
    <w:link w:val="Ttulo1Car"/>
    <w:uiPriority w:val="9"/>
    <w:qFormat/>
    <w:rsid w:val="00C25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58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5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43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4391"/>
  </w:style>
  <w:style w:type="paragraph" w:styleId="Piedepgina">
    <w:name w:val="footer"/>
    <w:basedOn w:val="Normal"/>
    <w:link w:val="PiedepginaCar"/>
    <w:uiPriority w:val="99"/>
    <w:unhideWhenUsed/>
    <w:rsid w:val="006E43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4391"/>
  </w:style>
  <w:style w:type="paragraph" w:styleId="Textodeglobo">
    <w:name w:val="Balloon Text"/>
    <w:basedOn w:val="Normal"/>
    <w:link w:val="TextodegloboCar"/>
    <w:uiPriority w:val="99"/>
    <w:semiHidden/>
    <w:unhideWhenUsed/>
    <w:rsid w:val="006E4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391"/>
    <w:rPr>
      <w:rFonts w:ascii="Tahoma" w:hAnsi="Tahoma" w:cs="Tahoma"/>
      <w:sz w:val="16"/>
      <w:szCs w:val="16"/>
    </w:rPr>
  </w:style>
  <w:style w:type="table" w:styleId="Tablaconcuadrcula">
    <w:name w:val="Table Grid"/>
    <w:basedOn w:val="Tablanormal"/>
    <w:uiPriority w:val="59"/>
    <w:rsid w:val="006E43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4548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548F2"/>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3B655C"/>
    <w:rPr>
      <w:b/>
      <w:bCs/>
      <w:smallCaps/>
      <w:spacing w:val="5"/>
    </w:rPr>
  </w:style>
  <w:style w:type="paragraph" w:customStyle="1" w:styleId="Estilo">
    <w:name w:val="Estilo"/>
    <w:basedOn w:val="Sinespaciado"/>
    <w:link w:val="EstiloCar"/>
    <w:qFormat/>
    <w:rsid w:val="003C4033"/>
    <w:pPr>
      <w:jc w:val="both"/>
    </w:pPr>
    <w:rPr>
      <w:rFonts w:ascii="Arial" w:hAnsi="Arial"/>
      <w:sz w:val="24"/>
      <w:lang w:val="es-MX"/>
    </w:rPr>
  </w:style>
  <w:style w:type="character" w:customStyle="1" w:styleId="EstiloCar">
    <w:name w:val="Estilo Car"/>
    <w:basedOn w:val="Fuentedeprrafopredeter"/>
    <w:link w:val="Estilo"/>
    <w:rsid w:val="004A441D"/>
    <w:rPr>
      <w:rFonts w:ascii="Arial" w:hAnsi="Arial"/>
      <w:sz w:val="24"/>
      <w:lang w:val="es-MX"/>
    </w:rPr>
  </w:style>
  <w:style w:type="character" w:customStyle="1" w:styleId="Ttulo1Car">
    <w:name w:val="Título 1 Car"/>
    <w:basedOn w:val="Fuentedeprrafopredeter"/>
    <w:link w:val="Ttulo1"/>
    <w:uiPriority w:val="9"/>
    <w:rsid w:val="00C258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5890"/>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25890"/>
    <w:pPr>
      <w:spacing w:after="0" w:line="240" w:lineRule="auto"/>
    </w:pPr>
  </w:style>
  <w:style w:type="character" w:customStyle="1" w:styleId="Ttulo3Car">
    <w:name w:val="Título 3 Car"/>
    <w:basedOn w:val="Fuentedeprrafopredeter"/>
    <w:link w:val="Ttulo3"/>
    <w:uiPriority w:val="9"/>
    <w:rsid w:val="00C2589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25890"/>
    <w:pPr>
      <w:ind w:left="720"/>
      <w:contextualSpacing/>
    </w:pPr>
  </w:style>
  <w:style w:type="paragraph" w:styleId="Citadestacada">
    <w:name w:val="Intense Quote"/>
    <w:basedOn w:val="Normal"/>
    <w:next w:val="Normal"/>
    <w:link w:val="CitadestacadaCar"/>
    <w:uiPriority w:val="30"/>
    <w:qFormat/>
    <w:rsid w:val="001B667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B6672"/>
    <w:rPr>
      <w:b/>
      <w:bCs/>
      <w:i/>
      <w:iCs/>
      <w:color w:val="4F81BD" w:themeColor="accent1"/>
      <w:lang w:val="es-MX"/>
    </w:rPr>
  </w:style>
  <w:style w:type="character" w:styleId="Referenciasutil">
    <w:name w:val="Subtle Reference"/>
    <w:basedOn w:val="Fuentedeprrafopredeter"/>
    <w:uiPriority w:val="31"/>
    <w:qFormat/>
    <w:rsid w:val="003C7F2A"/>
    <w:rPr>
      <w:smallCaps/>
      <w:color w:val="C0504D" w:themeColor="accent2"/>
      <w:u w:val="single"/>
    </w:rPr>
  </w:style>
  <w:style w:type="paragraph" w:customStyle="1" w:styleId="Estilo2">
    <w:name w:val="Estilo2"/>
    <w:basedOn w:val="Estilo"/>
    <w:link w:val="Estilo2Car"/>
    <w:rsid w:val="00DC2AD6"/>
    <w:pPr>
      <w:spacing w:line="360" w:lineRule="auto"/>
    </w:pPr>
  </w:style>
  <w:style w:type="character" w:customStyle="1" w:styleId="Estilo2Car">
    <w:name w:val="Estilo2 Car"/>
    <w:basedOn w:val="EstiloCar"/>
    <w:link w:val="Estilo2"/>
    <w:rsid w:val="00DC2AD6"/>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61FD-32D3-4367-8573-CE33F289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1740</Words>
  <Characters>9571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2023-01-14T06:50:00Z</dcterms:created>
  <dcterms:modified xsi:type="dcterms:W3CDTF">2023-05-19T21:46:00Z</dcterms:modified>
</cp:coreProperties>
</file>