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FA5BAE" w14:textId="77777777" w:rsidR="009361D9" w:rsidRPr="003D1DBC" w:rsidRDefault="009361D9" w:rsidP="00237151">
      <w:pPr>
        <w:pStyle w:val="1"/>
        <w:spacing w:before="0"/>
        <w:rPr>
          <w:sz w:val="24"/>
        </w:rPr>
      </w:pPr>
      <w:r w:rsidRPr="003D1DBC">
        <w:t>Domain and Problem Space</w:t>
      </w:r>
    </w:p>
    <w:p w14:paraId="639BDE3A" w14:textId="77777777" w:rsidR="009361D9" w:rsidRPr="003D1DBC" w:rsidRDefault="009361D9" w:rsidP="00237151">
      <w:pPr>
        <w:widowControl/>
        <w:spacing w:after="40"/>
        <w:outlineLvl w:val="1"/>
        <w:rPr>
          <w:rFonts w:ascii="Calibri" w:eastAsia="宋体" w:hAnsi="Calibri" w:cs="Calibri"/>
          <w:b/>
          <w:bCs/>
          <w:kern w:val="0"/>
          <w:sz w:val="36"/>
          <w:szCs w:val="36"/>
          <w14:ligatures w14:val="none"/>
        </w:rPr>
      </w:pPr>
      <w:r w:rsidRPr="003D1DBC">
        <w:rPr>
          <w:rFonts w:ascii="Calibri" w:eastAsia="宋体" w:hAnsi="Calibri" w:cs="Calibri"/>
          <w:color w:val="000000"/>
          <w:kern w:val="0"/>
          <w:sz w:val="32"/>
          <w:szCs w:val="32"/>
          <w14:ligatures w14:val="none"/>
        </w:rPr>
        <w:t>Domain Research</w:t>
      </w:r>
    </w:p>
    <w:p w14:paraId="6DA943DD" w14:textId="77777777" w:rsidR="009361D9" w:rsidRPr="003D1DBC" w:rsidRDefault="009361D9" w:rsidP="00237151">
      <w:pPr>
        <w:widowControl/>
        <w:spacing w:after="40"/>
        <w:outlineLvl w:val="1"/>
        <w:rPr>
          <w:rFonts w:ascii="Calibri" w:eastAsia="宋体" w:hAnsi="Calibri" w:cs="Calibri"/>
          <w:b/>
          <w:bCs/>
          <w:kern w:val="0"/>
          <w:sz w:val="36"/>
          <w:szCs w:val="36"/>
          <w14:ligatures w14:val="none"/>
        </w:rPr>
      </w:pPr>
      <w:r w:rsidRPr="003D1DBC">
        <w:rPr>
          <w:rFonts w:ascii="Calibri" w:eastAsia="宋体" w:hAnsi="Calibri" w:cs="Calibri"/>
          <w:color w:val="000000"/>
          <w:kern w:val="0"/>
          <w:sz w:val="32"/>
          <w:szCs w:val="32"/>
          <w14:ligatures w14:val="none"/>
        </w:rPr>
        <w:t>Increasing Art Gallery Involvement through SOMO</w:t>
      </w:r>
    </w:p>
    <w:p w14:paraId="119D6B9A" w14:textId="77777777" w:rsidR="009361D9" w:rsidRPr="003D1DBC" w:rsidRDefault="009361D9" w:rsidP="00237151">
      <w:pPr>
        <w:pStyle w:val="2"/>
        <w:spacing w:before="0"/>
        <w:rPr>
          <w:b/>
          <w:bCs/>
          <w:sz w:val="27"/>
          <w:szCs w:val="27"/>
        </w:rPr>
      </w:pPr>
      <w:r w:rsidRPr="003D1DBC">
        <w:t>1. Problem Space</w:t>
      </w:r>
    </w:p>
    <w:p w14:paraId="5F359F3A"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Our project looks at how social and mobile computing could support engagement in physical art galleries.</w:t>
      </w:r>
    </w:p>
    <w:p w14:paraId="272A5B53" w14:textId="77777777" w:rsidR="009361D9" w:rsidRPr="003D1DBC" w:rsidRDefault="009361D9" w:rsidP="00237151">
      <w:pPr>
        <w:widowControl/>
        <w:rPr>
          <w:rFonts w:ascii="Calibri" w:eastAsia="宋体" w:hAnsi="Calibri" w:cs="Calibri"/>
          <w:kern w:val="0"/>
          <w:sz w:val="24"/>
          <w14:ligatures w14:val="none"/>
        </w:rPr>
      </w:pPr>
    </w:p>
    <w:p w14:paraId="1EFE3E2B"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Gallery visitors have access to different kinds of information, such as labels, wall text, audio guides and digital guides. These can help visitors understand the background of an artwork, but having more information does not always mean that visitors are actively interpreting what they see.</w:t>
      </w:r>
    </w:p>
    <w:p w14:paraId="1AA3C83F" w14:textId="77777777" w:rsidR="009361D9" w:rsidRPr="003D1DBC" w:rsidRDefault="009361D9" w:rsidP="00237151">
      <w:pPr>
        <w:widowControl/>
        <w:rPr>
          <w:rFonts w:ascii="Calibri" w:eastAsia="宋体" w:hAnsi="Calibri" w:cs="Calibri"/>
          <w:kern w:val="0"/>
          <w:sz w:val="24"/>
          <w14:ligatures w14:val="none"/>
        </w:rPr>
      </w:pPr>
    </w:p>
    <w:p w14:paraId="1845DD73"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This may be more noticeable for visitors who have less experience with art. Shaer et al. (2011) found that beginning museum visitors often moved through galleries quickly, briefly viewed artworks and sometimes relied on labels. They could also feel uncomfortable forming or sharing their own opinions about artworks.</w:t>
      </w:r>
    </w:p>
    <w:p w14:paraId="4B4D3FF8" w14:textId="77777777" w:rsidR="009361D9" w:rsidRPr="003D1DBC" w:rsidRDefault="009361D9" w:rsidP="00237151">
      <w:pPr>
        <w:widowControl/>
        <w:rPr>
          <w:rFonts w:ascii="Calibri" w:eastAsia="宋体" w:hAnsi="Calibri" w:cs="Calibri"/>
          <w:kern w:val="0"/>
          <w:sz w:val="24"/>
          <w14:ligatures w14:val="none"/>
        </w:rPr>
      </w:pPr>
    </w:p>
    <w:p w14:paraId="6D9BF9F6"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At the same time, museum interpretation does not always happen individually. Other visitors can influence what people notice, discuss and understand during a visit (Eklund, 2020; Ryding et al., 2021). Research into visitor-based social contextual information also shows that seeing other visitors' opinions and reactions can give people different perspectives to compare with their own (Yi et al., 2022).</w:t>
      </w:r>
    </w:p>
    <w:p w14:paraId="13D14FA6" w14:textId="77777777" w:rsidR="009361D9" w:rsidRPr="003D1DBC" w:rsidRDefault="009361D9" w:rsidP="00237151">
      <w:pPr>
        <w:widowControl/>
        <w:rPr>
          <w:rFonts w:ascii="Calibri" w:eastAsia="宋体" w:hAnsi="Calibri" w:cs="Calibri"/>
          <w:kern w:val="0"/>
          <w:sz w:val="24"/>
          <w14:ligatures w14:val="none"/>
        </w:rPr>
      </w:pPr>
    </w:p>
    <w:p w14:paraId="5FE961C1"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This gives us an interesting area to explore: how could technology support visitors in thinking more actively about artworks and possibly learning from other visitors, without taking too much attention away from the physical gallery?</w:t>
      </w:r>
    </w:p>
    <w:p w14:paraId="175809C6" w14:textId="77777777" w:rsidR="009361D9" w:rsidRPr="003D1DBC" w:rsidRDefault="009361D9" w:rsidP="00237151">
      <w:pPr>
        <w:pStyle w:val="2"/>
        <w:spacing w:before="0"/>
        <w:rPr>
          <w:b/>
          <w:bCs/>
          <w:sz w:val="27"/>
          <w:szCs w:val="27"/>
        </w:rPr>
      </w:pPr>
      <w:r w:rsidRPr="003D1DBC">
        <w:t>2. Core Problem</w:t>
      </w:r>
    </w:p>
    <w:p w14:paraId="277BB08C"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Some gallery visitors, especially those with less art experience, may find it difficult to form their own interpretation of an artwork. They may also feel unsure about expressing what they think.</w:t>
      </w:r>
    </w:p>
    <w:p w14:paraId="4F30A680"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The issue may not simply be a lack of information. Some visitors may already have their own thoughts but lack confidence in expressing them.</w:t>
      </w:r>
    </w:p>
    <w:p w14:paraId="18706CD2"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Research also suggests that other visitors’ perspectives can provide new ways of thinking about the same artwork.</w:t>
      </w:r>
    </w:p>
    <w:p w14:paraId="2C0B727B"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However, we do not yet know whether visitors want to see these perspectives, especially from people they do not know.</w:t>
      </w:r>
    </w:p>
    <w:p w14:paraId="4E33A961" w14:textId="77777777" w:rsidR="009361D9" w:rsidRPr="003D1DBC" w:rsidRDefault="009361D9" w:rsidP="00237151">
      <w:pPr>
        <w:widowControl/>
        <w:rPr>
          <w:rFonts w:ascii="Calibri" w:eastAsia="宋体" w:hAnsi="Calibri" w:cs="Calibri"/>
          <w:kern w:val="0"/>
          <w:sz w:val="24"/>
          <w14:ligatures w14:val="none"/>
        </w:rPr>
      </w:pPr>
      <w:proofErr w:type="gramStart"/>
      <w:r w:rsidRPr="003D1DBC">
        <w:rPr>
          <w:rFonts w:ascii="Calibri" w:eastAsia="宋体" w:hAnsi="Calibri" w:cs="Calibri"/>
          <w:b/>
          <w:bCs/>
          <w:color w:val="000000"/>
          <w:kern w:val="0"/>
          <w:sz w:val="26"/>
          <w:szCs w:val="26"/>
          <w14:ligatures w14:val="none"/>
        </w:rPr>
        <w:t>So</w:t>
      </w:r>
      <w:proofErr w:type="gramEnd"/>
      <w:r w:rsidRPr="003D1DBC">
        <w:rPr>
          <w:rFonts w:ascii="Calibri" w:eastAsia="宋体" w:hAnsi="Calibri" w:cs="Calibri"/>
          <w:b/>
          <w:bCs/>
          <w:color w:val="000000"/>
          <w:kern w:val="0"/>
          <w:sz w:val="26"/>
          <w:szCs w:val="26"/>
          <w14:ligatures w14:val="none"/>
        </w:rPr>
        <w:t xml:space="preserve"> our problem is:</w:t>
      </w:r>
    </w:p>
    <w:p w14:paraId="2EF5E021" w14:textId="77777777" w:rsidR="009361D9" w:rsidRPr="003D1DBC" w:rsidRDefault="009361D9" w:rsidP="00237151">
      <w:pPr>
        <w:widowControl/>
        <w:spacing w:after="240"/>
        <w:ind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What makes active interpretation difficult for some gallery visitors, and how might social and contextual interaction support their interpretation and reflection?</w:t>
      </w:r>
    </w:p>
    <w:p w14:paraId="2BCCC3C8" w14:textId="375FDF6C" w:rsidR="009361D9" w:rsidRPr="003D1DBC" w:rsidRDefault="009361D9" w:rsidP="00237151">
      <w:pPr>
        <w:pStyle w:val="2"/>
        <w:spacing w:before="0"/>
        <w:rPr>
          <w:b/>
          <w:bCs/>
          <w:sz w:val="27"/>
          <w:szCs w:val="27"/>
        </w:rPr>
      </w:pPr>
      <w:r w:rsidRPr="003D1DBC">
        <w:t>3. Research Questions</w:t>
      </w:r>
    </w:p>
    <w:p w14:paraId="697F975C" w14:textId="7DE0E01A"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RQ1 — Interpretation</w:t>
      </w:r>
    </w:p>
    <w:p w14:paraId="5EDE9E1B"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What makes it difficult for gallery visitors, especially those with less art experience, to form and express their own interpretations?</w:t>
      </w:r>
    </w:p>
    <w:p w14:paraId="2B9FF203" w14:textId="77777777" w:rsidR="009361D9" w:rsidRPr="003D1DBC" w:rsidRDefault="009361D9" w:rsidP="00237151">
      <w:pPr>
        <w:widowControl/>
        <w:spacing w:after="20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lastRenderedPageBreak/>
        <w:t>This question looks at things such as confidence, previous art knowledge and whether visitors feel that there is a “correct” way to understand an artwork.</w:t>
      </w:r>
    </w:p>
    <w:p w14:paraId="4BABE438" w14:textId="6E75D49E"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RQ2 — Engagement</w:t>
      </w:r>
    </w:p>
    <w:p w14:paraId="1C5F2046"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What encourages visitors to actively observe, interpret and reflect on an artwork? What makes them move on quickly?</w:t>
      </w:r>
    </w:p>
    <w:p w14:paraId="44AD4A39"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We want to understand what visitors actually do in galleries and what makes them spend more or less time with an artwork.</w:t>
      </w:r>
    </w:p>
    <w:p w14:paraId="2DC13971" w14:textId="4D8B0E59"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RQ3 — Social Interaction</w:t>
      </w:r>
    </w:p>
    <w:p w14:paraId="68C570ED"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Can other visitors’ perspectives help people engage with or interpret artworks?</w:t>
      </w:r>
    </w:p>
    <w:p w14:paraId="425C29CE"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We want to understand whether seeing or discussing different perspectives can support reflection and interpretation.</w:t>
      </w:r>
    </w:p>
    <w:p w14:paraId="33054701" w14:textId="56C75A4C"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 xml:space="preserve">RQ4 — </w:t>
      </w:r>
      <w:r w:rsidRPr="003D1DBC">
        <w:rPr>
          <w:rFonts w:ascii="Calibri" w:eastAsia="宋体" w:hAnsi="Calibri" w:cs="Calibri"/>
          <w:color w:val="666666"/>
          <w:kern w:val="0"/>
          <w:sz w:val="26"/>
          <w:szCs w:val="26"/>
          <w14:ligatures w14:val="none"/>
        </w:rPr>
        <w:t>Technology and Context</w:t>
      </w:r>
    </w:p>
    <w:p w14:paraId="6C81BA44"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How might social and contextual technology support gallery engagement without taking attention away from the physical artwork?</w:t>
      </w:r>
    </w:p>
    <w:p w14:paraId="2065016A"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We want to explore the role of technology without deciding too early what the final system should be.</w:t>
      </w:r>
    </w:p>
    <w:p w14:paraId="758EFEC1" w14:textId="77777777" w:rsidR="009361D9" w:rsidRPr="003D1DBC" w:rsidRDefault="009361D9" w:rsidP="00237151">
      <w:pPr>
        <w:pStyle w:val="2"/>
        <w:spacing w:before="0"/>
        <w:rPr>
          <w:b/>
          <w:bCs/>
          <w:sz w:val="27"/>
          <w:szCs w:val="27"/>
        </w:rPr>
      </w:pPr>
      <w:r w:rsidRPr="003D1DBC">
        <w:t>4. Main Findings</w:t>
      </w:r>
    </w:p>
    <w:p w14:paraId="09D0334B" w14:textId="056A187E"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Finding 1 — Less-experienced visitors may lack confidence in their own interpretations</w:t>
      </w:r>
    </w:p>
    <w:p w14:paraId="134C7D6B"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Less-experienced visitors may be interested in art but still feel unsure about forming or sharing their own interpretations.</w:t>
      </w:r>
    </w:p>
    <w:p w14:paraId="1E3091D2"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Shaer et al. (2011) found that beginning visitors often moved quickly through galleries, briefly looked at artworks and sometimes read labels. They also found that beginning viewers were often uncomfortable forming or sharing their opinions about artworks.</w:t>
      </w:r>
    </w:p>
    <w:p w14:paraId="49504BA6"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What this means</w:t>
      </w:r>
      <w:r w:rsidRPr="003D1DBC">
        <w:rPr>
          <w:rFonts w:ascii="Calibri" w:eastAsia="宋体" w:hAnsi="Calibri" w:cs="Calibri"/>
          <w:color w:val="000000"/>
          <w:kern w:val="0"/>
          <w:sz w:val="22"/>
          <w:szCs w:val="22"/>
          <w14:ligatures w14:val="none"/>
        </w:rPr>
        <w:t>：</w:t>
      </w:r>
    </w:p>
    <w:p w14:paraId="2872EE0E"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Low engagement does not always mean low interest. Visitors may have their own thoughts but feel unsure whether those thoughts are “valid”.</w:t>
      </w:r>
    </w:p>
    <w:p w14:paraId="54F0441B" w14:textId="523A4562"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 xml:space="preserve">Finding 2 — Gallery viewing can become passive </w:t>
      </w:r>
    </w:p>
    <w:p w14:paraId="2071A351"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Some visitors may look at an artwork, read the label and then quickly move on. This gives them limited opportunities to actively question or interpret what they see.</w:t>
      </w:r>
    </w:p>
    <w:p w14:paraId="1FCB1A1C"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A passive experience may look like: </w:t>
      </w:r>
      <w:r w:rsidRPr="003D1DBC">
        <w:rPr>
          <w:rFonts w:ascii="Calibri" w:eastAsia="宋体" w:hAnsi="Calibri" w:cs="Calibri"/>
          <w:b/>
          <w:bCs/>
          <w:color w:val="000000"/>
          <w:kern w:val="0"/>
          <w:sz w:val="22"/>
          <w:szCs w:val="22"/>
          <w14:ligatures w14:val="none"/>
        </w:rPr>
        <w:t>Look → Read → Move on</w:t>
      </w:r>
    </w:p>
    <w:p w14:paraId="40B10FD2"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A more active experience could be: </w:t>
      </w:r>
      <w:r w:rsidRPr="003D1DBC">
        <w:rPr>
          <w:rFonts w:ascii="Calibri" w:eastAsia="宋体" w:hAnsi="Calibri" w:cs="Calibri"/>
          <w:b/>
          <w:bCs/>
          <w:color w:val="000000"/>
          <w:kern w:val="0"/>
          <w:sz w:val="22"/>
          <w:szCs w:val="22"/>
          <w14:ligatures w14:val="none"/>
        </w:rPr>
        <w:t>Look → Notice → Question → Interpret → Reflect</w:t>
      </w:r>
    </w:p>
    <w:p w14:paraId="4474BD62"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Shaer et al. (2011) found that visitors using </w:t>
      </w:r>
      <w:proofErr w:type="spellStart"/>
      <w:r w:rsidRPr="003D1DBC">
        <w:rPr>
          <w:rFonts w:ascii="Calibri" w:eastAsia="宋体" w:hAnsi="Calibri" w:cs="Calibri"/>
          <w:color w:val="000000"/>
          <w:kern w:val="0"/>
          <w:sz w:val="22"/>
          <w:szCs w:val="22"/>
          <w14:ligatures w14:val="none"/>
        </w:rPr>
        <w:t>ARTeMuse</w:t>
      </w:r>
      <w:proofErr w:type="spellEnd"/>
      <w:r w:rsidRPr="003D1DBC">
        <w:rPr>
          <w:rFonts w:ascii="Calibri" w:eastAsia="宋体" w:hAnsi="Calibri" w:cs="Calibri"/>
          <w:color w:val="000000"/>
          <w:kern w:val="0"/>
          <w:sz w:val="22"/>
          <w:szCs w:val="22"/>
          <w14:ligatures w14:val="none"/>
        </w:rPr>
        <w:t xml:space="preserve"> spent more time with individual artworks and showed deeper analysis and opinion formation. The system used questions and activities to encourage visitors to look more closely and think about what they saw.</w:t>
      </w:r>
    </w:p>
    <w:p w14:paraId="7AA641BD"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What this means</w:t>
      </w:r>
      <w:r w:rsidRPr="003D1DBC">
        <w:rPr>
          <w:rFonts w:ascii="Calibri" w:eastAsia="宋体" w:hAnsi="Calibri" w:cs="Calibri"/>
          <w:color w:val="000000"/>
          <w:kern w:val="0"/>
          <w:sz w:val="22"/>
          <w:szCs w:val="22"/>
          <w14:ligatures w14:val="none"/>
        </w:rPr>
        <w:t>：</w:t>
      </w:r>
    </w:p>
    <w:p w14:paraId="5734F40F"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Visitors may not need more information. They may need simple prompts that encourage them to stop, notice and think.</w:t>
      </w:r>
    </w:p>
    <w:p w14:paraId="49C81424" w14:textId="20848F81"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lastRenderedPageBreak/>
        <w:t xml:space="preserve">Finding 3 — Traditional interpretation often focuses on expert information </w:t>
      </w:r>
    </w:p>
    <w:p w14:paraId="1BB9882A"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Museum labels and digital guides are useful for learning about artworks. However, they often focus on information created by museums and experts.</w:t>
      </w:r>
    </w:p>
    <w:p w14:paraId="7BB9CABB"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The common information flow is: </w:t>
      </w:r>
      <w:r w:rsidRPr="003D1DBC">
        <w:rPr>
          <w:rFonts w:ascii="Calibri" w:eastAsia="宋体" w:hAnsi="Calibri" w:cs="Calibri"/>
          <w:b/>
          <w:bCs/>
          <w:color w:val="000000"/>
          <w:kern w:val="0"/>
          <w:sz w:val="22"/>
          <w:szCs w:val="22"/>
          <w14:ligatures w14:val="none"/>
        </w:rPr>
        <w:t>Museum / Expert → Information → Visitor</w:t>
      </w:r>
    </w:p>
    <w:p w14:paraId="114FA163"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Yi et al. (2022) explains that museum information has traditionally focused on expert knowledge about artists and artworks. Their study explored an alternative called </w:t>
      </w:r>
      <w:r w:rsidRPr="003D1DBC">
        <w:rPr>
          <w:rFonts w:ascii="Calibri" w:eastAsia="宋体" w:hAnsi="Calibri" w:cs="Calibri"/>
          <w:b/>
          <w:bCs/>
          <w:color w:val="000000"/>
          <w:kern w:val="0"/>
          <w:sz w:val="22"/>
          <w:szCs w:val="22"/>
          <w14:ligatures w14:val="none"/>
        </w:rPr>
        <w:t>Visitor-Based Social Contextual Information (VSCI)</w:t>
      </w:r>
      <w:r w:rsidRPr="003D1DBC">
        <w:rPr>
          <w:rFonts w:ascii="Calibri" w:eastAsia="宋体" w:hAnsi="Calibri" w:cs="Calibri"/>
          <w:color w:val="000000"/>
          <w:kern w:val="0"/>
          <w:sz w:val="22"/>
          <w:szCs w:val="22"/>
          <w14:ligatures w14:val="none"/>
        </w:rPr>
        <w:t xml:space="preserve">, which included visitors’ emotions, </w:t>
      </w:r>
      <w:proofErr w:type="spellStart"/>
      <w:r w:rsidRPr="003D1DBC">
        <w:rPr>
          <w:rFonts w:ascii="Calibri" w:eastAsia="宋体" w:hAnsi="Calibri" w:cs="Calibri"/>
          <w:color w:val="000000"/>
          <w:kern w:val="0"/>
          <w:sz w:val="22"/>
          <w:szCs w:val="22"/>
          <w14:ligatures w14:val="none"/>
        </w:rPr>
        <w:t>behaviours</w:t>
      </w:r>
      <w:proofErr w:type="spellEnd"/>
      <w:r w:rsidRPr="003D1DBC">
        <w:rPr>
          <w:rFonts w:ascii="Calibri" w:eastAsia="宋体" w:hAnsi="Calibri" w:cs="Calibri"/>
          <w:color w:val="000000"/>
          <w:kern w:val="0"/>
          <w:sz w:val="22"/>
          <w:szCs w:val="22"/>
          <w14:ligatures w14:val="none"/>
        </w:rPr>
        <w:t>, evaluations and comments.</w:t>
      </w:r>
    </w:p>
    <w:p w14:paraId="0B134C03"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Participants could compare their own thoughts with others and discover different ways of viewing artworks.</w:t>
      </w:r>
    </w:p>
    <w:p w14:paraId="06463812"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What this means</w:t>
      </w:r>
      <w:r w:rsidRPr="003D1DBC">
        <w:rPr>
          <w:rFonts w:ascii="Calibri" w:eastAsia="宋体" w:hAnsi="Calibri" w:cs="Calibri"/>
          <w:color w:val="000000"/>
          <w:kern w:val="0"/>
          <w:sz w:val="22"/>
          <w:szCs w:val="22"/>
          <w14:ligatures w14:val="none"/>
        </w:rPr>
        <w:t>：</w:t>
      </w:r>
    </w:p>
    <w:p w14:paraId="4EE1B2C6"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Expert information can explain an artwork, but visitor perspectives can show that the same artwork may be understood in different ways.</w:t>
      </w:r>
    </w:p>
    <w:p w14:paraId="2A15A66B" w14:textId="1882059B"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Finding 4 — Other visitors can support interpretation</w:t>
      </w:r>
    </w:p>
    <w:p w14:paraId="1B9E1344"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Art interpretation does not always happen alone. Visitors can develop new ideas by sharing knowledge, discussing artworks and experiencing the gallery with other people.</w:t>
      </w:r>
    </w:p>
    <w:p w14:paraId="6AB09ABD"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Eklund et al. (2020) found that visitors can create meaning socially through shared knowledge, play and connections between museum objects and familiar experiences. Ryding et al. (2021) also found that interpersonal museum experiences can create space for visitors to develop their own interpretations.</w:t>
      </w:r>
    </w:p>
    <w:p w14:paraId="26E8AD45"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Together, these studies suggest that other visitors are not only people sharing the same physical space. </w:t>
      </w:r>
      <w:r w:rsidRPr="003D1DBC">
        <w:rPr>
          <w:rFonts w:ascii="Calibri" w:eastAsia="宋体" w:hAnsi="Calibri" w:cs="Calibri"/>
          <w:b/>
          <w:bCs/>
          <w:color w:val="000000"/>
          <w:kern w:val="0"/>
          <w:sz w:val="22"/>
          <w:szCs w:val="22"/>
          <w14:ligatures w14:val="none"/>
        </w:rPr>
        <w:t>Their perspectives can also become resources for interpretation.</w:t>
      </w:r>
    </w:p>
    <w:p w14:paraId="498CAD51"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However, this does not mean visitors necessarily want to start conversations with strangers. An important question for our research is whether people can benefit from other visitors’ perspectives without needing direct face-to-face interaction.</w:t>
      </w:r>
    </w:p>
    <w:p w14:paraId="584A3056" w14:textId="77777777" w:rsidR="009361D9" w:rsidRPr="003D1DBC" w:rsidRDefault="009361D9" w:rsidP="00237151">
      <w:pPr>
        <w:widowControl/>
        <w:spacing w:after="240"/>
        <w:ind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This creates a possible role for social and contextual technology—but the technology must not become a new distraction.</w:t>
      </w:r>
    </w:p>
    <w:p w14:paraId="30FE6413" w14:textId="4F1DD88F" w:rsidR="009361D9" w:rsidRPr="003D1DBC" w:rsidRDefault="009361D9" w:rsidP="00237151">
      <w:pPr>
        <w:widowControl/>
        <w:spacing w:after="80"/>
        <w:outlineLvl w:val="3"/>
        <w:rPr>
          <w:rFonts w:ascii="Calibri" w:eastAsia="宋体" w:hAnsi="Calibri" w:cs="Calibri"/>
          <w:b/>
          <w:bCs/>
          <w:kern w:val="0"/>
          <w:sz w:val="24"/>
          <w14:ligatures w14:val="none"/>
        </w:rPr>
      </w:pPr>
      <w:r w:rsidRPr="003D1DBC">
        <w:rPr>
          <w:rFonts w:ascii="Calibri" w:eastAsia="宋体" w:hAnsi="Calibri" w:cs="Calibri"/>
          <w:color w:val="666666"/>
          <w:kern w:val="0"/>
          <w:sz w:val="24"/>
          <w14:ligatures w14:val="none"/>
        </w:rPr>
        <w:t>Finding 5 — Mobile technology can support engagement, but it can also distract</w:t>
      </w:r>
    </w:p>
    <w:p w14:paraId="2A51E9F8"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Mobile technology can support gallery engagement. However, too much screen interaction may take visitors’ attention away from the physical artwork.</w:t>
      </w:r>
    </w:p>
    <w:p w14:paraId="73594809"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Sung et al. (2010) found that electronic guides can compete with physical exhibits for visitors’ attention. When visitors focus too much on digital content, interaction with the device may reduce their interaction with the real museum object.</w:t>
      </w:r>
    </w:p>
    <w:p w14:paraId="437F341F" w14:textId="77777777" w:rsidR="009361D9" w:rsidRPr="003D1DBC" w:rsidRDefault="009361D9" w:rsidP="00237151">
      <w:pPr>
        <w:widowControl/>
        <w:spacing w:after="240"/>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Stanković </w:t>
      </w:r>
      <w:proofErr w:type="spellStart"/>
      <w:r w:rsidRPr="003D1DBC">
        <w:rPr>
          <w:rFonts w:ascii="Calibri" w:eastAsia="宋体" w:hAnsi="Calibri" w:cs="Calibri"/>
          <w:color w:val="000000"/>
          <w:kern w:val="0"/>
          <w:sz w:val="22"/>
          <w:szCs w:val="22"/>
          <w14:ligatures w14:val="none"/>
        </w:rPr>
        <w:t>Elesini</w:t>
      </w:r>
      <w:proofErr w:type="spellEnd"/>
      <w:r w:rsidRPr="003D1DBC">
        <w:rPr>
          <w:rFonts w:ascii="Calibri" w:eastAsia="宋体" w:hAnsi="Calibri" w:cs="Calibri"/>
          <w:color w:val="000000"/>
          <w:kern w:val="0"/>
          <w:sz w:val="22"/>
          <w:szCs w:val="22"/>
          <w14:ligatures w14:val="none"/>
        </w:rPr>
        <w:t xml:space="preserve"> et al. (2022) also discusses risks such as head-down </w:t>
      </w:r>
      <w:proofErr w:type="spellStart"/>
      <w:r w:rsidRPr="003D1DBC">
        <w:rPr>
          <w:rFonts w:ascii="Calibri" w:eastAsia="宋体" w:hAnsi="Calibri" w:cs="Calibri"/>
          <w:color w:val="000000"/>
          <w:kern w:val="0"/>
          <w:sz w:val="22"/>
          <w:szCs w:val="22"/>
          <w14:ligatures w14:val="none"/>
        </w:rPr>
        <w:t>behaviour</w:t>
      </w:r>
      <w:proofErr w:type="spellEnd"/>
      <w:r w:rsidRPr="003D1DBC">
        <w:rPr>
          <w:rFonts w:ascii="Calibri" w:eastAsia="宋体" w:hAnsi="Calibri" w:cs="Calibri"/>
          <w:color w:val="000000"/>
          <w:kern w:val="0"/>
          <w:sz w:val="22"/>
          <w:szCs w:val="22"/>
          <w14:ligatures w14:val="none"/>
        </w:rPr>
        <w:t xml:space="preserve">, isolation and reduced conversation. However, their study found that mobile activities connected to the physical museum environment could encourage active engagement and reduce noticeable head-down </w:t>
      </w:r>
      <w:proofErr w:type="spellStart"/>
      <w:r w:rsidRPr="003D1DBC">
        <w:rPr>
          <w:rFonts w:ascii="Calibri" w:eastAsia="宋体" w:hAnsi="Calibri" w:cs="Calibri"/>
          <w:color w:val="000000"/>
          <w:kern w:val="0"/>
          <w:sz w:val="22"/>
          <w:szCs w:val="22"/>
          <w14:ligatures w14:val="none"/>
        </w:rPr>
        <w:t>behaviour</w:t>
      </w:r>
      <w:proofErr w:type="spellEnd"/>
      <w:r w:rsidRPr="003D1DBC">
        <w:rPr>
          <w:rFonts w:ascii="Calibri" w:eastAsia="宋体" w:hAnsi="Calibri" w:cs="Calibri"/>
          <w:color w:val="000000"/>
          <w:kern w:val="0"/>
          <w:sz w:val="22"/>
          <w:szCs w:val="22"/>
          <w14:ligatures w14:val="none"/>
        </w:rPr>
        <w:t>.</w:t>
      </w:r>
    </w:p>
    <w:p w14:paraId="3CE5D57D"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 xml:space="preserve">What this means </w:t>
      </w:r>
      <w:r w:rsidRPr="003D1DBC">
        <w:rPr>
          <w:rFonts w:ascii="Calibri" w:eastAsia="宋体" w:hAnsi="Calibri" w:cs="Calibri"/>
          <w:b/>
          <w:bCs/>
          <w:color w:val="000000"/>
          <w:kern w:val="0"/>
          <w:sz w:val="22"/>
          <w:szCs w:val="22"/>
          <w14:ligatures w14:val="none"/>
        </w:rPr>
        <w:t>：</w:t>
      </w:r>
    </w:p>
    <w:p w14:paraId="583BFA85" w14:textId="77777777" w:rsidR="009361D9" w:rsidRPr="003D1DBC" w:rsidRDefault="009361D9" w:rsidP="00237151">
      <w:pPr>
        <w:widowControl/>
        <w:spacing w:after="240"/>
        <w:ind w:left="600" w:right="60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The problem is not simply “using a phone”. The important question is what the phone encourages visitors to do.</w:t>
      </w:r>
    </w:p>
    <w:p w14:paraId="6C963130" w14:textId="77777777" w:rsidR="009361D9" w:rsidRPr="003D1DBC" w:rsidRDefault="009361D9" w:rsidP="00237151">
      <w:pPr>
        <w:pStyle w:val="2"/>
        <w:spacing w:before="0"/>
        <w:rPr>
          <w:b/>
          <w:bCs/>
          <w:sz w:val="27"/>
          <w:szCs w:val="27"/>
        </w:rPr>
      </w:pPr>
      <w:r w:rsidRPr="003D1DBC">
        <w:lastRenderedPageBreak/>
        <w:t>5.   Competitor Summary</w:t>
      </w:r>
    </w:p>
    <w:p w14:paraId="58E9E2D7" w14:textId="77777777" w:rsidR="009361D9" w:rsidRPr="003D1DBC" w:rsidRDefault="009361D9" w:rsidP="00237151">
      <w:pPr>
        <w:widowControl/>
        <w:numPr>
          <w:ilvl w:val="0"/>
          <w:numId w:val="1"/>
        </w:numPr>
        <w:spacing w:after="80"/>
        <w:textAlignment w:val="baseline"/>
        <w:outlineLvl w:val="3"/>
        <w:rPr>
          <w:rFonts w:ascii="Calibri" w:eastAsia="宋体" w:hAnsi="Calibri" w:cs="Calibri"/>
          <w:b/>
          <w:bCs/>
          <w:color w:val="666666"/>
          <w:kern w:val="0"/>
          <w:sz w:val="24"/>
          <w14:ligatures w14:val="none"/>
        </w:rPr>
      </w:pPr>
      <w:proofErr w:type="spellStart"/>
      <w:r w:rsidRPr="003D1DBC">
        <w:rPr>
          <w:rFonts w:ascii="Calibri" w:eastAsia="宋体" w:hAnsi="Calibri" w:cs="Calibri"/>
          <w:color w:val="666666"/>
          <w:kern w:val="0"/>
          <w:sz w:val="24"/>
          <w14:ligatures w14:val="none"/>
        </w:rPr>
        <w:t>ARTeMuse</w:t>
      </w:r>
      <w:proofErr w:type="spellEnd"/>
      <w:r w:rsidRPr="003D1DBC">
        <w:rPr>
          <w:rFonts w:ascii="Calibri" w:eastAsia="宋体" w:hAnsi="Calibri" w:cs="Calibri"/>
          <w:color w:val="666666"/>
          <w:kern w:val="0"/>
          <w:sz w:val="24"/>
          <w14:ligatures w14:val="none"/>
        </w:rPr>
        <w:t xml:space="preserve"> — Social-Mobile Art Engagement</w:t>
      </w:r>
    </w:p>
    <w:p w14:paraId="1FB03B3B" w14:textId="77777777" w:rsidR="009361D9" w:rsidRPr="003D1DBC" w:rsidRDefault="009361D9" w:rsidP="00237151">
      <w:pPr>
        <w:widowControl/>
        <w:ind w:left="720"/>
        <w:rPr>
          <w:rFonts w:ascii="Calibri" w:eastAsia="宋体" w:hAnsi="Calibri" w:cs="Calibri"/>
          <w:kern w:val="0"/>
          <w:sz w:val="24"/>
          <w14:ligatures w14:val="none"/>
        </w:rPr>
      </w:pPr>
      <w:proofErr w:type="spellStart"/>
      <w:r w:rsidRPr="003D1DBC">
        <w:rPr>
          <w:rFonts w:ascii="Calibri" w:eastAsia="宋体" w:hAnsi="Calibri" w:cs="Calibri"/>
          <w:b/>
          <w:bCs/>
          <w:color w:val="000000"/>
          <w:kern w:val="0"/>
          <w:sz w:val="22"/>
          <w:szCs w:val="22"/>
          <w14:ligatures w14:val="none"/>
        </w:rPr>
        <w:t>ARTeMuse</w:t>
      </w:r>
      <w:proofErr w:type="spellEnd"/>
      <w:r w:rsidRPr="003D1DBC">
        <w:rPr>
          <w:rFonts w:ascii="Calibri" w:eastAsia="宋体" w:hAnsi="Calibri" w:cs="Calibri"/>
          <w:color w:val="000000"/>
          <w:kern w:val="0"/>
          <w:sz w:val="22"/>
          <w:szCs w:val="22"/>
          <w14:ligatures w14:val="none"/>
        </w:rPr>
        <w:t xml:space="preserve"> is a mobile application designed to help beginning museum visitors engage more deeply with artworks. Instead of only giving users information, it provides questions and activities that encourage them to look carefully and form their own opinions. The study found that visitors spent more time with artworks when using the app. Some visitors also naturally discussed their answers with partners, suggesting that social interaction can make art interpretation more comfortable and engaging.</w:t>
      </w:r>
    </w:p>
    <w:p w14:paraId="2B431994" w14:textId="5D9F0814" w:rsidR="009361D9" w:rsidRPr="003D1DBC" w:rsidRDefault="009361D9" w:rsidP="00237151">
      <w:pPr>
        <w:widowControl/>
        <w:ind w:left="720"/>
        <w:rPr>
          <w:rFonts w:ascii="Calibri" w:eastAsia="宋体" w:hAnsi="Calibri" w:cs="Calibri"/>
          <w:kern w:val="0"/>
          <w:sz w:val="24"/>
          <w14:ligatures w14:val="none"/>
        </w:rPr>
      </w:pPr>
      <w:hyperlink r:id="rId5" w:history="1">
        <w:r w:rsidRPr="003D1DBC">
          <w:rPr>
            <w:rFonts w:ascii="Calibri" w:eastAsia="宋体" w:hAnsi="Calibri" w:cs="Calibri"/>
            <w:color w:val="1155CC"/>
            <w:kern w:val="0"/>
            <w:sz w:val="22"/>
            <w:szCs w:val="22"/>
            <w:u w:val="single"/>
            <w14:ligatures w14:val="none"/>
          </w:rPr>
          <w:t>https://www.museumsandtheweb.com/mw2011/papers/art_app_reciation_fostering_engagement_and_ref.html</w:t>
        </w:r>
      </w:hyperlink>
    </w:p>
    <w:p w14:paraId="483910B1" w14:textId="77777777" w:rsidR="009361D9" w:rsidRPr="003D1DBC" w:rsidRDefault="009361D9" w:rsidP="00237151">
      <w:pPr>
        <w:widowControl/>
        <w:numPr>
          <w:ilvl w:val="0"/>
          <w:numId w:val="2"/>
        </w:numPr>
        <w:spacing w:after="80"/>
        <w:textAlignment w:val="baseline"/>
        <w:outlineLvl w:val="3"/>
        <w:rPr>
          <w:rFonts w:ascii="Calibri" w:eastAsia="宋体" w:hAnsi="Calibri" w:cs="Calibri"/>
          <w:b/>
          <w:bCs/>
          <w:color w:val="666666"/>
          <w:kern w:val="0"/>
          <w:sz w:val="24"/>
          <w14:ligatures w14:val="none"/>
        </w:rPr>
      </w:pPr>
      <w:r w:rsidRPr="003D1DBC">
        <w:rPr>
          <w:rFonts w:ascii="Calibri" w:eastAsia="宋体" w:hAnsi="Calibri" w:cs="Calibri"/>
          <w:color w:val="666666"/>
          <w:kern w:val="0"/>
          <w:sz w:val="24"/>
          <w14:ligatures w14:val="none"/>
        </w:rPr>
        <w:t>VSCI — Visitor-Based Social Contextual Information</w:t>
      </w:r>
    </w:p>
    <w:p w14:paraId="50422C8B" w14:textId="77777777" w:rsidR="009361D9" w:rsidRPr="003D1DBC" w:rsidRDefault="009361D9" w:rsidP="00237151">
      <w:pPr>
        <w:widowControl/>
        <w:spacing w:after="240"/>
        <w:ind w:left="72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VSCI</w:t>
      </w:r>
      <w:r w:rsidRPr="003D1DBC">
        <w:rPr>
          <w:rFonts w:ascii="Calibri" w:eastAsia="宋体" w:hAnsi="Calibri" w:cs="Calibri"/>
          <w:color w:val="000000"/>
          <w:kern w:val="0"/>
          <w:sz w:val="22"/>
          <w:szCs w:val="22"/>
          <w14:ligatures w14:val="none"/>
        </w:rPr>
        <w:t xml:space="preserve"> explores what happens when museum visitors can see information created by other visitors, such as their opinions, emotions, ratings and </w:t>
      </w:r>
      <w:proofErr w:type="spellStart"/>
      <w:r w:rsidRPr="003D1DBC">
        <w:rPr>
          <w:rFonts w:ascii="Calibri" w:eastAsia="宋体" w:hAnsi="Calibri" w:cs="Calibri"/>
          <w:color w:val="000000"/>
          <w:kern w:val="0"/>
          <w:sz w:val="22"/>
          <w:szCs w:val="22"/>
          <w14:ligatures w14:val="none"/>
        </w:rPr>
        <w:t>behaviours</w:t>
      </w:r>
      <w:proofErr w:type="spellEnd"/>
      <w:r w:rsidRPr="003D1DBC">
        <w:rPr>
          <w:rFonts w:ascii="Calibri" w:eastAsia="宋体" w:hAnsi="Calibri" w:cs="Calibri"/>
          <w:color w:val="000000"/>
          <w:kern w:val="0"/>
          <w:sz w:val="22"/>
          <w:szCs w:val="22"/>
          <w14:ligatures w14:val="none"/>
        </w:rPr>
        <w:t>. Instead of receiving only expert information, visitors can compare their own reactions with other people's perspectives. The study found that this could help visitors discover new ways of understanding artworks. Participants also suggested adding social features such as replies, likes and visitor matching.</w:t>
      </w:r>
    </w:p>
    <w:p w14:paraId="15B3ACF6" w14:textId="77777777" w:rsidR="009361D9" w:rsidRPr="003D1DBC" w:rsidRDefault="009361D9" w:rsidP="00237151">
      <w:pPr>
        <w:widowControl/>
        <w:numPr>
          <w:ilvl w:val="0"/>
          <w:numId w:val="3"/>
        </w:numPr>
        <w:spacing w:after="80"/>
        <w:textAlignment w:val="baseline"/>
        <w:outlineLvl w:val="2"/>
        <w:rPr>
          <w:rFonts w:ascii="Calibri" w:eastAsia="宋体" w:hAnsi="Calibri" w:cs="Calibri"/>
          <w:b/>
          <w:bCs/>
          <w:color w:val="434343"/>
          <w:kern w:val="0"/>
          <w:sz w:val="27"/>
          <w:szCs w:val="27"/>
          <w14:ligatures w14:val="none"/>
        </w:rPr>
      </w:pPr>
      <w:r w:rsidRPr="003D1DBC">
        <w:rPr>
          <w:rFonts w:ascii="Calibri" w:eastAsia="宋体" w:hAnsi="Calibri" w:cs="Calibri"/>
          <w:b/>
          <w:bCs/>
          <w:color w:val="666666"/>
          <w:kern w:val="0"/>
          <w:sz w:val="26"/>
          <w:szCs w:val="26"/>
          <w14:ligatures w14:val="none"/>
        </w:rPr>
        <w:t>Gift — Creating a Museum Experience for Someone Else</w:t>
      </w:r>
    </w:p>
    <w:p w14:paraId="28FF1264" w14:textId="77777777" w:rsidR="009361D9" w:rsidRPr="003D1DBC" w:rsidRDefault="009361D9" w:rsidP="00237151">
      <w:pPr>
        <w:widowControl/>
        <w:spacing w:after="240"/>
        <w:ind w:left="72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Gift</w:t>
      </w:r>
      <w:r w:rsidRPr="003D1DBC">
        <w:rPr>
          <w:rFonts w:ascii="Calibri" w:eastAsia="宋体" w:hAnsi="Calibri" w:cs="Calibri"/>
          <w:color w:val="000000"/>
          <w:kern w:val="0"/>
          <w:sz w:val="22"/>
          <w:szCs w:val="22"/>
          <w14:ligatures w14:val="none"/>
        </w:rPr>
        <w:t xml:space="preserve"> is an experimental museum experience where one visitor creates a digital “gift” for another person. They select museum objects and add personal messages, creating a small </w:t>
      </w:r>
      <w:proofErr w:type="spellStart"/>
      <w:r w:rsidRPr="003D1DBC">
        <w:rPr>
          <w:rFonts w:ascii="Calibri" w:eastAsia="宋体" w:hAnsi="Calibri" w:cs="Calibri"/>
          <w:color w:val="000000"/>
          <w:kern w:val="0"/>
          <w:sz w:val="22"/>
          <w:szCs w:val="22"/>
          <w14:ligatures w14:val="none"/>
        </w:rPr>
        <w:t>personalised</w:t>
      </w:r>
      <w:proofErr w:type="spellEnd"/>
      <w:r w:rsidRPr="003D1DBC">
        <w:rPr>
          <w:rFonts w:ascii="Calibri" w:eastAsia="宋体" w:hAnsi="Calibri" w:cs="Calibri"/>
          <w:color w:val="000000"/>
          <w:kern w:val="0"/>
          <w:sz w:val="22"/>
          <w:szCs w:val="22"/>
          <w14:ligatures w14:val="none"/>
        </w:rPr>
        <w:t xml:space="preserve"> museum experience for the receiver. Instead of the museum deciding what information a visitor should receive, another person becomes part of creating the experience. It shows how museum objects can become a way for people to communicate, share perspectives and create personal meaning together.</w:t>
      </w:r>
    </w:p>
    <w:p w14:paraId="5C714292" w14:textId="77777777" w:rsidR="009361D9" w:rsidRPr="003D1DBC" w:rsidRDefault="009361D9" w:rsidP="00237151">
      <w:pPr>
        <w:widowControl/>
        <w:numPr>
          <w:ilvl w:val="0"/>
          <w:numId w:val="4"/>
        </w:numPr>
        <w:spacing w:after="80"/>
        <w:textAlignment w:val="baseline"/>
        <w:outlineLvl w:val="2"/>
        <w:rPr>
          <w:rFonts w:ascii="Calibri" w:eastAsia="宋体" w:hAnsi="Calibri" w:cs="Calibri"/>
          <w:b/>
          <w:bCs/>
          <w:color w:val="434343"/>
          <w:kern w:val="0"/>
          <w:sz w:val="27"/>
          <w:szCs w:val="27"/>
          <w14:ligatures w14:val="none"/>
        </w:rPr>
      </w:pPr>
      <w:r w:rsidRPr="003D1DBC">
        <w:rPr>
          <w:rFonts w:ascii="Calibri" w:eastAsia="宋体" w:hAnsi="Calibri" w:cs="Calibri"/>
          <w:b/>
          <w:bCs/>
          <w:color w:val="666666"/>
          <w:kern w:val="0"/>
          <w:sz w:val="26"/>
          <w:szCs w:val="26"/>
          <w14:ligatures w14:val="none"/>
        </w:rPr>
        <w:t>Never Let Me Go — Remote Social Museum Experience</w:t>
      </w:r>
    </w:p>
    <w:p w14:paraId="0013B662" w14:textId="77777777" w:rsidR="009361D9" w:rsidRPr="003D1DBC" w:rsidRDefault="009361D9" w:rsidP="00237151">
      <w:pPr>
        <w:widowControl/>
        <w:spacing w:after="240"/>
        <w:ind w:left="72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Never Let Me Go</w:t>
      </w:r>
      <w:r w:rsidRPr="003D1DBC">
        <w:rPr>
          <w:rFonts w:ascii="Calibri" w:eastAsia="宋体" w:hAnsi="Calibri" w:cs="Calibri"/>
          <w:color w:val="000000"/>
          <w:kern w:val="0"/>
          <w:sz w:val="22"/>
          <w:szCs w:val="22"/>
          <w14:ligatures w14:val="none"/>
        </w:rPr>
        <w:t xml:space="preserve"> is an experimental museum experience involving two visitors. One becomes an “Avatar” exploring the museum, while the other acts as a “Controller” who sends prompts and influences the Avatar’s experience. This creates an unusual shared visit where another person affects what you notice and how you experience the museum. The research shows that interpersonal interaction can create new perspectives and leave space for visitors to develop their own interpretations.</w:t>
      </w:r>
    </w:p>
    <w:p w14:paraId="0F486AD4" w14:textId="77777777" w:rsidR="009361D9" w:rsidRPr="003D1DBC" w:rsidRDefault="009361D9" w:rsidP="00237151">
      <w:pPr>
        <w:widowControl/>
        <w:numPr>
          <w:ilvl w:val="0"/>
          <w:numId w:val="5"/>
        </w:numPr>
        <w:spacing w:after="80"/>
        <w:textAlignment w:val="baseline"/>
        <w:outlineLvl w:val="2"/>
        <w:rPr>
          <w:rFonts w:ascii="Calibri" w:eastAsia="宋体" w:hAnsi="Calibri" w:cs="Calibri"/>
          <w:b/>
          <w:bCs/>
          <w:color w:val="434343"/>
          <w:kern w:val="0"/>
          <w:sz w:val="27"/>
          <w:szCs w:val="27"/>
          <w14:ligatures w14:val="none"/>
        </w:rPr>
      </w:pPr>
      <w:r w:rsidRPr="003D1DBC">
        <w:rPr>
          <w:rFonts w:ascii="Calibri" w:eastAsia="宋体" w:hAnsi="Calibri" w:cs="Calibri"/>
          <w:b/>
          <w:bCs/>
          <w:color w:val="666666"/>
          <w:kern w:val="0"/>
          <w:sz w:val="26"/>
          <w:szCs w:val="26"/>
          <w14:ligatures w14:val="none"/>
        </w:rPr>
        <w:t>Sotto Voce — Shared Mobile Audio Guide</w:t>
      </w:r>
    </w:p>
    <w:p w14:paraId="6836F459" w14:textId="77777777" w:rsidR="009361D9" w:rsidRPr="003D1DBC" w:rsidRDefault="009361D9" w:rsidP="00237151">
      <w:pPr>
        <w:widowControl/>
        <w:spacing w:after="240"/>
        <w:ind w:left="72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Sotto Voce</w:t>
      </w:r>
      <w:r w:rsidRPr="003D1DBC">
        <w:rPr>
          <w:rFonts w:ascii="Calibri" w:eastAsia="宋体" w:hAnsi="Calibri" w:cs="Calibri"/>
          <w:color w:val="000000"/>
          <w:kern w:val="0"/>
          <w:sz w:val="22"/>
          <w:szCs w:val="22"/>
          <w14:ligatures w14:val="none"/>
        </w:rPr>
        <w:t xml:space="preserve"> explores how museum audio guides can support conversation instead of isolating visitors. Traditional personal audio guides may cause companions to focus on separate experiences. Sotto Voce allows visitors to hear parts of their companion’s audio-guide activity, creating opportunities for conversation around museum objects. It demonstrates that mobile technology does not have to replace social interaction; it can instead provide a shared resource that helps people interact while visiting a museum.</w:t>
      </w:r>
    </w:p>
    <w:p w14:paraId="1F48DDB5" w14:textId="77777777" w:rsidR="009361D9" w:rsidRPr="003D1DBC" w:rsidRDefault="009361D9" w:rsidP="00237151">
      <w:pPr>
        <w:widowControl/>
        <w:numPr>
          <w:ilvl w:val="0"/>
          <w:numId w:val="6"/>
        </w:numPr>
        <w:spacing w:after="80"/>
        <w:textAlignment w:val="baseline"/>
        <w:outlineLvl w:val="2"/>
        <w:rPr>
          <w:rFonts w:ascii="Calibri" w:eastAsia="宋体" w:hAnsi="Calibri" w:cs="Calibri"/>
          <w:b/>
          <w:bCs/>
          <w:color w:val="434343"/>
          <w:kern w:val="0"/>
          <w:sz w:val="27"/>
          <w:szCs w:val="27"/>
          <w14:ligatures w14:val="none"/>
        </w:rPr>
      </w:pPr>
      <w:r w:rsidRPr="003D1DBC">
        <w:rPr>
          <w:rFonts w:ascii="Calibri" w:eastAsia="宋体" w:hAnsi="Calibri" w:cs="Calibri"/>
          <w:b/>
          <w:bCs/>
          <w:color w:val="666666"/>
          <w:kern w:val="0"/>
          <w:sz w:val="26"/>
          <w:szCs w:val="26"/>
          <w14:ligatures w14:val="none"/>
        </w:rPr>
        <w:t>In-Gallery Social Interpretation Platform</w:t>
      </w:r>
    </w:p>
    <w:p w14:paraId="23FB0A0B" w14:textId="3D5066F3" w:rsidR="009361D9" w:rsidRPr="003D1DBC" w:rsidRDefault="009361D9" w:rsidP="00237151">
      <w:pPr>
        <w:widowControl/>
        <w:spacing w:after="240"/>
        <w:ind w:left="720"/>
        <w:rPr>
          <w:rFonts w:ascii="Calibri" w:eastAsia="宋体" w:hAnsi="Calibri" w:cs="Calibri" w:hint="eastAsia"/>
          <w:kern w:val="0"/>
          <w:sz w:val="24"/>
          <w14:ligatures w14:val="none"/>
        </w:rPr>
      </w:pPr>
      <w:r w:rsidRPr="003D1DBC">
        <w:rPr>
          <w:rFonts w:ascii="Calibri" w:eastAsia="宋体" w:hAnsi="Calibri" w:cs="Calibri"/>
          <w:color w:val="000000"/>
          <w:kern w:val="0"/>
          <w:sz w:val="22"/>
          <w:szCs w:val="22"/>
          <w14:ligatures w14:val="none"/>
        </w:rPr>
        <w:t xml:space="preserve">This research explores the requirements for a digital platform where visitors can </w:t>
      </w:r>
      <w:r w:rsidRPr="003D1DBC">
        <w:rPr>
          <w:rFonts w:ascii="Calibri" w:eastAsia="宋体" w:hAnsi="Calibri" w:cs="Calibri"/>
          <w:b/>
          <w:bCs/>
          <w:color w:val="000000"/>
          <w:kern w:val="0"/>
          <w:sz w:val="22"/>
          <w:szCs w:val="22"/>
          <w14:ligatures w14:val="none"/>
        </w:rPr>
        <w:t>share and respond to interpretations inside a gallery</w:t>
      </w:r>
      <w:r w:rsidRPr="003D1DBC">
        <w:rPr>
          <w:rFonts w:ascii="Calibri" w:eastAsia="宋体" w:hAnsi="Calibri" w:cs="Calibri"/>
          <w:color w:val="000000"/>
          <w:kern w:val="0"/>
          <w:sz w:val="22"/>
          <w:szCs w:val="22"/>
          <w14:ligatures w14:val="none"/>
        </w:rPr>
        <w:t xml:space="preserve">. It looks beyond simply giving visitors expert information and considers visitor-generated content as part of the museum experience. Importantly, the research identifies challenges such as moderation, participation, ownership and balancing digital communication with attention to physical exhibits. </w:t>
      </w:r>
      <w:r w:rsidRPr="003D1DBC">
        <w:rPr>
          <w:rFonts w:ascii="Calibri" w:eastAsia="宋体" w:hAnsi="Calibri" w:cs="Calibri"/>
          <w:color w:val="000000"/>
          <w:kern w:val="0"/>
          <w:sz w:val="22"/>
          <w:szCs w:val="22"/>
          <w14:ligatures w14:val="none"/>
        </w:rPr>
        <w:lastRenderedPageBreak/>
        <w:t>This is particularly relevant to our project because it shows that social interpretation is possible but must be carefully designed.</w:t>
      </w:r>
    </w:p>
    <w:tbl>
      <w:tblPr>
        <w:tblW w:w="10064" w:type="dxa"/>
        <w:tblInd w:w="279" w:type="dxa"/>
        <w:tblCellMar>
          <w:top w:w="15" w:type="dxa"/>
          <w:left w:w="15" w:type="dxa"/>
          <w:bottom w:w="15" w:type="dxa"/>
          <w:right w:w="15" w:type="dxa"/>
        </w:tblCellMar>
        <w:tblLook w:val="04A0" w:firstRow="1" w:lastRow="0" w:firstColumn="1" w:lastColumn="0" w:noHBand="0" w:noVBand="1"/>
      </w:tblPr>
      <w:tblGrid>
        <w:gridCol w:w="1501"/>
        <w:gridCol w:w="2184"/>
        <w:gridCol w:w="1843"/>
        <w:gridCol w:w="2126"/>
        <w:gridCol w:w="2410"/>
      </w:tblGrid>
      <w:tr w:rsidR="009361D9" w:rsidRPr="003D1DBC" w14:paraId="11DEF2D8" w14:textId="77777777" w:rsidTr="00237151">
        <w:trPr>
          <w:trHeight w:val="495"/>
        </w:trPr>
        <w:tc>
          <w:tcPr>
            <w:tcW w:w="1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D03C9"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System</w:t>
            </w:r>
          </w:p>
        </w:tc>
        <w:tc>
          <w:tcPr>
            <w:tcW w:w="21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73447"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What it does</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D3DD1"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How people interact</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95358"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What works well</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6F1756"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What we can learn</w:t>
            </w:r>
          </w:p>
        </w:tc>
      </w:tr>
      <w:tr w:rsidR="009361D9" w:rsidRPr="003D1DBC" w14:paraId="07C0BEE9" w14:textId="77777777" w:rsidTr="00237151">
        <w:trPr>
          <w:trHeight w:val="975"/>
        </w:trPr>
        <w:tc>
          <w:tcPr>
            <w:tcW w:w="1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70F94" w14:textId="77777777" w:rsidR="009361D9" w:rsidRPr="003D1DBC" w:rsidRDefault="009361D9" w:rsidP="00237151">
            <w:pPr>
              <w:widowControl/>
              <w:rPr>
                <w:rFonts w:ascii="Calibri" w:eastAsia="宋体" w:hAnsi="Calibri" w:cs="Calibri"/>
                <w:kern w:val="0"/>
                <w:sz w:val="24"/>
                <w14:ligatures w14:val="none"/>
              </w:rPr>
            </w:pPr>
            <w:proofErr w:type="spellStart"/>
            <w:r w:rsidRPr="003D1DBC">
              <w:rPr>
                <w:rFonts w:ascii="Calibri" w:eastAsia="宋体" w:hAnsi="Calibri" w:cs="Calibri"/>
                <w:b/>
                <w:bCs/>
                <w:color w:val="000000"/>
                <w:kern w:val="0"/>
                <w:sz w:val="22"/>
                <w:szCs w:val="22"/>
                <w14:ligatures w14:val="none"/>
              </w:rPr>
              <w:t>ARTeMuse</w:t>
            </w:r>
            <w:proofErr w:type="spellEnd"/>
          </w:p>
          <w:p w14:paraId="5CBD62B3"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(Shaer et al., 2011)</w:t>
            </w:r>
          </w:p>
        </w:tc>
        <w:tc>
          <w:tcPr>
            <w:tcW w:w="21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0673C"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Uses simple questions to help visitors look at art more carefully</w:t>
            </w:r>
          </w:p>
          <w:p w14:paraId="21054C74" w14:textId="2D2156BB" w:rsidR="009361D9" w:rsidRPr="003D1DBC" w:rsidRDefault="009361D9" w:rsidP="00237151">
            <w:pPr>
              <w:widowControl/>
              <w:rPr>
                <w:rFonts w:ascii="Calibri" w:eastAsia="宋体" w:hAnsi="Calibri" w:cs="Calibri"/>
                <w:kern w:val="0"/>
                <w:sz w:val="24"/>
                <w14:ligatures w14:val="none"/>
              </w:rPr>
            </w:pP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2C7F1"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Visitors can discuss their answers with a partner</w:t>
            </w:r>
          </w:p>
          <w:p w14:paraId="79CD6587" w14:textId="55AB0172" w:rsidR="009361D9" w:rsidRPr="003D1DBC" w:rsidRDefault="009361D9" w:rsidP="00237151">
            <w:pPr>
              <w:widowControl/>
              <w:rPr>
                <w:rFonts w:ascii="Calibri" w:eastAsia="宋体" w:hAnsi="Calibri" w:cs="Calibri"/>
                <w:kern w:val="0"/>
                <w:sz w:val="24"/>
                <w14:ligatures w14:val="none"/>
              </w:rPr>
            </w:pP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CEB58"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Helps beginners form their own opinions</w:t>
            </w:r>
          </w:p>
          <w:p w14:paraId="059D8030" w14:textId="1C6359E4" w:rsidR="009361D9" w:rsidRPr="003D1DBC" w:rsidRDefault="009361D9" w:rsidP="00237151">
            <w:pPr>
              <w:widowControl/>
              <w:rPr>
                <w:rFonts w:ascii="Calibri" w:eastAsia="宋体" w:hAnsi="Calibri" w:cs="Calibri"/>
                <w:kern w:val="0"/>
                <w:sz w:val="24"/>
                <w14:ligatures w14:val="none"/>
              </w:rPr>
            </w:pP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B7686"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Use simple prompts, then connect visitors to other people’s views</w:t>
            </w:r>
          </w:p>
          <w:p w14:paraId="180EB84A" w14:textId="2A7C53C0" w:rsidR="009361D9" w:rsidRPr="003D1DBC" w:rsidRDefault="009361D9" w:rsidP="00237151">
            <w:pPr>
              <w:widowControl/>
              <w:rPr>
                <w:rFonts w:ascii="Calibri" w:eastAsia="宋体" w:hAnsi="Calibri" w:cs="Calibri"/>
                <w:kern w:val="0"/>
                <w:sz w:val="24"/>
                <w14:ligatures w14:val="none"/>
              </w:rPr>
            </w:pPr>
          </w:p>
        </w:tc>
      </w:tr>
      <w:tr w:rsidR="009361D9" w:rsidRPr="003D1DBC" w14:paraId="3819A6B3" w14:textId="77777777" w:rsidTr="00237151">
        <w:trPr>
          <w:trHeight w:val="1455"/>
        </w:trPr>
        <w:tc>
          <w:tcPr>
            <w:tcW w:w="1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8A3D3"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VSCI</w:t>
            </w:r>
            <w:r w:rsidRPr="003D1DBC">
              <w:rPr>
                <w:rFonts w:ascii="Calibri" w:eastAsia="宋体" w:hAnsi="Calibri" w:cs="Calibri"/>
                <w:color w:val="000000"/>
                <w:kern w:val="0"/>
                <w:sz w:val="22"/>
                <w:szCs w:val="22"/>
                <w14:ligatures w14:val="none"/>
              </w:rPr>
              <w:t> </w:t>
            </w:r>
          </w:p>
          <w:p w14:paraId="31618B74"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(Yi et al., 2022)</w:t>
            </w:r>
          </w:p>
        </w:tc>
        <w:tc>
          <w:tcPr>
            <w:tcW w:w="21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FA4A8"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Shows visitors other people’s reactions, feelings and opinions</w:t>
            </w:r>
          </w:p>
          <w:p w14:paraId="6CCC6764" w14:textId="7EA5B102" w:rsidR="009361D9" w:rsidRPr="003D1DBC" w:rsidRDefault="009361D9" w:rsidP="00237151">
            <w:pPr>
              <w:widowControl/>
              <w:rPr>
                <w:rFonts w:ascii="Calibri" w:eastAsia="宋体" w:hAnsi="Calibri" w:cs="Calibri"/>
                <w:kern w:val="0"/>
                <w:sz w:val="24"/>
                <w14:ligatures w14:val="none"/>
              </w:rPr>
            </w:pP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76787"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Visitors compare their own ideas with others</w:t>
            </w:r>
          </w:p>
          <w:p w14:paraId="493B9E27" w14:textId="358485C6" w:rsidR="009361D9" w:rsidRPr="003D1DBC" w:rsidRDefault="009361D9" w:rsidP="00237151">
            <w:pPr>
              <w:widowControl/>
              <w:rPr>
                <w:rFonts w:ascii="Calibri" w:eastAsia="宋体" w:hAnsi="Calibri" w:cs="Calibri"/>
                <w:kern w:val="0"/>
                <w:sz w:val="24"/>
                <w14:ligatures w14:val="none"/>
              </w:rPr>
            </w:pP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F1E9B"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Makes different viewpoints </w:t>
            </w:r>
          </w:p>
          <w:p w14:paraId="1DB5CB05"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visible</w:t>
            </w:r>
          </w:p>
          <w:p w14:paraId="623A46D2" w14:textId="380CD3EC" w:rsidR="009361D9" w:rsidRPr="003D1DBC" w:rsidRDefault="009361D9" w:rsidP="00237151">
            <w:pPr>
              <w:widowControl/>
              <w:rPr>
                <w:rFonts w:ascii="Calibri" w:eastAsia="宋体" w:hAnsi="Calibri" w:cs="Calibri"/>
                <w:kern w:val="0"/>
                <w:sz w:val="24"/>
                <w14:ligatures w14:val="none"/>
              </w:rPr>
            </w:pP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BD57B"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Go beyond just showing comments; help visitors reflect or respond</w:t>
            </w:r>
          </w:p>
          <w:p w14:paraId="70F9BECD" w14:textId="5F2ADA27" w:rsidR="009361D9" w:rsidRPr="003D1DBC" w:rsidRDefault="009361D9" w:rsidP="00237151">
            <w:pPr>
              <w:widowControl/>
              <w:rPr>
                <w:rFonts w:ascii="Calibri" w:eastAsia="宋体" w:hAnsi="Calibri" w:cs="Calibri"/>
                <w:kern w:val="0"/>
                <w:sz w:val="24"/>
                <w14:ligatures w14:val="none"/>
              </w:rPr>
            </w:pPr>
          </w:p>
        </w:tc>
      </w:tr>
      <w:tr w:rsidR="009361D9" w:rsidRPr="003D1DBC" w14:paraId="42DBAB32" w14:textId="77777777" w:rsidTr="00237151">
        <w:trPr>
          <w:trHeight w:val="1215"/>
        </w:trPr>
        <w:tc>
          <w:tcPr>
            <w:tcW w:w="1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CEDFA"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Gift / Never Let Me Go</w:t>
            </w:r>
            <w:r w:rsidRPr="003D1DBC">
              <w:rPr>
                <w:rFonts w:ascii="Calibri" w:eastAsia="宋体" w:hAnsi="Calibri" w:cs="Calibri"/>
                <w:color w:val="000000"/>
                <w:kern w:val="0"/>
                <w:sz w:val="22"/>
                <w:szCs w:val="22"/>
                <w14:ligatures w14:val="none"/>
              </w:rPr>
              <w:t xml:space="preserve"> (Ryding et al., 2021)</w:t>
            </w:r>
          </w:p>
        </w:tc>
        <w:tc>
          <w:tcPr>
            <w:tcW w:w="21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E27E91"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One visitor helps shape another person’s museum experience</w:t>
            </w:r>
          </w:p>
          <w:p w14:paraId="1F1E45FD" w14:textId="09FFE6B5" w:rsidR="009361D9" w:rsidRPr="003D1DBC" w:rsidRDefault="009361D9" w:rsidP="00237151">
            <w:pPr>
              <w:widowControl/>
              <w:rPr>
                <w:rFonts w:ascii="Calibri" w:eastAsia="宋体" w:hAnsi="Calibri" w:cs="Calibri"/>
                <w:kern w:val="0"/>
                <w:sz w:val="24"/>
                <w14:ligatures w14:val="none"/>
              </w:rPr>
            </w:pP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BBC79" w14:textId="09FDED64"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Two people influence each other’s visit</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A489E"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Creates personal and meaningful social experiences</w:t>
            </w:r>
          </w:p>
          <w:p w14:paraId="18E0CD5D" w14:textId="4478F082" w:rsidR="009361D9" w:rsidRPr="003D1DBC" w:rsidRDefault="009361D9" w:rsidP="00237151">
            <w:pPr>
              <w:widowControl/>
              <w:rPr>
                <w:rFonts w:ascii="Calibri" w:eastAsia="宋体" w:hAnsi="Calibri" w:cs="Calibri"/>
                <w:kern w:val="0"/>
                <w:sz w:val="24"/>
                <w14:ligatures w14:val="none"/>
              </w:rPr>
            </w:pP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B654AF" w14:textId="4A6118B6"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Explore whether this can also work between people who do not know each other</w:t>
            </w:r>
          </w:p>
        </w:tc>
      </w:tr>
      <w:tr w:rsidR="009361D9" w:rsidRPr="003D1DBC" w14:paraId="218C57D4" w14:textId="77777777" w:rsidTr="00237151">
        <w:trPr>
          <w:trHeight w:val="975"/>
        </w:trPr>
        <w:tc>
          <w:tcPr>
            <w:tcW w:w="1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3840B"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Sotto Voce</w:t>
            </w:r>
          </w:p>
          <w:p w14:paraId="392D5C88"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(Aoki et al., 2002)</w:t>
            </w:r>
          </w:p>
        </w:tc>
        <w:tc>
          <w:tcPr>
            <w:tcW w:w="21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8E849" w14:textId="035E15B3" w:rsidR="009361D9" w:rsidRPr="003D1DBC" w:rsidRDefault="009361D9" w:rsidP="00237151">
            <w:pPr>
              <w:widowControl/>
              <w:rPr>
                <w:rFonts w:ascii="Calibri" w:eastAsia="宋体" w:hAnsi="Calibri" w:cs="Calibri"/>
                <w:kern w:val="0"/>
                <w:sz w:val="24"/>
                <w14:ligatures w14:val="none"/>
              </w:rPr>
            </w:pPr>
            <w:proofErr w:type="spellStart"/>
            <w:proofErr w:type="gramStart"/>
            <w:r w:rsidRPr="003D1DBC">
              <w:rPr>
                <w:rFonts w:ascii="Calibri" w:eastAsia="宋体" w:hAnsi="Calibri" w:cs="Calibri"/>
                <w:color w:val="000000"/>
                <w:kern w:val="0"/>
                <w:sz w:val="22"/>
                <w:szCs w:val="22"/>
                <w14:ligatures w14:val="none"/>
              </w:rPr>
              <w:t>Lets</w:t>
            </w:r>
            <w:proofErr w:type="spellEnd"/>
            <w:proofErr w:type="gramEnd"/>
            <w:r w:rsidRPr="003D1DBC">
              <w:rPr>
                <w:rFonts w:ascii="Calibri" w:eastAsia="宋体" w:hAnsi="Calibri" w:cs="Calibri"/>
                <w:color w:val="000000"/>
                <w:kern w:val="0"/>
                <w:sz w:val="22"/>
                <w:szCs w:val="22"/>
                <w14:ligatures w14:val="none"/>
              </w:rPr>
              <w:t xml:space="preserve"> museum companions share parts of an audio guide</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4C1BC" w14:textId="6C32E62F"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People listen and talk together</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4498B7" w14:textId="5D53A8B8"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Technology supports conversation instead of separating people</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5481D" w14:textId="28701BDA"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Use technology to support discussion around artworks</w:t>
            </w:r>
          </w:p>
        </w:tc>
      </w:tr>
      <w:tr w:rsidR="009361D9" w:rsidRPr="003D1DBC" w14:paraId="6D2BC101" w14:textId="77777777" w:rsidTr="00237151">
        <w:trPr>
          <w:trHeight w:val="1455"/>
        </w:trPr>
        <w:tc>
          <w:tcPr>
            <w:tcW w:w="1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22AF2"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Social Interpretation Platform</w:t>
            </w:r>
            <w:r w:rsidRPr="003D1DBC">
              <w:rPr>
                <w:rFonts w:ascii="Calibri" w:eastAsia="宋体" w:hAnsi="Calibri" w:cs="Calibri"/>
                <w:color w:val="000000"/>
                <w:kern w:val="0"/>
                <w:sz w:val="22"/>
                <w:szCs w:val="22"/>
                <w14:ligatures w14:val="none"/>
              </w:rPr>
              <w:t xml:space="preserve"> (Winter, 2019)</w:t>
            </w:r>
          </w:p>
        </w:tc>
        <w:tc>
          <w:tcPr>
            <w:tcW w:w="21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35895" w14:textId="536529C9" w:rsidR="009361D9" w:rsidRPr="003D1DBC" w:rsidRDefault="009361D9" w:rsidP="00237151">
            <w:pPr>
              <w:widowControl/>
              <w:rPr>
                <w:rFonts w:ascii="Calibri" w:eastAsia="宋体" w:hAnsi="Calibri" w:cs="Calibri"/>
                <w:kern w:val="0"/>
                <w:sz w:val="24"/>
                <w14:ligatures w14:val="none"/>
              </w:rPr>
            </w:pPr>
            <w:proofErr w:type="spellStart"/>
            <w:proofErr w:type="gramStart"/>
            <w:r w:rsidRPr="003D1DBC">
              <w:rPr>
                <w:rFonts w:ascii="Calibri" w:eastAsia="宋体" w:hAnsi="Calibri" w:cs="Calibri"/>
                <w:color w:val="000000"/>
                <w:kern w:val="0"/>
                <w:sz w:val="22"/>
                <w:szCs w:val="22"/>
                <w14:ligatures w14:val="none"/>
              </w:rPr>
              <w:t>Lets</w:t>
            </w:r>
            <w:proofErr w:type="spellEnd"/>
            <w:proofErr w:type="gramEnd"/>
            <w:r w:rsidRPr="003D1DBC">
              <w:rPr>
                <w:rFonts w:ascii="Calibri" w:eastAsia="宋体" w:hAnsi="Calibri" w:cs="Calibri"/>
                <w:color w:val="000000"/>
                <w:kern w:val="0"/>
                <w:sz w:val="22"/>
                <w:szCs w:val="22"/>
                <w14:ligatures w14:val="none"/>
              </w:rPr>
              <w:t xml:space="preserve"> visitors share and respond to their own interpretations</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53D10" w14:textId="2E20703B"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Visitors post and react to ideas</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23FE6" w14:textId="041C27A8"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Gives visitors a voice in the gallery</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E4D64" w14:textId="4F6C204B"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Keep interaction simple so the phone does not take attention away from the artwork</w:t>
            </w:r>
          </w:p>
        </w:tc>
      </w:tr>
    </w:tbl>
    <w:p w14:paraId="0E300304" w14:textId="138F97A8" w:rsidR="009361D9" w:rsidRPr="003D1DBC" w:rsidRDefault="009361D9" w:rsidP="00237151">
      <w:pPr>
        <w:widowControl/>
        <w:rPr>
          <w:rFonts w:ascii="Calibri" w:eastAsia="宋体" w:hAnsi="Calibri" w:cs="Calibri"/>
          <w:kern w:val="0"/>
          <w:sz w:val="24"/>
          <w14:ligatures w14:val="none"/>
        </w:rPr>
      </w:pPr>
    </w:p>
    <w:p w14:paraId="62F078C2" w14:textId="1AD33AAB" w:rsidR="009361D9" w:rsidRPr="003D1DBC" w:rsidRDefault="009361D9" w:rsidP="00237151">
      <w:pPr>
        <w:pStyle w:val="2"/>
        <w:spacing w:before="0"/>
        <w:rPr>
          <w:b/>
          <w:bCs/>
          <w:sz w:val="27"/>
          <w:szCs w:val="27"/>
        </w:rPr>
      </w:pPr>
      <w:r w:rsidRPr="003D1DBC">
        <w:t>6. Stakeholder</w:t>
      </w:r>
    </w:p>
    <w:p w14:paraId="6C270D47" w14:textId="2447B171" w:rsidR="003D1DBC" w:rsidRPr="003D1DBC" w:rsidRDefault="003D1DBC" w:rsidP="00237151">
      <w:pPr>
        <w:pStyle w:val="2"/>
        <w:spacing w:before="0"/>
        <w:rPr>
          <w:rFonts w:ascii="Calibri" w:eastAsia="宋体" w:hAnsi="Calibri" w:cs="Calibri"/>
          <w:b/>
          <w:bCs/>
          <w:color w:val="auto"/>
          <w:kern w:val="0"/>
          <w:sz w:val="36"/>
          <w:szCs w:val="36"/>
          <w14:ligatures w14:val="none"/>
        </w:rPr>
      </w:pPr>
      <w:r w:rsidRPr="003D1DBC">
        <w:rPr>
          <w:rFonts w:ascii="Calibri" w:eastAsia="宋体" w:hAnsi="Calibri" w:cs="Calibri"/>
          <w:b/>
          <w:bCs/>
          <w:color w:val="auto"/>
          <w:kern w:val="0"/>
          <w:sz w:val="36"/>
          <w:szCs w:val="36"/>
          <w14:ligatures w14:val="none"/>
        </w:rPr>
        <w:t>Primary Stakeholders — Gallery Visitors</w:t>
      </w:r>
    </w:p>
    <w:p w14:paraId="1871C1F5" w14:textId="3A9FBB6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Gallery visitors are our main stakeholders because they would directly experience whatever we eventually design.</w:t>
      </w:r>
    </w:p>
    <w:p w14:paraId="5F2A9484" w14:textId="7777777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We are interested in:</w:t>
      </w:r>
    </w:p>
    <w:p w14:paraId="7F9074D9" w14:textId="16CD4EBC" w:rsidR="003D1DBC" w:rsidRPr="003D1DBC" w:rsidRDefault="003D1DBC" w:rsidP="00237151">
      <w:pPr>
        <w:widowControl/>
        <w:numPr>
          <w:ilvl w:val="0"/>
          <w:numId w:val="7"/>
        </w:numPr>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 xml:space="preserve">visitors with limited art knowledge; </w:t>
      </w:r>
    </w:p>
    <w:p w14:paraId="63DFB46C" w14:textId="5D523027" w:rsidR="003D1DBC" w:rsidRPr="003D1DBC" w:rsidRDefault="003D1DBC" w:rsidP="00237151">
      <w:pPr>
        <w:widowControl/>
        <w:numPr>
          <w:ilvl w:val="0"/>
          <w:numId w:val="7"/>
        </w:numPr>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 xml:space="preserve">casual gallery visitors; </w:t>
      </w:r>
    </w:p>
    <w:p w14:paraId="18197C5D" w14:textId="350E284D" w:rsidR="003D1DBC" w:rsidRPr="003D1DBC" w:rsidRDefault="003D1DBC" w:rsidP="00237151">
      <w:pPr>
        <w:widowControl/>
        <w:numPr>
          <w:ilvl w:val="0"/>
          <w:numId w:val="7"/>
        </w:numPr>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 xml:space="preserve">visitors attending alone; </w:t>
      </w:r>
    </w:p>
    <w:p w14:paraId="29F2D1FE" w14:textId="77777777" w:rsidR="003D1DBC" w:rsidRPr="003D1DBC" w:rsidRDefault="003D1DBC" w:rsidP="00237151">
      <w:pPr>
        <w:widowControl/>
        <w:numPr>
          <w:ilvl w:val="0"/>
          <w:numId w:val="7"/>
        </w:numPr>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 xml:space="preserve">visitors attending with friends or companions. </w:t>
      </w:r>
    </w:p>
    <w:p w14:paraId="279B997D" w14:textId="7EEB74F5"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kern w:val="0"/>
          <w:sz w:val="24"/>
          <w14:ligatures w14:val="none"/>
        </w:rPr>
        <w:t xml:space="preserve">We want to understand whether these differences affect </w:t>
      </w:r>
      <w:r w:rsidRPr="003D1DBC">
        <w:rPr>
          <w:rFonts w:ascii="Calibri" w:eastAsia="宋体" w:hAnsi="Calibri" w:cs="Calibri"/>
          <w:b/>
          <w:bCs/>
          <w:kern w:val="0"/>
          <w:sz w:val="24"/>
          <w14:ligatures w14:val="none"/>
        </w:rPr>
        <w:t>interpretation confidence, engagement and interest in other people's perspectives</w:t>
      </w:r>
      <w:r w:rsidRPr="003D1DBC">
        <w:rPr>
          <w:rFonts w:ascii="Calibri" w:eastAsia="宋体" w:hAnsi="Calibri" w:cs="Calibri"/>
          <w:kern w:val="0"/>
          <w:sz w:val="24"/>
          <w14:ligatures w14:val="none"/>
        </w:rPr>
        <w:t>.</w:t>
      </w:r>
    </w:p>
    <w:p w14:paraId="12563E9D" w14:textId="21D1B4E4" w:rsidR="003D1DBC" w:rsidRPr="003D1DBC" w:rsidRDefault="003D1DBC" w:rsidP="00237151">
      <w:pPr>
        <w:widowControl/>
        <w:rPr>
          <w:rFonts w:ascii="Calibri" w:eastAsia="宋体" w:hAnsi="Calibri" w:cs="Calibri"/>
          <w:kern w:val="0"/>
          <w:sz w:val="24"/>
          <w14:ligatures w14:val="none"/>
        </w:rPr>
      </w:pPr>
      <w:r w:rsidRPr="003D1DBC">
        <w:rPr>
          <w:rFonts w:ascii="Calibri" w:eastAsia="宋体" w:hAnsi="Calibri" w:cs="Calibri"/>
          <w:b/>
          <w:bCs/>
          <w:kern w:val="0"/>
          <w:sz w:val="36"/>
          <w:szCs w:val="36"/>
          <w14:ligatures w14:val="none"/>
        </w:rPr>
        <w:lastRenderedPageBreak/>
        <w:t>Secondary Stakeholders</w:t>
      </w:r>
    </w:p>
    <w:p w14:paraId="11ACC948" w14:textId="7777777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b/>
          <w:bCs/>
          <w:kern w:val="0"/>
          <w:sz w:val="24"/>
          <w14:ligatures w14:val="none"/>
        </w:rPr>
        <w:t>Gallery Educators / Learning Staff</w:t>
      </w:r>
      <w:r w:rsidRPr="003D1DBC">
        <w:rPr>
          <w:rFonts w:ascii="Calibri" w:eastAsia="宋体" w:hAnsi="Calibri" w:cs="Calibri"/>
          <w:kern w:val="0"/>
          <w:sz w:val="24"/>
          <w14:ligatures w14:val="none"/>
        </w:rPr>
        <w:br/>
        <w:t>They can help us understand how galleries currently support visitor learning and interpretation.</w:t>
      </w:r>
    </w:p>
    <w:p w14:paraId="59AAFF23" w14:textId="7777777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b/>
          <w:bCs/>
          <w:kern w:val="0"/>
          <w:sz w:val="24"/>
          <w14:ligatures w14:val="none"/>
        </w:rPr>
        <w:t>Visitor Experience / Engagement Staff</w:t>
      </w:r>
      <w:r w:rsidRPr="003D1DBC">
        <w:rPr>
          <w:rFonts w:ascii="Calibri" w:eastAsia="宋体" w:hAnsi="Calibri" w:cs="Calibri"/>
          <w:kern w:val="0"/>
          <w:sz w:val="24"/>
          <w14:ligatures w14:val="none"/>
        </w:rPr>
        <w:br/>
        <w:t xml:space="preserve">They can provide insight into visitor </w:t>
      </w:r>
      <w:proofErr w:type="spellStart"/>
      <w:r w:rsidRPr="003D1DBC">
        <w:rPr>
          <w:rFonts w:ascii="Calibri" w:eastAsia="宋体" w:hAnsi="Calibri" w:cs="Calibri"/>
          <w:kern w:val="0"/>
          <w:sz w:val="24"/>
          <w14:ligatures w14:val="none"/>
        </w:rPr>
        <w:t>behaviour</w:t>
      </w:r>
      <w:proofErr w:type="spellEnd"/>
      <w:r w:rsidRPr="003D1DBC">
        <w:rPr>
          <w:rFonts w:ascii="Calibri" w:eastAsia="宋体" w:hAnsi="Calibri" w:cs="Calibri"/>
          <w:kern w:val="0"/>
          <w:sz w:val="24"/>
          <w14:ligatures w14:val="none"/>
        </w:rPr>
        <w:t>, accessibility and how an interaction could fit into a normal gallery visit.</w:t>
      </w:r>
    </w:p>
    <w:p w14:paraId="099E67AC" w14:textId="7777777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b/>
          <w:bCs/>
          <w:kern w:val="0"/>
          <w:sz w:val="24"/>
          <w14:ligatures w14:val="none"/>
        </w:rPr>
        <w:t>Gallery Guides / Volunteers</w:t>
      </w:r>
      <w:r w:rsidRPr="003D1DBC">
        <w:rPr>
          <w:rFonts w:ascii="Calibri" w:eastAsia="宋体" w:hAnsi="Calibri" w:cs="Calibri"/>
          <w:kern w:val="0"/>
          <w:sz w:val="24"/>
          <w14:ligatures w14:val="none"/>
        </w:rPr>
        <w:br/>
        <w:t xml:space="preserve">They may notice common visitor questions, confusion or </w:t>
      </w:r>
      <w:proofErr w:type="spellStart"/>
      <w:r w:rsidRPr="003D1DBC">
        <w:rPr>
          <w:rFonts w:ascii="Calibri" w:eastAsia="宋体" w:hAnsi="Calibri" w:cs="Calibri"/>
          <w:kern w:val="0"/>
          <w:sz w:val="24"/>
          <w14:ligatures w14:val="none"/>
        </w:rPr>
        <w:t>behaviours</w:t>
      </w:r>
      <w:proofErr w:type="spellEnd"/>
      <w:r w:rsidRPr="003D1DBC">
        <w:rPr>
          <w:rFonts w:ascii="Calibri" w:eastAsia="宋体" w:hAnsi="Calibri" w:cs="Calibri"/>
          <w:kern w:val="0"/>
          <w:sz w:val="24"/>
          <w14:ligatures w14:val="none"/>
        </w:rPr>
        <w:t xml:space="preserve"> that are difficult to identify from literature alone.</w:t>
      </w:r>
    </w:p>
    <w:p w14:paraId="0612C879" w14:textId="7777777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b/>
          <w:bCs/>
          <w:kern w:val="0"/>
          <w:sz w:val="24"/>
          <w14:ligatures w14:val="none"/>
        </w:rPr>
        <w:t>Curators / Interpretation Staff</w:t>
      </w:r>
      <w:r w:rsidRPr="003D1DBC">
        <w:rPr>
          <w:rFonts w:ascii="Calibri" w:eastAsia="宋体" w:hAnsi="Calibri" w:cs="Calibri"/>
          <w:kern w:val="0"/>
          <w:sz w:val="24"/>
          <w14:ligatures w14:val="none"/>
        </w:rPr>
        <w:br/>
        <w:t>They can help us understand how visitor-generated interpretations might exist alongside curatorial information.</w:t>
      </w:r>
    </w:p>
    <w:p w14:paraId="6635BBE3" w14:textId="77777777" w:rsidR="003D1DBC" w:rsidRPr="003D1DBC" w:rsidRDefault="003D1DBC" w:rsidP="00237151">
      <w:pPr>
        <w:widowControl/>
        <w:spacing w:after="100" w:afterAutospacing="1"/>
        <w:rPr>
          <w:rFonts w:ascii="Calibri" w:eastAsia="宋体" w:hAnsi="Calibri" w:cs="Calibri"/>
          <w:kern w:val="0"/>
          <w:sz w:val="24"/>
          <w14:ligatures w14:val="none"/>
        </w:rPr>
      </w:pPr>
      <w:r w:rsidRPr="003D1DBC">
        <w:rPr>
          <w:rFonts w:ascii="Calibri" w:eastAsia="宋体" w:hAnsi="Calibri" w:cs="Calibri"/>
          <w:b/>
          <w:bCs/>
          <w:kern w:val="0"/>
          <w:sz w:val="24"/>
          <w14:ligatures w14:val="none"/>
        </w:rPr>
        <w:t>Digital Experience Staff</w:t>
      </w:r>
      <w:r w:rsidRPr="003D1DBC">
        <w:rPr>
          <w:rFonts w:ascii="Calibri" w:eastAsia="宋体" w:hAnsi="Calibri" w:cs="Calibri"/>
          <w:kern w:val="0"/>
          <w:sz w:val="24"/>
          <w14:ligatures w14:val="none"/>
        </w:rPr>
        <w:br/>
        <w:t>They can help us think about feasibility, accessibility and how digital interaction could work in the physical gallery.</w:t>
      </w:r>
    </w:p>
    <w:p w14:paraId="3E849AA1" w14:textId="3675E009" w:rsidR="009361D9" w:rsidRPr="003D1DBC" w:rsidRDefault="009361D9" w:rsidP="00237151">
      <w:pPr>
        <w:widowControl/>
        <w:ind w:left="360" w:hanging="360"/>
        <w:rPr>
          <w:rFonts w:ascii="Calibri" w:eastAsia="宋体" w:hAnsi="Calibri" w:cs="Calibri"/>
          <w:kern w:val="0"/>
          <w:sz w:val="24"/>
          <w14:ligatures w14:val="none"/>
        </w:rPr>
      </w:pPr>
      <w:r w:rsidRPr="003D1DBC">
        <w:rPr>
          <w:rFonts w:ascii="Calibri" w:eastAsia="宋体" w:hAnsi="Calibri" w:cs="Calibri"/>
          <w:b/>
          <w:bCs/>
          <w:color w:val="000000"/>
          <w:kern w:val="0"/>
          <w:sz w:val="22"/>
          <w:szCs w:val="22"/>
          <w14:ligatures w14:val="none"/>
        </w:rPr>
        <w:t> </w:t>
      </w:r>
    </w:p>
    <w:p w14:paraId="002CD8C6"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Aoki, P. M., Grinter, R. E., Hurst, A., Szymanski, M. H., Thornton, J. D., &amp; Woodruff, A. (2002). </w:t>
      </w:r>
      <w:proofErr w:type="spellStart"/>
      <w:proofErr w:type="gramStart"/>
      <w:r w:rsidRPr="003D1DBC">
        <w:rPr>
          <w:rFonts w:ascii="Calibri" w:eastAsia="宋体" w:hAnsi="Calibri" w:cs="Calibri"/>
          <w:i/>
          <w:iCs/>
          <w:color w:val="000000"/>
          <w:kern w:val="0"/>
          <w:sz w:val="22"/>
          <w:szCs w:val="22"/>
          <w14:ligatures w14:val="none"/>
        </w:rPr>
        <w:t>SottoVoce:Exploring</w:t>
      </w:r>
      <w:proofErr w:type="spellEnd"/>
      <w:proofErr w:type="gramEnd"/>
      <w:r w:rsidRPr="003D1DBC">
        <w:rPr>
          <w:rFonts w:ascii="Calibri" w:eastAsia="宋体" w:hAnsi="Calibri" w:cs="Calibri"/>
          <w:i/>
          <w:iCs/>
          <w:color w:val="000000"/>
          <w:kern w:val="0"/>
          <w:sz w:val="22"/>
          <w:szCs w:val="22"/>
          <w14:ligatures w14:val="none"/>
        </w:rPr>
        <w:t xml:space="preserve"> the Interplay of Conversation and Mobile Audio Spaces</w:t>
      </w:r>
      <w:r w:rsidRPr="003D1DBC">
        <w:rPr>
          <w:rFonts w:ascii="Calibri" w:eastAsia="宋体" w:hAnsi="Calibri" w:cs="Calibri"/>
          <w:color w:val="000000"/>
          <w:kern w:val="0"/>
          <w:sz w:val="22"/>
          <w:szCs w:val="22"/>
          <w14:ligatures w14:val="none"/>
        </w:rPr>
        <w:t>.</w:t>
      </w:r>
    </w:p>
    <w:p w14:paraId="5384E5F1"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Eklund, L. (2020). A Shoe Is a Shoe Is a Shoe: </w:t>
      </w:r>
      <w:proofErr w:type="spellStart"/>
      <w:r w:rsidRPr="003D1DBC">
        <w:rPr>
          <w:rFonts w:ascii="Calibri" w:eastAsia="宋体" w:hAnsi="Calibri" w:cs="Calibri"/>
          <w:color w:val="000000"/>
          <w:kern w:val="0"/>
          <w:sz w:val="22"/>
          <w:szCs w:val="22"/>
          <w14:ligatures w14:val="none"/>
        </w:rPr>
        <w:t>Interpersonalization</w:t>
      </w:r>
      <w:proofErr w:type="spellEnd"/>
      <w:r w:rsidRPr="003D1DBC">
        <w:rPr>
          <w:rFonts w:ascii="Calibri" w:eastAsia="宋体" w:hAnsi="Calibri" w:cs="Calibri"/>
          <w:color w:val="000000"/>
          <w:kern w:val="0"/>
          <w:sz w:val="22"/>
          <w:szCs w:val="22"/>
          <w14:ligatures w14:val="none"/>
        </w:rPr>
        <w:t xml:space="preserve"> and Meaning-making in Museums – Research Findings and Design Implications. </w:t>
      </w:r>
      <w:r w:rsidRPr="003D1DBC">
        <w:rPr>
          <w:rFonts w:ascii="Calibri" w:eastAsia="宋体" w:hAnsi="Calibri" w:cs="Calibri"/>
          <w:i/>
          <w:iCs/>
          <w:color w:val="000000"/>
          <w:kern w:val="0"/>
          <w:sz w:val="22"/>
          <w:szCs w:val="22"/>
          <w14:ligatures w14:val="none"/>
        </w:rPr>
        <w:t>International Journal of Human–Computer Interaction</w:t>
      </w:r>
      <w:r w:rsidRPr="003D1DBC">
        <w:rPr>
          <w:rFonts w:ascii="Calibri" w:eastAsia="宋体" w:hAnsi="Calibri" w:cs="Calibri"/>
          <w:color w:val="000000"/>
          <w:kern w:val="0"/>
          <w:sz w:val="22"/>
          <w:szCs w:val="22"/>
          <w14:ligatures w14:val="none"/>
        </w:rPr>
        <w:t xml:space="preserve">, </w:t>
      </w:r>
      <w:r w:rsidRPr="003D1DBC">
        <w:rPr>
          <w:rFonts w:ascii="Calibri" w:eastAsia="宋体" w:hAnsi="Calibri" w:cs="Calibri"/>
          <w:i/>
          <w:iCs/>
          <w:color w:val="000000"/>
          <w:kern w:val="0"/>
          <w:sz w:val="22"/>
          <w:szCs w:val="22"/>
          <w14:ligatures w14:val="none"/>
        </w:rPr>
        <w:t>36</w:t>
      </w:r>
      <w:r w:rsidRPr="003D1DBC">
        <w:rPr>
          <w:rFonts w:ascii="Calibri" w:eastAsia="宋体" w:hAnsi="Calibri" w:cs="Calibri"/>
          <w:color w:val="000000"/>
          <w:kern w:val="0"/>
          <w:sz w:val="22"/>
          <w:szCs w:val="22"/>
          <w14:ligatures w14:val="none"/>
        </w:rPr>
        <w:t>(16), 1503–1513. https://doi.org/10.1080/10447318.2020.1767982</w:t>
      </w:r>
    </w:p>
    <w:p w14:paraId="2C76295E"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Orit Shaer, Jim Olson, </w:t>
      </w:r>
      <w:proofErr w:type="spellStart"/>
      <w:r w:rsidRPr="003D1DBC">
        <w:rPr>
          <w:rFonts w:ascii="Calibri" w:eastAsia="宋体" w:hAnsi="Calibri" w:cs="Calibri"/>
          <w:color w:val="000000"/>
          <w:kern w:val="0"/>
          <w:sz w:val="22"/>
          <w:szCs w:val="22"/>
          <w14:ligatures w14:val="none"/>
        </w:rPr>
        <w:t>MaCherie</w:t>
      </w:r>
      <w:proofErr w:type="spellEnd"/>
      <w:r w:rsidRPr="003D1DBC">
        <w:rPr>
          <w:rFonts w:ascii="Calibri" w:eastAsia="宋体" w:hAnsi="Calibri" w:cs="Calibri"/>
          <w:color w:val="000000"/>
          <w:kern w:val="0"/>
          <w:sz w:val="22"/>
          <w:szCs w:val="22"/>
          <w14:ligatures w14:val="none"/>
        </w:rPr>
        <w:t xml:space="preserve"> Edwards, &amp; Consuelo Valdes. (2011). </w:t>
      </w:r>
      <w:r w:rsidRPr="003D1DBC">
        <w:rPr>
          <w:rFonts w:ascii="Calibri" w:eastAsia="宋体" w:hAnsi="Calibri" w:cs="Calibri"/>
          <w:i/>
          <w:iCs/>
          <w:color w:val="000000"/>
          <w:kern w:val="0"/>
          <w:sz w:val="22"/>
          <w:szCs w:val="22"/>
          <w14:ligatures w14:val="none"/>
        </w:rPr>
        <w:t>Art App-</w:t>
      </w:r>
      <w:proofErr w:type="spellStart"/>
      <w:r w:rsidRPr="003D1DBC">
        <w:rPr>
          <w:rFonts w:ascii="Calibri" w:eastAsia="宋体" w:hAnsi="Calibri" w:cs="Calibri"/>
          <w:i/>
          <w:iCs/>
          <w:color w:val="000000"/>
          <w:kern w:val="0"/>
          <w:sz w:val="22"/>
          <w:szCs w:val="22"/>
          <w14:ligatures w14:val="none"/>
        </w:rPr>
        <w:t>reciation</w:t>
      </w:r>
      <w:proofErr w:type="spellEnd"/>
      <w:r w:rsidRPr="003D1DBC">
        <w:rPr>
          <w:rFonts w:ascii="Calibri" w:eastAsia="宋体" w:hAnsi="Calibri" w:cs="Calibri"/>
          <w:i/>
          <w:iCs/>
          <w:color w:val="000000"/>
          <w:kern w:val="0"/>
          <w:sz w:val="22"/>
          <w:szCs w:val="22"/>
          <w14:ligatures w14:val="none"/>
        </w:rPr>
        <w:t>: Fostering Engagement and Reflection in Museums through a Social-Mobile</w:t>
      </w:r>
      <w:r w:rsidRPr="003D1DBC">
        <w:rPr>
          <w:rFonts w:ascii="Calibri" w:eastAsia="宋体" w:hAnsi="Calibri" w:cs="Calibri"/>
          <w:color w:val="000000"/>
          <w:kern w:val="0"/>
          <w:sz w:val="22"/>
          <w:szCs w:val="22"/>
          <w14:ligatures w14:val="none"/>
        </w:rPr>
        <w:t>. Museums and the Web. https://www.museumsandtheweb.com/mw2011/papers/art_app_reciation_fostering_engagement_and_ref.html</w:t>
      </w:r>
    </w:p>
    <w:p w14:paraId="4C1DC2B4"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Ryding, K., Spence, J., Løvlie, A. S., &amp; Benford, S. (2021). </w:t>
      </w:r>
      <w:proofErr w:type="spellStart"/>
      <w:r w:rsidRPr="003D1DBC">
        <w:rPr>
          <w:rFonts w:ascii="Calibri" w:eastAsia="宋体" w:hAnsi="Calibri" w:cs="Calibri"/>
          <w:color w:val="000000"/>
          <w:kern w:val="0"/>
          <w:sz w:val="22"/>
          <w:szCs w:val="22"/>
          <w14:ligatures w14:val="none"/>
        </w:rPr>
        <w:t>Interpersonalizing</w:t>
      </w:r>
      <w:proofErr w:type="spellEnd"/>
      <w:r w:rsidRPr="003D1DBC">
        <w:rPr>
          <w:rFonts w:ascii="Calibri" w:eastAsia="宋体" w:hAnsi="Calibri" w:cs="Calibri"/>
          <w:color w:val="000000"/>
          <w:kern w:val="0"/>
          <w:sz w:val="22"/>
          <w:szCs w:val="22"/>
          <w14:ligatures w14:val="none"/>
        </w:rPr>
        <w:t xml:space="preserve"> Intimate Museum Experiences. </w:t>
      </w:r>
      <w:r w:rsidRPr="003D1DBC">
        <w:rPr>
          <w:rFonts w:ascii="Calibri" w:eastAsia="宋体" w:hAnsi="Calibri" w:cs="Calibri"/>
          <w:i/>
          <w:iCs/>
          <w:color w:val="000000"/>
          <w:kern w:val="0"/>
          <w:sz w:val="22"/>
          <w:szCs w:val="22"/>
          <w14:ligatures w14:val="none"/>
        </w:rPr>
        <w:t>International Journal of Human–Computer Interaction</w:t>
      </w:r>
      <w:r w:rsidRPr="003D1DBC">
        <w:rPr>
          <w:rFonts w:ascii="Calibri" w:eastAsia="宋体" w:hAnsi="Calibri" w:cs="Calibri"/>
          <w:color w:val="000000"/>
          <w:kern w:val="0"/>
          <w:sz w:val="22"/>
          <w:szCs w:val="22"/>
          <w14:ligatures w14:val="none"/>
        </w:rPr>
        <w:t xml:space="preserve">, </w:t>
      </w:r>
      <w:r w:rsidRPr="003D1DBC">
        <w:rPr>
          <w:rFonts w:ascii="Calibri" w:eastAsia="宋体" w:hAnsi="Calibri" w:cs="Calibri"/>
          <w:i/>
          <w:iCs/>
          <w:color w:val="000000"/>
          <w:kern w:val="0"/>
          <w:sz w:val="22"/>
          <w:szCs w:val="22"/>
          <w14:ligatures w14:val="none"/>
        </w:rPr>
        <w:t>37</w:t>
      </w:r>
      <w:r w:rsidRPr="003D1DBC">
        <w:rPr>
          <w:rFonts w:ascii="Calibri" w:eastAsia="宋体" w:hAnsi="Calibri" w:cs="Calibri"/>
          <w:color w:val="000000"/>
          <w:kern w:val="0"/>
          <w:sz w:val="22"/>
          <w:szCs w:val="22"/>
          <w14:ligatures w14:val="none"/>
        </w:rPr>
        <w:t>(12), 1151–1172. https://doi.org/10.1080/10447318.2020.1870829</w:t>
      </w:r>
    </w:p>
    <w:p w14:paraId="2CC35F24"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Stanković </w:t>
      </w:r>
      <w:proofErr w:type="spellStart"/>
      <w:r w:rsidRPr="003D1DBC">
        <w:rPr>
          <w:rFonts w:ascii="Calibri" w:eastAsia="宋体" w:hAnsi="Calibri" w:cs="Calibri"/>
          <w:color w:val="000000"/>
          <w:kern w:val="0"/>
          <w:sz w:val="22"/>
          <w:szCs w:val="22"/>
          <w14:ligatures w14:val="none"/>
        </w:rPr>
        <w:t>Elesini</w:t>
      </w:r>
      <w:proofErr w:type="spellEnd"/>
      <w:r w:rsidRPr="003D1DBC">
        <w:rPr>
          <w:rFonts w:ascii="Calibri" w:eastAsia="宋体" w:hAnsi="Calibri" w:cs="Calibri"/>
          <w:color w:val="000000"/>
          <w:kern w:val="0"/>
          <w:sz w:val="22"/>
          <w:szCs w:val="22"/>
          <w14:ligatures w14:val="none"/>
        </w:rPr>
        <w:t xml:space="preserve">, U., Miha, H., Kristan, D., Korošec, A., Protić, E., </w:t>
      </w:r>
      <w:proofErr w:type="spellStart"/>
      <w:r w:rsidRPr="003D1DBC">
        <w:rPr>
          <w:rFonts w:ascii="Calibri" w:eastAsia="宋体" w:hAnsi="Calibri" w:cs="Calibri"/>
          <w:color w:val="000000"/>
          <w:kern w:val="0"/>
          <w:sz w:val="22"/>
          <w:szCs w:val="22"/>
          <w14:ligatures w14:val="none"/>
        </w:rPr>
        <w:t>Učakar</w:t>
      </w:r>
      <w:proofErr w:type="spellEnd"/>
      <w:r w:rsidRPr="003D1DBC">
        <w:rPr>
          <w:rFonts w:ascii="Calibri" w:eastAsia="宋体" w:hAnsi="Calibri" w:cs="Calibri"/>
          <w:color w:val="000000"/>
          <w:kern w:val="0"/>
          <w:sz w:val="22"/>
          <w:szCs w:val="22"/>
          <w14:ligatures w14:val="none"/>
        </w:rPr>
        <w:t xml:space="preserve">, A., </w:t>
      </w:r>
      <w:proofErr w:type="spellStart"/>
      <w:r w:rsidRPr="003D1DBC">
        <w:rPr>
          <w:rFonts w:ascii="Calibri" w:eastAsia="宋体" w:hAnsi="Calibri" w:cs="Calibri"/>
          <w:color w:val="000000"/>
          <w:kern w:val="0"/>
          <w:sz w:val="22"/>
          <w:szCs w:val="22"/>
          <w14:ligatures w14:val="none"/>
        </w:rPr>
        <w:t>Vrabič</w:t>
      </w:r>
      <w:proofErr w:type="spellEnd"/>
      <w:r w:rsidRPr="003D1DBC">
        <w:rPr>
          <w:rFonts w:ascii="Calibri" w:eastAsia="宋体" w:hAnsi="Calibri" w:cs="Calibri"/>
          <w:color w:val="000000"/>
          <w:kern w:val="0"/>
          <w:sz w:val="22"/>
          <w:szCs w:val="22"/>
          <w14:ligatures w14:val="none"/>
        </w:rPr>
        <w:t xml:space="preserve"> Brodnjak, U., &amp; </w:t>
      </w:r>
      <w:proofErr w:type="spellStart"/>
      <w:r w:rsidRPr="003D1DBC">
        <w:rPr>
          <w:rFonts w:ascii="Calibri" w:eastAsia="宋体" w:hAnsi="Calibri" w:cs="Calibri"/>
          <w:color w:val="000000"/>
          <w:kern w:val="0"/>
          <w:sz w:val="22"/>
          <w:szCs w:val="22"/>
          <w14:ligatures w14:val="none"/>
        </w:rPr>
        <w:t>Rugelj</w:t>
      </w:r>
      <w:proofErr w:type="spellEnd"/>
      <w:r w:rsidRPr="003D1DBC">
        <w:rPr>
          <w:rFonts w:ascii="Calibri" w:eastAsia="宋体" w:hAnsi="Calibri" w:cs="Calibri"/>
          <w:color w:val="000000"/>
          <w:kern w:val="0"/>
          <w:sz w:val="22"/>
          <w:szCs w:val="22"/>
          <w14:ligatures w14:val="none"/>
        </w:rPr>
        <w:t xml:space="preserve">, J. (2022). Mobile Serious Game for Enhancing User Experience in Museum. </w:t>
      </w:r>
      <w:r w:rsidRPr="003D1DBC">
        <w:rPr>
          <w:rFonts w:ascii="Calibri" w:eastAsia="宋体" w:hAnsi="Calibri" w:cs="Calibri"/>
          <w:i/>
          <w:iCs/>
          <w:color w:val="000000"/>
          <w:kern w:val="0"/>
          <w:sz w:val="22"/>
          <w:szCs w:val="22"/>
          <w14:ligatures w14:val="none"/>
        </w:rPr>
        <w:t>Journal on Computing and Cultural Heritage</w:t>
      </w:r>
      <w:r w:rsidRPr="003D1DBC">
        <w:rPr>
          <w:rFonts w:ascii="Calibri" w:eastAsia="宋体" w:hAnsi="Calibri" w:cs="Calibri"/>
          <w:color w:val="000000"/>
          <w:kern w:val="0"/>
          <w:sz w:val="22"/>
          <w:szCs w:val="22"/>
          <w14:ligatures w14:val="none"/>
        </w:rPr>
        <w:t xml:space="preserve">, </w:t>
      </w:r>
      <w:r w:rsidRPr="003D1DBC">
        <w:rPr>
          <w:rFonts w:ascii="Calibri" w:eastAsia="宋体" w:hAnsi="Calibri" w:cs="Calibri"/>
          <w:i/>
          <w:iCs/>
          <w:color w:val="000000"/>
          <w:kern w:val="0"/>
          <w:sz w:val="22"/>
          <w:szCs w:val="22"/>
          <w14:ligatures w14:val="none"/>
        </w:rPr>
        <w:t>16</w:t>
      </w:r>
      <w:r w:rsidRPr="003D1DBC">
        <w:rPr>
          <w:rFonts w:ascii="Calibri" w:eastAsia="宋体" w:hAnsi="Calibri" w:cs="Calibri"/>
          <w:color w:val="000000"/>
          <w:kern w:val="0"/>
          <w:sz w:val="22"/>
          <w:szCs w:val="22"/>
          <w14:ligatures w14:val="none"/>
        </w:rPr>
        <w:t>(1), 1–26. https://doi.org/10.1145/3569088</w:t>
      </w:r>
    </w:p>
    <w:p w14:paraId="5E25A332"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Sung, Y.-T., Chang, K.-E., Hou, H.-T., &amp; Chen, P.-F. (2010). Designing an electronic guidebook for learning engagement in a museum of history. </w:t>
      </w:r>
      <w:r w:rsidRPr="003D1DBC">
        <w:rPr>
          <w:rFonts w:ascii="Calibri" w:eastAsia="宋体" w:hAnsi="Calibri" w:cs="Calibri"/>
          <w:i/>
          <w:iCs/>
          <w:color w:val="000000"/>
          <w:kern w:val="0"/>
          <w:sz w:val="22"/>
          <w:szCs w:val="22"/>
          <w14:ligatures w14:val="none"/>
        </w:rPr>
        <w:t>Computers in Human Behavior</w:t>
      </w:r>
      <w:r w:rsidRPr="003D1DBC">
        <w:rPr>
          <w:rFonts w:ascii="Calibri" w:eastAsia="宋体" w:hAnsi="Calibri" w:cs="Calibri"/>
          <w:color w:val="000000"/>
          <w:kern w:val="0"/>
          <w:sz w:val="22"/>
          <w:szCs w:val="22"/>
          <w14:ligatures w14:val="none"/>
        </w:rPr>
        <w:t xml:space="preserve">, </w:t>
      </w:r>
      <w:r w:rsidRPr="003D1DBC">
        <w:rPr>
          <w:rFonts w:ascii="Calibri" w:eastAsia="宋体" w:hAnsi="Calibri" w:cs="Calibri"/>
          <w:i/>
          <w:iCs/>
          <w:color w:val="000000"/>
          <w:kern w:val="0"/>
          <w:sz w:val="22"/>
          <w:szCs w:val="22"/>
          <w14:ligatures w14:val="none"/>
        </w:rPr>
        <w:t>26</w:t>
      </w:r>
      <w:r w:rsidRPr="003D1DBC">
        <w:rPr>
          <w:rFonts w:ascii="Calibri" w:eastAsia="宋体" w:hAnsi="Calibri" w:cs="Calibri"/>
          <w:color w:val="000000"/>
          <w:kern w:val="0"/>
          <w:sz w:val="22"/>
          <w:szCs w:val="22"/>
          <w14:ligatures w14:val="none"/>
        </w:rPr>
        <w:t>(1), 74–83. https://doi.org/10.1016/j.chb.2009.08.004</w:t>
      </w:r>
    </w:p>
    <w:p w14:paraId="64F29B11"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Winter, M. (2019). Requirements for an In-gallery Social Interpretation Platform: A Museum Perspective: </w:t>
      </w:r>
      <w:r w:rsidRPr="003D1DBC">
        <w:rPr>
          <w:rFonts w:ascii="Calibri" w:eastAsia="宋体" w:hAnsi="Calibri" w:cs="Calibri"/>
          <w:i/>
          <w:iCs/>
          <w:color w:val="000000"/>
          <w:kern w:val="0"/>
          <w:sz w:val="22"/>
          <w:szCs w:val="22"/>
          <w14:ligatures w14:val="none"/>
        </w:rPr>
        <w:t>Proceedings of the 3rd International Conference on Computer-Human Interaction Research and Applications</w:t>
      </w:r>
      <w:r w:rsidRPr="003D1DBC">
        <w:rPr>
          <w:rFonts w:ascii="Calibri" w:eastAsia="宋体" w:hAnsi="Calibri" w:cs="Calibri"/>
          <w:color w:val="000000"/>
          <w:kern w:val="0"/>
          <w:sz w:val="22"/>
          <w:szCs w:val="22"/>
          <w14:ligatures w14:val="none"/>
        </w:rPr>
        <w:t>, 66–77. https://doi.org/10.5220/0008354400660077</w:t>
      </w:r>
    </w:p>
    <w:p w14:paraId="4A33B637" w14:textId="77777777" w:rsidR="009361D9" w:rsidRPr="003D1DBC" w:rsidRDefault="009361D9" w:rsidP="00237151">
      <w:pPr>
        <w:widowControl/>
        <w:rPr>
          <w:rFonts w:ascii="Calibri" w:eastAsia="宋体" w:hAnsi="Calibri" w:cs="Calibri"/>
          <w:kern w:val="0"/>
          <w:sz w:val="24"/>
          <w14:ligatures w14:val="none"/>
        </w:rPr>
      </w:pPr>
      <w:r w:rsidRPr="003D1DBC">
        <w:rPr>
          <w:rFonts w:ascii="Calibri" w:eastAsia="宋体" w:hAnsi="Calibri" w:cs="Calibri"/>
          <w:color w:val="000000"/>
          <w:kern w:val="0"/>
          <w:sz w:val="22"/>
          <w:szCs w:val="22"/>
          <w14:ligatures w14:val="none"/>
        </w:rPr>
        <w:t xml:space="preserve">Yi, T., Lee, H., Yum, J., &amp; Lee, J.-H. (2022). The influence of visitor-based social contextual information on visitors’ museum experience. </w:t>
      </w:r>
      <w:r w:rsidRPr="003D1DBC">
        <w:rPr>
          <w:rFonts w:ascii="Calibri" w:eastAsia="宋体" w:hAnsi="Calibri" w:cs="Calibri"/>
          <w:i/>
          <w:iCs/>
          <w:color w:val="000000"/>
          <w:kern w:val="0"/>
          <w:sz w:val="22"/>
          <w:szCs w:val="22"/>
          <w14:ligatures w14:val="none"/>
        </w:rPr>
        <w:t>PLOS ONE</w:t>
      </w:r>
      <w:r w:rsidRPr="003D1DBC">
        <w:rPr>
          <w:rFonts w:ascii="Calibri" w:eastAsia="宋体" w:hAnsi="Calibri" w:cs="Calibri"/>
          <w:color w:val="000000"/>
          <w:kern w:val="0"/>
          <w:sz w:val="22"/>
          <w:szCs w:val="22"/>
          <w14:ligatures w14:val="none"/>
        </w:rPr>
        <w:t xml:space="preserve">, </w:t>
      </w:r>
      <w:r w:rsidRPr="003D1DBC">
        <w:rPr>
          <w:rFonts w:ascii="Calibri" w:eastAsia="宋体" w:hAnsi="Calibri" w:cs="Calibri"/>
          <w:i/>
          <w:iCs/>
          <w:color w:val="000000"/>
          <w:kern w:val="0"/>
          <w:sz w:val="22"/>
          <w:szCs w:val="22"/>
          <w14:ligatures w14:val="none"/>
        </w:rPr>
        <w:t>17</w:t>
      </w:r>
      <w:r w:rsidRPr="003D1DBC">
        <w:rPr>
          <w:rFonts w:ascii="Calibri" w:eastAsia="宋体" w:hAnsi="Calibri" w:cs="Calibri"/>
          <w:color w:val="000000"/>
          <w:kern w:val="0"/>
          <w:sz w:val="22"/>
          <w:szCs w:val="22"/>
          <w14:ligatures w14:val="none"/>
        </w:rPr>
        <w:t>(5), e0266856. https://doi.org/10.1371/journal.pone.0266856</w:t>
      </w:r>
    </w:p>
    <w:p w14:paraId="3CE22A0E" w14:textId="77777777" w:rsidR="009361D9" w:rsidRPr="003D1DBC" w:rsidRDefault="009361D9" w:rsidP="00237151">
      <w:pPr>
        <w:widowControl/>
        <w:rPr>
          <w:rFonts w:ascii="Calibri" w:eastAsia="宋体" w:hAnsi="Calibri" w:cs="Calibri"/>
          <w:kern w:val="0"/>
          <w:sz w:val="24"/>
          <w14:ligatures w14:val="none"/>
        </w:rPr>
      </w:pPr>
    </w:p>
    <w:p w14:paraId="38D5E13A" w14:textId="77777777" w:rsidR="00A841E1" w:rsidRPr="003D1DBC" w:rsidRDefault="00A841E1" w:rsidP="00237151">
      <w:pPr>
        <w:rPr>
          <w:rFonts w:ascii="Calibri" w:hAnsi="Calibri" w:cs="Calibri"/>
        </w:rPr>
      </w:pPr>
    </w:p>
    <w:sectPr w:rsidR="00A841E1" w:rsidRPr="003D1DBC" w:rsidSect="00237151">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A52AB7"/>
    <w:multiLevelType w:val="hybridMultilevel"/>
    <w:tmpl w:val="F93AD6D2"/>
    <w:lvl w:ilvl="0" w:tplc="CD48BEE4">
      <w:start w:val="6"/>
      <w:numFmt w:val="lowerLetter"/>
      <w:lvlText w:val="%1."/>
      <w:lvlJc w:val="left"/>
      <w:pPr>
        <w:tabs>
          <w:tab w:val="num" w:pos="720"/>
        </w:tabs>
        <w:ind w:left="720" w:hanging="360"/>
      </w:pPr>
    </w:lvl>
    <w:lvl w:ilvl="1" w:tplc="C7080C98" w:tentative="1">
      <w:start w:val="1"/>
      <w:numFmt w:val="decimal"/>
      <w:lvlText w:val="%2."/>
      <w:lvlJc w:val="left"/>
      <w:pPr>
        <w:tabs>
          <w:tab w:val="num" w:pos="1440"/>
        </w:tabs>
        <w:ind w:left="1440" w:hanging="360"/>
      </w:pPr>
    </w:lvl>
    <w:lvl w:ilvl="2" w:tplc="6E8A3FDA" w:tentative="1">
      <w:start w:val="1"/>
      <w:numFmt w:val="decimal"/>
      <w:lvlText w:val="%3."/>
      <w:lvlJc w:val="left"/>
      <w:pPr>
        <w:tabs>
          <w:tab w:val="num" w:pos="2160"/>
        </w:tabs>
        <w:ind w:left="2160" w:hanging="360"/>
      </w:pPr>
    </w:lvl>
    <w:lvl w:ilvl="3" w:tplc="E2E026D0" w:tentative="1">
      <w:start w:val="1"/>
      <w:numFmt w:val="decimal"/>
      <w:lvlText w:val="%4."/>
      <w:lvlJc w:val="left"/>
      <w:pPr>
        <w:tabs>
          <w:tab w:val="num" w:pos="2880"/>
        </w:tabs>
        <w:ind w:left="2880" w:hanging="360"/>
      </w:pPr>
    </w:lvl>
    <w:lvl w:ilvl="4" w:tplc="8688A19A" w:tentative="1">
      <w:start w:val="1"/>
      <w:numFmt w:val="decimal"/>
      <w:lvlText w:val="%5."/>
      <w:lvlJc w:val="left"/>
      <w:pPr>
        <w:tabs>
          <w:tab w:val="num" w:pos="3600"/>
        </w:tabs>
        <w:ind w:left="3600" w:hanging="360"/>
      </w:pPr>
    </w:lvl>
    <w:lvl w:ilvl="5" w:tplc="363881A4" w:tentative="1">
      <w:start w:val="1"/>
      <w:numFmt w:val="decimal"/>
      <w:lvlText w:val="%6."/>
      <w:lvlJc w:val="left"/>
      <w:pPr>
        <w:tabs>
          <w:tab w:val="num" w:pos="4320"/>
        </w:tabs>
        <w:ind w:left="4320" w:hanging="360"/>
      </w:pPr>
    </w:lvl>
    <w:lvl w:ilvl="6" w:tplc="F7727F04" w:tentative="1">
      <w:start w:val="1"/>
      <w:numFmt w:val="decimal"/>
      <w:lvlText w:val="%7."/>
      <w:lvlJc w:val="left"/>
      <w:pPr>
        <w:tabs>
          <w:tab w:val="num" w:pos="5040"/>
        </w:tabs>
        <w:ind w:left="5040" w:hanging="360"/>
      </w:pPr>
    </w:lvl>
    <w:lvl w:ilvl="7" w:tplc="573E661E" w:tentative="1">
      <w:start w:val="1"/>
      <w:numFmt w:val="decimal"/>
      <w:lvlText w:val="%8."/>
      <w:lvlJc w:val="left"/>
      <w:pPr>
        <w:tabs>
          <w:tab w:val="num" w:pos="5760"/>
        </w:tabs>
        <w:ind w:left="5760" w:hanging="360"/>
      </w:pPr>
    </w:lvl>
    <w:lvl w:ilvl="8" w:tplc="011876AA" w:tentative="1">
      <w:start w:val="1"/>
      <w:numFmt w:val="decimal"/>
      <w:lvlText w:val="%9."/>
      <w:lvlJc w:val="left"/>
      <w:pPr>
        <w:tabs>
          <w:tab w:val="num" w:pos="6480"/>
        </w:tabs>
        <w:ind w:left="6480" w:hanging="360"/>
      </w:pPr>
    </w:lvl>
  </w:abstractNum>
  <w:abstractNum w:abstractNumId="1" w15:restartNumberingAfterBreak="0">
    <w:nsid w:val="25CA713B"/>
    <w:multiLevelType w:val="hybridMultilevel"/>
    <w:tmpl w:val="5AE694D0"/>
    <w:lvl w:ilvl="0" w:tplc="72C68232">
      <w:start w:val="4"/>
      <w:numFmt w:val="lowerLetter"/>
      <w:lvlText w:val="%1."/>
      <w:lvlJc w:val="left"/>
      <w:pPr>
        <w:tabs>
          <w:tab w:val="num" w:pos="720"/>
        </w:tabs>
        <w:ind w:left="720" w:hanging="360"/>
      </w:pPr>
    </w:lvl>
    <w:lvl w:ilvl="1" w:tplc="36CEF866" w:tentative="1">
      <w:start w:val="1"/>
      <w:numFmt w:val="decimal"/>
      <w:lvlText w:val="%2."/>
      <w:lvlJc w:val="left"/>
      <w:pPr>
        <w:tabs>
          <w:tab w:val="num" w:pos="1440"/>
        </w:tabs>
        <w:ind w:left="1440" w:hanging="360"/>
      </w:pPr>
    </w:lvl>
    <w:lvl w:ilvl="2" w:tplc="E8602ABA" w:tentative="1">
      <w:start w:val="1"/>
      <w:numFmt w:val="decimal"/>
      <w:lvlText w:val="%3."/>
      <w:lvlJc w:val="left"/>
      <w:pPr>
        <w:tabs>
          <w:tab w:val="num" w:pos="2160"/>
        </w:tabs>
        <w:ind w:left="2160" w:hanging="360"/>
      </w:pPr>
    </w:lvl>
    <w:lvl w:ilvl="3" w:tplc="AE78B58A" w:tentative="1">
      <w:start w:val="1"/>
      <w:numFmt w:val="decimal"/>
      <w:lvlText w:val="%4."/>
      <w:lvlJc w:val="left"/>
      <w:pPr>
        <w:tabs>
          <w:tab w:val="num" w:pos="2880"/>
        </w:tabs>
        <w:ind w:left="2880" w:hanging="360"/>
      </w:pPr>
    </w:lvl>
    <w:lvl w:ilvl="4" w:tplc="0940329E" w:tentative="1">
      <w:start w:val="1"/>
      <w:numFmt w:val="decimal"/>
      <w:lvlText w:val="%5."/>
      <w:lvlJc w:val="left"/>
      <w:pPr>
        <w:tabs>
          <w:tab w:val="num" w:pos="3600"/>
        </w:tabs>
        <w:ind w:left="3600" w:hanging="360"/>
      </w:pPr>
    </w:lvl>
    <w:lvl w:ilvl="5" w:tplc="42D08FAA" w:tentative="1">
      <w:start w:val="1"/>
      <w:numFmt w:val="decimal"/>
      <w:lvlText w:val="%6."/>
      <w:lvlJc w:val="left"/>
      <w:pPr>
        <w:tabs>
          <w:tab w:val="num" w:pos="4320"/>
        </w:tabs>
        <w:ind w:left="4320" w:hanging="360"/>
      </w:pPr>
    </w:lvl>
    <w:lvl w:ilvl="6" w:tplc="EFA638DA" w:tentative="1">
      <w:start w:val="1"/>
      <w:numFmt w:val="decimal"/>
      <w:lvlText w:val="%7."/>
      <w:lvlJc w:val="left"/>
      <w:pPr>
        <w:tabs>
          <w:tab w:val="num" w:pos="5040"/>
        </w:tabs>
        <w:ind w:left="5040" w:hanging="360"/>
      </w:pPr>
    </w:lvl>
    <w:lvl w:ilvl="7" w:tplc="61021BBE" w:tentative="1">
      <w:start w:val="1"/>
      <w:numFmt w:val="decimal"/>
      <w:lvlText w:val="%8."/>
      <w:lvlJc w:val="left"/>
      <w:pPr>
        <w:tabs>
          <w:tab w:val="num" w:pos="5760"/>
        </w:tabs>
        <w:ind w:left="5760" w:hanging="360"/>
      </w:pPr>
    </w:lvl>
    <w:lvl w:ilvl="8" w:tplc="A928F486" w:tentative="1">
      <w:start w:val="1"/>
      <w:numFmt w:val="decimal"/>
      <w:lvlText w:val="%9."/>
      <w:lvlJc w:val="left"/>
      <w:pPr>
        <w:tabs>
          <w:tab w:val="num" w:pos="6480"/>
        </w:tabs>
        <w:ind w:left="6480" w:hanging="360"/>
      </w:pPr>
    </w:lvl>
  </w:abstractNum>
  <w:abstractNum w:abstractNumId="2" w15:restartNumberingAfterBreak="0">
    <w:nsid w:val="3F0442D9"/>
    <w:multiLevelType w:val="multilevel"/>
    <w:tmpl w:val="961E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693D0E"/>
    <w:multiLevelType w:val="hybridMultilevel"/>
    <w:tmpl w:val="02364EBC"/>
    <w:lvl w:ilvl="0" w:tplc="08FCEB6E">
      <w:start w:val="2"/>
      <w:numFmt w:val="lowerLetter"/>
      <w:lvlText w:val="%1."/>
      <w:lvlJc w:val="left"/>
      <w:pPr>
        <w:tabs>
          <w:tab w:val="num" w:pos="720"/>
        </w:tabs>
        <w:ind w:left="720" w:hanging="360"/>
      </w:pPr>
    </w:lvl>
    <w:lvl w:ilvl="1" w:tplc="87AAEF7E" w:tentative="1">
      <w:start w:val="1"/>
      <w:numFmt w:val="decimal"/>
      <w:lvlText w:val="%2."/>
      <w:lvlJc w:val="left"/>
      <w:pPr>
        <w:tabs>
          <w:tab w:val="num" w:pos="1440"/>
        </w:tabs>
        <w:ind w:left="1440" w:hanging="360"/>
      </w:pPr>
    </w:lvl>
    <w:lvl w:ilvl="2" w:tplc="69EE637A" w:tentative="1">
      <w:start w:val="1"/>
      <w:numFmt w:val="decimal"/>
      <w:lvlText w:val="%3."/>
      <w:lvlJc w:val="left"/>
      <w:pPr>
        <w:tabs>
          <w:tab w:val="num" w:pos="2160"/>
        </w:tabs>
        <w:ind w:left="2160" w:hanging="360"/>
      </w:pPr>
    </w:lvl>
    <w:lvl w:ilvl="3" w:tplc="AFFAA7F0" w:tentative="1">
      <w:start w:val="1"/>
      <w:numFmt w:val="decimal"/>
      <w:lvlText w:val="%4."/>
      <w:lvlJc w:val="left"/>
      <w:pPr>
        <w:tabs>
          <w:tab w:val="num" w:pos="2880"/>
        </w:tabs>
        <w:ind w:left="2880" w:hanging="360"/>
      </w:pPr>
    </w:lvl>
    <w:lvl w:ilvl="4" w:tplc="16AAC57C" w:tentative="1">
      <w:start w:val="1"/>
      <w:numFmt w:val="decimal"/>
      <w:lvlText w:val="%5."/>
      <w:lvlJc w:val="left"/>
      <w:pPr>
        <w:tabs>
          <w:tab w:val="num" w:pos="3600"/>
        </w:tabs>
        <w:ind w:left="3600" w:hanging="360"/>
      </w:pPr>
    </w:lvl>
    <w:lvl w:ilvl="5" w:tplc="C474477E" w:tentative="1">
      <w:start w:val="1"/>
      <w:numFmt w:val="decimal"/>
      <w:lvlText w:val="%6."/>
      <w:lvlJc w:val="left"/>
      <w:pPr>
        <w:tabs>
          <w:tab w:val="num" w:pos="4320"/>
        </w:tabs>
        <w:ind w:left="4320" w:hanging="360"/>
      </w:pPr>
    </w:lvl>
    <w:lvl w:ilvl="6" w:tplc="058AB79A" w:tentative="1">
      <w:start w:val="1"/>
      <w:numFmt w:val="decimal"/>
      <w:lvlText w:val="%7."/>
      <w:lvlJc w:val="left"/>
      <w:pPr>
        <w:tabs>
          <w:tab w:val="num" w:pos="5040"/>
        </w:tabs>
        <w:ind w:left="5040" w:hanging="360"/>
      </w:pPr>
    </w:lvl>
    <w:lvl w:ilvl="7" w:tplc="33C6875C" w:tentative="1">
      <w:start w:val="1"/>
      <w:numFmt w:val="decimal"/>
      <w:lvlText w:val="%8."/>
      <w:lvlJc w:val="left"/>
      <w:pPr>
        <w:tabs>
          <w:tab w:val="num" w:pos="5760"/>
        </w:tabs>
        <w:ind w:left="5760" w:hanging="360"/>
      </w:pPr>
    </w:lvl>
    <w:lvl w:ilvl="8" w:tplc="7326DAA8" w:tentative="1">
      <w:start w:val="1"/>
      <w:numFmt w:val="decimal"/>
      <w:lvlText w:val="%9."/>
      <w:lvlJc w:val="left"/>
      <w:pPr>
        <w:tabs>
          <w:tab w:val="num" w:pos="6480"/>
        </w:tabs>
        <w:ind w:left="6480" w:hanging="360"/>
      </w:pPr>
    </w:lvl>
  </w:abstractNum>
  <w:abstractNum w:abstractNumId="4" w15:restartNumberingAfterBreak="0">
    <w:nsid w:val="4AAD1CCB"/>
    <w:multiLevelType w:val="hybridMultilevel"/>
    <w:tmpl w:val="88DCE89A"/>
    <w:lvl w:ilvl="0" w:tplc="0426710C">
      <w:start w:val="5"/>
      <w:numFmt w:val="lowerLetter"/>
      <w:lvlText w:val="%1."/>
      <w:lvlJc w:val="left"/>
      <w:pPr>
        <w:tabs>
          <w:tab w:val="num" w:pos="720"/>
        </w:tabs>
        <w:ind w:left="720" w:hanging="360"/>
      </w:pPr>
    </w:lvl>
    <w:lvl w:ilvl="1" w:tplc="3D8A494C" w:tentative="1">
      <w:start w:val="1"/>
      <w:numFmt w:val="decimal"/>
      <w:lvlText w:val="%2."/>
      <w:lvlJc w:val="left"/>
      <w:pPr>
        <w:tabs>
          <w:tab w:val="num" w:pos="1440"/>
        </w:tabs>
        <w:ind w:left="1440" w:hanging="360"/>
      </w:pPr>
    </w:lvl>
    <w:lvl w:ilvl="2" w:tplc="5C8E2E52" w:tentative="1">
      <w:start w:val="1"/>
      <w:numFmt w:val="decimal"/>
      <w:lvlText w:val="%3."/>
      <w:lvlJc w:val="left"/>
      <w:pPr>
        <w:tabs>
          <w:tab w:val="num" w:pos="2160"/>
        </w:tabs>
        <w:ind w:left="2160" w:hanging="360"/>
      </w:pPr>
    </w:lvl>
    <w:lvl w:ilvl="3" w:tplc="4FF86264" w:tentative="1">
      <w:start w:val="1"/>
      <w:numFmt w:val="decimal"/>
      <w:lvlText w:val="%4."/>
      <w:lvlJc w:val="left"/>
      <w:pPr>
        <w:tabs>
          <w:tab w:val="num" w:pos="2880"/>
        </w:tabs>
        <w:ind w:left="2880" w:hanging="360"/>
      </w:pPr>
    </w:lvl>
    <w:lvl w:ilvl="4" w:tplc="EFA29F12" w:tentative="1">
      <w:start w:val="1"/>
      <w:numFmt w:val="decimal"/>
      <w:lvlText w:val="%5."/>
      <w:lvlJc w:val="left"/>
      <w:pPr>
        <w:tabs>
          <w:tab w:val="num" w:pos="3600"/>
        </w:tabs>
        <w:ind w:left="3600" w:hanging="360"/>
      </w:pPr>
    </w:lvl>
    <w:lvl w:ilvl="5" w:tplc="0B64658A" w:tentative="1">
      <w:start w:val="1"/>
      <w:numFmt w:val="decimal"/>
      <w:lvlText w:val="%6."/>
      <w:lvlJc w:val="left"/>
      <w:pPr>
        <w:tabs>
          <w:tab w:val="num" w:pos="4320"/>
        </w:tabs>
        <w:ind w:left="4320" w:hanging="360"/>
      </w:pPr>
    </w:lvl>
    <w:lvl w:ilvl="6" w:tplc="ECD66D96" w:tentative="1">
      <w:start w:val="1"/>
      <w:numFmt w:val="decimal"/>
      <w:lvlText w:val="%7."/>
      <w:lvlJc w:val="left"/>
      <w:pPr>
        <w:tabs>
          <w:tab w:val="num" w:pos="5040"/>
        </w:tabs>
        <w:ind w:left="5040" w:hanging="360"/>
      </w:pPr>
    </w:lvl>
    <w:lvl w:ilvl="7" w:tplc="8E885ACE" w:tentative="1">
      <w:start w:val="1"/>
      <w:numFmt w:val="decimal"/>
      <w:lvlText w:val="%8."/>
      <w:lvlJc w:val="left"/>
      <w:pPr>
        <w:tabs>
          <w:tab w:val="num" w:pos="5760"/>
        </w:tabs>
        <w:ind w:left="5760" w:hanging="360"/>
      </w:pPr>
    </w:lvl>
    <w:lvl w:ilvl="8" w:tplc="E67A690E" w:tentative="1">
      <w:start w:val="1"/>
      <w:numFmt w:val="decimal"/>
      <w:lvlText w:val="%9."/>
      <w:lvlJc w:val="left"/>
      <w:pPr>
        <w:tabs>
          <w:tab w:val="num" w:pos="6480"/>
        </w:tabs>
        <w:ind w:left="6480" w:hanging="360"/>
      </w:pPr>
    </w:lvl>
  </w:abstractNum>
  <w:abstractNum w:abstractNumId="5" w15:restartNumberingAfterBreak="0">
    <w:nsid w:val="51FD260B"/>
    <w:multiLevelType w:val="hybridMultilevel"/>
    <w:tmpl w:val="66900B34"/>
    <w:lvl w:ilvl="0" w:tplc="30EAFF5A">
      <w:start w:val="3"/>
      <w:numFmt w:val="lowerLetter"/>
      <w:lvlText w:val="%1."/>
      <w:lvlJc w:val="left"/>
      <w:pPr>
        <w:tabs>
          <w:tab w:val="num" w:pos="720"/>
        </w:tabs>
        <w:ind w:left="720" w:hanging="360"/>
      </w:pPr>
    </w:lvl>
    <w:lvl w:ilvl="1" w:tplc="A6BACE30" w:tentative="1">
      <w:start w:val="1"/>
      <w:numFmt w:val="decimal"/>
      <w:lvlText w:val="%2."/>
      <w:lvlJc w:val="left"/>
      <w:pPr>
        <w:tabs>
          <w:tab w:val="num" w:pos="1440"/>
        </w:tabs>
        <w:ind w:left="1440" w:hanging="360"/>
      </w:pPr>
    </w:lvl>
    <w:lvl w:ilvl="2" w:tplc="BAB2C766" w:tentative="1">
      <w:start w:val="1"/>
      <w:numFmt w:val="decimal"/>
      <w:lvlText w:val="%3."/>
      <w:lvlJc w:val="left"/>
      <w:pPr>
        <w:tabs>
          <w:tab w:val="num" w:pos="2160"/>
        </w:tabs>
        <w:ind w:left="2160" w:hanging="360"/>
      </w:pPr>
    </w:lvl>
    <w:lvl w:ilvl="3" w:tplc="382A0274" w:tentative="1">
      <w:start w:val="1"/>
      <w:numFmt w:val="decimal"/>
      <w:lvlText w:val="%4."/>
      <w:lvlJc w:val="left"/>
      <w:pPr>
        <w:tabs>
          <w:tab w:val="num" w:pos="2880"/>
        </w:tabs>
        <w:ind w:left="2880" w:hanging="360"/>
      </w:pPr>
    </w:lvl>
    <w:lvl w:ilvl="4" w:tplc="91669BE8" w:tentative="1">
      <w:start w:val="1"/>
      <w:numFmt w:val="decimal"/>
      <w:lvlText w:val="%5."/>
      <w:lvlJc w:val="left"/>
      <w:pPr>
        <w:tabs>
          <w:tab w:val="num" w:pos="3600"/>
        </w:tabs>
        <w:ind w:left="3600" w:hanging="360"/>
      </w:pPr>
    </w:lvl>
    <w:lvl w:ilvl="5" w:tplc="850CC10A" w:tentative="1">
      <w:start w:val="1"/>
      <w:numFmt w:val="decimal"/>
      <w:lvlText w:val="%6."/>
      <w:lvlJc w:val="left"/>
      <w:pPr>
        <w:tabs>
          <w:tab w:val="num" w:pos="4320"/>
        </w:tabs>
        <w:ind w:left="4320" w:hanging="360"/>
      </w:pPr>
    </w:lvl>
    <w:lvl w:ilvl="6" w:tplc="1D443C96" w:tentative="1">
      <w:start w:val="1"/>
      <w:numFmt w:val="decimal"/>
      <w:lvlText w:val="%7."/>
      <w:lvlJc w:val="left"/>
      <w:pPr>
        <w:tabs>
          <w:tab w:val="num" w:pos="5040"/>
        </w:tabs>
        <w:ind w:left="5040" w:hanging="360"/>
      </w:pPr>
    </w:lvl>
    <w:lvl w:ilvl="7" w:tplc="C0E25074" w:tentative="1">
      <w:start w:val="1"/>
      <w:numFmt w:val="decimal"/>
      <w:lvlText w:val="%8."/>
      <w:lvlJc w:val="left"/>
      <w:pPr>
        <w:tabs>
          <w:tab w:val="num" w:pos="5760"/>
        </w:tabs>
        <w:ind w:left="5760" w:hanging="360"/>
      </w:pPr>
    </w:lvl>
    <w:lvl w:ilvl="8" w:tplc="D98A37C4" w:tentative="1">
      <w:start w:val="1"/>
      <w:numFmt w:val="decimal"/>
      <w:lvlText w:val="%9."/>
      <w:lvlJc w:val="left"/>
      <w:pPr>
        <w:tabs>
          <w:tab w:val="num" w:pos="6480"/>
        </w:tabs>
        <w:ind w:left="6480" w:hanging="360"/>
      </w:pPr>
    </w:lvl>
  </w:abstractNum>
  <w:abstractNum w:abstractNumId="6" w15:restartNumberingAfterBreak="0">
    <w:nsid w:val="5F0F03A1"/>
    <w:multiLevelType w:val="multilevel"/>
    <w:tmpl w:val="BD4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906569">
    <w:abstractNumId w:val="2"/>
    <w:lvlOverride w:ilvl="0">
      <w:lvl w:ilvl="0">
        <w:numFmt w:val="lowerLetter"/>
        <w:lvlText w:val="%1."/>
        <w:lvlJc w:val="left"/>
      </w:lvl>
    </w:lvlOverride>
  </w:num>
  <w:num w:numId="2" w16cid:durableId="293676403">
    <w:abstractNumId w:val="3"/>
  </w:num>
  <w:num w:numId="3" w16cid:durableId="1362394504">
    <w:abstractNumId w:val="5"/>
  </w:num>
  <w:num w:numId="4" w16cid:durableId="1004895940">
    <w:abstractNumId w:val="1"/>
  </w:num>
  <w:num w:numId="5" w16cid:durableId="1255166760">
    <w:abstractNumId w:val="4"/>
  </w:num>
  <w:num w:numId="6" w16cid:durableId="1813138926">
    <w:abstractNumId w:val="0"/>
  </w:num>
  <w:num w:numId="7" w16cid:durableId="8226933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D9"/>
    <w:rsid w:val="001F7155"/>
    <w:rsid w:val="00237151"/>
    <w:rsid w:val="003D1DBC"/>
    <w:rsid w:val="006667C0"/>
    <w:rsid w:val="009361D9"/>
    <w:rsid w:val="00A841E1"/>
    <w:rsid w:val="00C640FD"/>
    <w:rsid w:val="00E52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51CA"/>
  <w15:chartTrackingRefBased/>
  <w15:docId w15:val="{B62D9FD4-0151-FB49-8713-7886CA71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61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361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361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9361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61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361D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61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61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61D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1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361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361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9361D9"/>
    <w:rPr>
      <w:rFonts w:cstheme="majorBidi"/>
      <w:color w:val="2F5496" w:themeColor="accent1" w:themeShade="BF"/>
      <w:sz w:val="28"/>
      <w:szCs w:val="28"/>
    </w:rPr>
  </w:style>
  <w:style w:type="character" w:customStyle="1" w:styleId="50">
    <w:name w:val="标题 5 字符"/>
    <w:basedOn w:val="a0"/>
    <w:link w:val="5"/>
    <w:uiPriority w:val="9"/>
    <w:semiHidden/>
    <w:rsid w:val="009361D9"/>
    <w:rPr>
      <w:rFonts w:cstheme="majorBidi"/>
      <w:color w:val="2F5496" w:themeColor="accent1" w:themeShade="BF"/>
      <w:sz w:val="24"/>
    </w:rPr>
  </w:style>
  <w:style w:type="character" w:customStyle="1" w:styleId="60">
    <w:name w:val="标题 6 字符"/>
    <w:basedOn w:val="a0"/>
    <w:link w:val="6"/>
    <w:uiPriority w:val="9"/>
    <w:semiHidden/>
    <w:rsid w:val="009361D9"/>
    <w:rPr>
      <w:rFonts w:cstheme="majorBidi"/>
      <w:b/>
      <w:bCs/>
      <w:color w:val="2F5496" w:themeColor="accent1" w:themeShade="BF"/>
    </w:rPr>
  </w:style>
  <w:style w:type="character" w:customStyle="1" w:styleId="70">
    <w:name w:val="标题 7 字符"/>
    <w:basedOn w:val="a0"/>
    <w:link w:val="7"/>
    <w:uiPriority w:val="9"/>
    <w:semiHidden/>
    <w:rsid w:val="009361D9"/>
    <w:rPr>
      <w:rFonts w:cstheme="majorBidi"/>
      <w:b/>
      <w:bCs/>
      <w:color w:val="595959" w:themeColor="text1" w:themeTint="A6"/>
    </w:rPr>
  </w:style>
  <w:style w:type="character" w:customStyle="1" w:styleId="80">
    <w:name w:val="标题 8 字符"/>
    <w:basedOn w:val="a0"/>
    <w:link w:val="8"/>
    <w:uiPriority w:val="9"/>
    <w:semiHidden/>
    <w:rsid w:val="009361D9"/>
    <w:rPr>
      <w:rFonts w:cstheme="majorBidi"/>
      <w:color w:val="595959" w:themeColor="text1" w:themeTint="A6"/>
    </w:rPr>
  </w:style>
  <w:style w:type="character" w:customStyle="1" w:styleId="90">
    <w:name w:val="标题 9 字符"/>
    <w:basedOn w:val="a0"/>
    <w:link w:val="9"/>
    <w:uiPriority w:val="9"/>
    <w:semiHidden/>
    <w:rsid w:val="009361D9"/>
    <w:rPr>
      <w:rFonts w:eastAsiaTheme="majorEastAsia" w:cstheme="majorBidi"/>
      <w:color w:val="595959" w:themeColor="text1" w:themeTint="A6"/>
    </w:rPr>
  </w:style>
  <w:style w:type="paragraph" w:styleId="a3">
    <w:name w:val="Title"/>
    <w:basedOn w:val="a"/>
    <w:next w:val="a"/>
    <w:link w:val="a4"/>
    <w:uiPriority w:val="10"/>
    <w:qFormat/>
    <w:rsid w:val="009361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61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1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61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61D9"/>
    <w:pPr>
      <w:spacing w:before="160" w:after="160"/>
      <w:jc w:val="center"/>
    </w:pPr>
    <w:rPr>
      <w:i/>
      <w:iCs/>
      <w:color w:val="404040" w:themeColor="text1" w:themeTint="BF"/>
    </w:rPr>
  </w:style>
  <w:style w:type="character" w:customStyle="1" w:styleId="a8">
    <w:name w:val="引用 字符"/>
    <w:basedOn w:val="a0"/>
    <w:link w:val="a7"/>
    <w:uiPriority w:val="29"/>
    <w:rsid w:val="009361D9"/>
    <w:rPr>
      <w:i/>
      <w:iCs/>
      <w:color w:val="404040" w:themeColor="text1" w:themeTint="BF"/>
    </w:rPr>
  </w:style>
  <w:style w:type="paragraph" w:styleId="a9">
    <w:name w:val="List Paragraph"/>
    <w:basedOn w:val="a"/>
    <w:uiPriority w:val="34"/>
    <w:qFormat/>
    <w:rsid w:val="009361D9"/>
    <w:pPr>
      <w:ind w:left="720"/>
      <w:contextualSpacing/>
    </w:pPr>
  </w:style>
  <w:style w:type="character" w:styleId="aa">
    <w:name w:val="Intense Emphasis"/>
    <w:basedOn w:val="a0"/>
    <w:uiPriority w:val="21"/>
    <w:qFormat/>
    <w:rsid w:val="009361D9"/>
    <w:rPr>
      <w:i/>
      <w:iCs/>
      <w:color w:val="2F5496" w:themeColor="accent1" w:themeShade="BF"/>
    </w:rPr>
  </w:style>
  <w:style w:type="paragraph" w:styleId="ab">
    <w:name w:val="Intense Quote"/>
    <w:basedOn w:val="a"/>
    <w:next w:val="a"/>
    <w:link w:val="ac"/>
    <w:uiPriority w:val="30"/>
    <w:qFormat/>
    <w:rsid w:val="00936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61D9"/>
    <w:rPr>
      <w:i/>
      <w:iCs/>
      <w:color w:val="2F5496" w:themeColor="accent1" w:themeShade="BF"/>
    </w:rPr>
  </w:style>
  <w:style w:type="character" w:styleId="ad">
    <w:name w:val="Intense Reference"/>
    <w:basedOn w:val="a0"/>
    <w:uiPriority w:val="32"/>
    <w:qFormat/>
    <w:rsid w:val="009361D9"/>
    <w:rPr>
      <w:b/>
      <w:bCs/>
      <w:smallCaps/>
      <w:color w:val="2F5496" w:themeColor="accent1" w:themeShade="BF"/>
      <w:spacing w:val="5"/>
    </w:rPr>
  </w:style>
  <w:style w:type="paragraph" w:styleId="ae">
    <w:name w:val="Normal (Web)"/>
    <w:basedOn w:val="a"/>
    <w:uiPriority w:val="99"/>
    <w:semiHidden/>
    <w:unhideWhenUsed/>
    <w:rsid w:val="009361D9"/>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semiHidden/>
    <w:unhideWhenUsed/>
    <w:rsid w:val="009361D9"/>
    <w:rPr>
      <w:color w:val="0000FF"/>
      <w:u w:val="single"/>
    </w:rPr>
  </w:style>
  <w:style w:type="character" w:customStyle="1" w:styleId="apple-tab-span">
    <w:name w:val="apple-tab-span"/>
    <w:basedOn w:val="a0"/>
    <w:rsid w:val="009361D9"/>
  </w:style>
  <w:style w:type="character" w:styleId="af0">
    <w:name w:val="Strong"/>
    <w:basedOn w:val="a0"/>
    <w:uiPriority w:val="22"/>
    <w:qFormat/>
    <w:rsid w:val="003D1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seumsandtheweb.com/mw2011/papers/art_app_reciation_fostering_engagement_and_ref.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2311</Words>
  <Characters>13175</Characters>
  <Application>Microsoft Office Word</Application>
  <DocSecurity>0</DocSecurity>
  <Lines>109</Lines>
  <Paragraphs>30</Paragraphs>
  <ScaleCrop>false</ScaleCrop>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Yining Zhu</dc:creator>
  <cp:keywords/>
  <dc:description/>
  <cp:lastModifiedBy>Yining Zhu</cp:lastModifiedBy>
  <cp:revision>4</cp:revision>
  <dcterms:created xsi:type="dcterms:W3CDTF">2026-09-01T10:01:00Z</dcterms:created>
  <dcterms:modified xsi:type="dcterms:W3CDTF">2026-09-05T06:11:00Z</dcterms:modified>
</cp:coreProperties>
</file>