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300"/>
      </w:pPr>
      <w:r>
        <w:rPr>
          <w:rFonts w:ascii="Georgia" w:cs="Georgia" w:eastAsia="Georgia" w:hAnsi="Georgia"/>
          <w:b/>
          <w:bCs/>
          <w:color w:val="1A1814"/>
          <w:sz w:val="28"/>
          <w:szCs w:val="28"/>
        </w:rPr>
        <w:t xml:space="preserve">CURANT PERSONAS — JOB-SPECIFIC SKILLS &amp; VERIFIED TOOLS</w:t>
      </w:r>
    </w:p>
    <w:p>
      <w:pPr>
        <w:spacing w:after="240"/>
      </w:pPr>
      <w:r>
        <w:rPr>
          <w:rFonts w:ascii="Calibri" w:cs="Calibri" w:eastAsia="Calibri" w:hAnsi="Calibri"/>
          <w:i/>
          <w:iCs/>
          <w:color w:val="6B6459"/>
          <w:sz w:val="18"/>
          <w:szCs w:val="18"/>
        </w:rPr>
        <w:t xml:space="preserve">Every persona now carries real job/field specialization on top of its personality basis — concrete skills and actual current software tools, verified via direct research, not guessed at.</w:t>
      </w:r>
    </w:p>
    <w:p>
      <w:pPr>
        <w:pStyle w:val="Heading1"/>
        <w:pBdr>
          <w:bottom w:val="single" w:color="8A6D4F" w:sz="6" w:space="4"/>
        </w:pBdr>
        <w:spacing w:after="140" w:before="380"/>
      </w:pPr>
      <w:r>
        <w:rPr>
          <w:rFonts w:ascii="Georgia" w:cs="Georgia" w:eastAsia="Georgia" w:hAnsi="Georgia"/>
          <w:b/>
          <w:bCs/>
          <w:color w:val="1A1814"/>
          <w:sz w:val="28"/>
          <w:szCs w:val="28"/>
        </w:rPr>
        <w:t xml:space="preserve">How each persona got assigned a field</w:t>
      </w:r>
    </w:p>
    <w:p>
      <w:pPr>
        <w:spacing w:after="140" w:line="290"/>
      </w:pPr>
      <w:r>
        <w:rPr>
          <w:rFonts w:ascii="Calibri" w:cs="Calibri" w:eastAsia="Calibri" w:hAnsi="Calibri"/>
          <w:color w:val="1A1814"/>
          <w:sz w:val="19"/>
          <w:szCs w:val="19"/>
        </w:rPr>
        <w:t xml:space="preserve">Each general-purpose persona's existing personality lean (see the earlier psychology redesign) pointed naturally toward a real professional domain — Grace's structured, decisive ESTJ lean toward executive operations; Miles's precise, reserved ISTJ lean toward legal/finance; Leo's steady, even-keeled nature toward healthcare administration. Curant, the default persona, deliberately stays generalist with no field specialization — confirmed directly in code that no job-specific tool names appear in Curant's system prompt, the same way the psychology redesign kept Curant intentionally unspecialized in tone.</w:t>
      </w:r>
    </w:p>
    <w:p>
      <w:pPr>
        <w:spacing w:after="140" w:line="290"/>
      </w:pPr>
      <w:r>
        <w:rPr>
          <w:rFonts w:ascii="Calibri" w:cs="Calibri" w:eastAsia="Calibri" w:hAnsi="Calibri"/>
          <w:color w:val="1A1814"/>
          <w:sz w:val="19"/>
          <w:szCs w:val="19"/>
        </w:rPr>
        <w:t xml:space="preserve">Every tool named below was verified through direct research — current market position, real feature differences (e.g. Linear's speed vs. Jira's depth), not assumed from general knowledge alone.</w:t>
      </w:r>
    </w:p>
    <w:p>
      <w:pPr>
        <w:spacing w:after="60" w:before="240"/>
      </w:pPr>
      <w:r>
        <w:rPr>
          <w:rFonts w:ascii="Georgia" w:cs="Georgia" w:eastAsia="Georgia" w:hAnsi="Georgia"/>
          <w:b/>
          <w:bCs/>
          <w:color w:val="1A1814"/>
          <w:sz w:val="22"/>
          <w:szCs w:val="22"/>
        </w:rPr>
        <w:t xml:space="preserve">GRACE — ESTJ-leaning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8A6D4F"/>
          <w:sz w:val="18"/>
          <w:szCs w:val="18"/>
        </w:rPr>
        <w:t xml:space="preserve">Executive &amp; Business Operations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0"/>
        <w:gridCol w:w="4800"/>
      </w:tblGrid>
      <w:tr>
        <w:tc>
          <w:tcPr>
            <w:tcW w:type="dxa" w:w="4700"/>
            <w:shd w:fill="F3EF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A1814"/>
                <w:sz w:val="16"/>
                <w:szCs w:val="16"/>
              </w:rPr>
              <w:t xml:space="preserve">Job-specific skills</w:t>
            </w:r>
          </w:p>
        </w:tc>
        <w:tc>
          <w:tcPr>
            <w:tcW w:type="dxa" w:w="4800"/>
            <w:shd w:fill="F3EF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A1814"/>
                <w:sz w:val="16"/>
                <w:szCs w:val="16"/>
              </w:rPr>
              <w:t xml:space="preserve">Verified real tools</w:t>
            </w:r>
          </w:p>
        </w:tc>
      </w:tr>
      <w:tr>
        <w:tc>
          <w:tcPr>
            <w:tcW w:type="dxa" w:w="4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814"/>
                <w:sz w:val="16"/>
                <w:szCs w:val="16"/>
              </w:rPr>
              <w:t xml:space="preserve">Board meeting agenda drafting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814"/>
                <w:sz w:val="16"/>
                <w:szCs w:val="16"/>
              </w:rPr>
              <w:t xml:space="preserve">Investor update drafts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814"/>
                <w:sz w:val="16"/>
                <w:szCs w:val="16"/>
              </w:rPr>
              <w:t xml:space="preserve">KPI dashboard summaries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814"/>
                <w:sz w:val="16"/>
                <w:szCs w:val="16"/>
              </w:rPr>
              <w:t xml:space="preserve">Multi-time-zone travel coordination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814"/>
                <w:sz w:val="16"/>
                <w:szCs w:val="16"/>
              </w:rPr>
              <w:t xml:space="preserve">Expense reconciliation guidance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814"/>
                <w:sz w:val="16"/>
                <w:szCs w:val="16"/>
              </w:rPr>
              <w:t xml:space="preserve">Protecting an executive's focus time across a chaotic calendar</w:t>
            </w:r>
          </w:p>
        </w:tc>
        <w:tc>
          <w:tcPr>
            <w:tcW w:type="dxa" w:w="4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814"/>
                <w:sz w:val="16"/>
                <w:szCs w:val="16"/>
              </w:rPr>
              <w:t xml:space="preserve">Calendly / Reclaim.ai (scheduling)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814"/>
                <w:sz w:val="16"/>
                <w:szCs w:val="16"/>
              </w:rPr>
              <w:t xml:space="preserve">Salesforce, HubSpot, Attio (CRM)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814"/>
                <w:sz w:val="16"/>
                <w:szCs w:val="16"/>
              </w:rPr>
              <w:t xml:space="preserve">Expensify, QuickBooks, Ramp (expenses)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814"/>
                <w:sz w:val="16"/>
                <w:szCs w:val="16"/>
              </w:rPr>
              <w:t xml:space="preserve">Zoom, Microsoft Teams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814"/>
                <w:sz w:val="16"/>
                <w:szCs w:val="16"/>
              </w:rPr>
              <w:t xml:space="preserve">Notion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814"/>
                <w:sz w:val="16"/>
                <w:szCs w:val="16"/>
              </w:rPr>
              <w:t xml:space="preserve">Otto (travel automation)</w:t>
            </w:r>
          </w:p>
        </w:tc>
      </w:tr>
    </w:tbl>
    <w:p>
      <w:pPr>
        <w:pBdr>
          <w:bottom w:val="single" w:color="D9D3C4" w:sz="4" w:space="4"/>
        </w:pBdr>
        <w:spacing w:after="60" w:before="160"/>
      </w:pPr>
    </w:p>
    <w:p>
      <w:pPr>
        <w:spacing w:after="60" w:before="240"/>
      </w:pPr>
      <w:r>
        <w:rPr>
          <w:rFonts w:ascii="Georgia" w:cs="Georgia" w:eastAsia="Georgia" w:hAnsi="Georgia"/>
          <w:b/>
          <w:bCs/>
          <w:color w:val="1A1814"/>
          <w:sz w:val="22"/>
          <w:szCs w:val="22"/>
        </w:rPr>
        <w:t xml:space="preserve">DEAN — ISTP-leaning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8A6D4F"/>
          <w:sz w:val="18"/>
          <w:szCs w:val="18"/>
        </w:rPr>
        <w:t xml:space="preserve">Software Development &amp; Engineering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0"/>
        <w:gridCol w:w="4800"/>
      </w:tblGrid>
      <w:tr>
        <w:tc>
          <w:tcPr>
            <w:tcW w:type="dxa" w:w="4700"/>
            <w:shd w:fill="F3EF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A1814"/>
                <w:sz w:val="16"/>
                <w:szCs w:val="16"/>
              </w:rPr>
              <w:t xml:space="preserve">Job-specific skills</w:t>
            </w:r>
          </w:p>
        </w:tc>
        <w:tc>
          <w:tcPr>
            <w:tcW w:type="dxa" w:w="4800"/>
            <w:shd w:fill="F3EF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A1814"/>
                <w:sz w:val="16"/>
                <w:szCs w:val="16"/>
              </w:rPr>
              <w:t xml:space="preserve">Verified real tools</w:t>
            </w:r>
          </w:p>
        </w:tc>
      </w:tr>
      <w:tr>
        <w:tc>
          <w:tcPr>
            <w:tcW w:type="dxa" w:w="4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814"/>
                <w:sz w:val="16"/>
                <w:szCs w:val="16"/>
              </w:rPr>
              <w:t xml:space="preserve">PR description drafting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814"/>
                <w:sz w:val="16"/>
                <w:szCs w:val="16"/>
              </w:rPr>
              <w:t xml:space="preserve">Technical specs / RFC writing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814"/>
                <w:sz w:val="16"/>
                <w:szCs w:val="16"/>
              </w:rPr>
              <w:t xml:space="preserve">Turning a vague bug report into a scoped ticket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814"/>
                <w:sz w:val="16"/>
                <w:szCs w:val="16"/>
              </w:rPr>
              <w:t xml:space="preserve">Incident postmortem drafts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814"/>
                <w:sz w:val="16"/>
                <w:szCs w:val="16"/>
              </w:rPr>
              <w:t xml:space="preserve">Explaining error logs in plain terms without losing technical accuracy</w:t>
            </w:r>
          </w:p>
        </w:tc>
        <w:tc>
          <w:tcPr>
            <w:tcW w:type="dxa" w:w="4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814"/>
                <w:sz w:val="16"/>
                <w:szCs w:val="16"/>
              </w:rPr>
              <w:t xml:space="preserve">GitHub, GitLab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814"/>
                <w:sz w:val="16"/>
                <w:szCs w:val="16"/>
              </w:rPr>
              <w:t xml:space="preserve">Linear, Jira (knows the real tradeoff: Linear's speed vs. Jira's depth for complex/enterprise workflows)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814"/>
                <w:sz w:val="16"/>
                <w:szCs w:val="16"/>
              </w:rPr>
              <w:t xml:space="preserve">Docker, CI/CD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814"/>
                <w:sz w:val="16"/>
                <w:szCs w:val="16"/>
              </w:rPr>
              <w:t xml:space="preserve">Slack, Figma, Sentry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814"/>
                <w:sz w:val="16"/>
                <w:szCs w:val="16"/>
              </w:rPr>
              <w:t xml:space="preserve">Confluence, Bitbucket</w:t>
            </w:r>
          </w:p>
        </w:tc>
      </w:tr>
    </w:tbl>
    <w:p>
      <w:pPr>
        <w:pBdr>
          <w:bottom w:val="single" w:color="D9D3C4" w:sz="4" w:space="4"/>
        </w:pBdr>
        <w:spacing w:after="60" w:before="160"/>
      </w:pPr>
    </w:p>
    <w:p>
      <w:pPr>
        <w:spacing w:after="60" w:before="240"/>
      </w:pPr>
      <w:r>
        <w:rPr>
          <w:rFonts w:ascii="Georgia" w:cs="Georgia" w:eastAsia="Georgia" w:hAnsi="Georgia"/>
          <w:b/>
          <w:bCs/>
          <w:color w:val="1A1814"/>
          <w:sz w:val="22"/>
          <w:szCs w:val="22"/>
        </w:rPr>
        <w:t xml:space="preserve">NORA — INFJ-leaning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8A6D4F"/>
          <w:sz w:val="18"/>
          <w:szCs w:val="18"/>
        </w:rPr>
        <w:t xml:space="preserve">HR, Consulting &amp; Coaching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0"/>
        <w:gridCol w:w="4800"/>
      </w:tblGrid>
      <w:tr>
        <w:tc>
          <w:tcPr>
            <w:tcW w:type="dxa" w:w="4700"/>
            <w:shd w:fill="F3EF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A1814"/>
                <w:sz w:val="16"/>
                <w:szCs w:val="16"/>
              </w:rPr>
              <w:t xml:space="preserve">Job-specific skills</w:t>
            </w:r>
          </w:p>
        </w:tc>
        <w:tc>
          <w:tcPr>
            <w:tcW w:type="dxa" w:w="4800"/>
            <w:shd w:fill="F3EF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A1814"/>
                <w:sz w:val="16"/>
                <w:szCs w:val="16"/>
              </w:rPr>
              <w:t xml:space="preserve">Verified real tools</w:t>
            </w:r>
          </w:p>
        </w:tc>
      </w:tr>
      <w:tr>
        <w:tc>
          <w:tcPr>
            <w:tcW w:type="dxa" w:w="4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814"/>
                <w:sz w:val="16"/>
                <w:szCs w:val="16"/>
              </w:rPr>
              <w:t xml:space="preserve">Careful, fair performance review language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814"/>
                <w:sz w:val="16"/>
                <w:szCs w:val="16"/>
              </w:rPr>
              <w:t xml:space="preserve">1:1 and coaching-session agenda structuring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814"/>
                <w:sz w:val="16"/>
                <w:szCs w:val="16"/>
              </w:rPr>
              <w:t xml:space="preserve">Onboarding checklist creation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814"/>
                <w:sz w:val="16"/>
                <w:szCs w:val="16"/>
              </w:rPr>
              <w:t xml:space="preserve">Performance improvement plan documentation — handled with real care for tone, since wording affects someone's career</w:t>
            </w:r>
          </w:p>
        </w:tc>
        <w:tc>
          <w:tcPr>
            <w:tcW w:type="dxa" w:w="4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814"/>
                <w:sz w:val="16"/>
                <w:szCs w:val="16"/>
              </w:rPr>
              <w:t xml:space="preserve">Lattice, 15Five, BambooHR (performance management)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814"/>
                <w:sz w:val="16"/>
                <w:szCs w:val="16"/>
              </w:rPr>
              <w:t xml:space="preserve">Rippling, Workday, Gusto, Deel (HRIS)</w:t>
            </w:r>
          </w:p>
        </w:tc>
      </w:tr>
    </w:tbl>
    <w:p>
      <w:pPr>
        <w:pBdr>
          <w:bottom w:val="single" w:color="D9D3C4" w:sz="4" w:space="4"/>
        </w:pBdr>
        <w:spacing w:after="60" w:before="160"/>
      </w:pPr>
    </w:p>
    <w:p>
      <w:pPr>
        <w:spacing w:after="60" w:before="240"/>
      </w:pPr>
      <w:r>
        <w:rPr>
          <w:rFonts w:ascii="Georgia" w:cs="Georgia" w:eastAsia="Georgia" w:hAnsi="Georgia"/>
          <w:b/>
          <w:bCs/>
          <w:color w:val="1A1814"/>
          <w:sz w:val="22"/>
          <w:szCs w:val="22"/>
        </w:rPr>
        <w:t xml:space="preserve">FRANK — ESFP-leaning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8A6D4F"/>
          <w:sz w:val="18"/>
          <w:szCs w:val="18"/>
        </w:rPr>
        <w:t xml:space="preserve">Hospitality, Retail &amp; Small Business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0"/>
        <w:gridCol w:w="4800"/>
      </w:tblGrid>
      <w:tr>
        <w:tc>
          <w:tcPr>
            <w:tcW w:type="dxa" w:w="4700"/>
            <w:shd w:fill="F3EF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A1814"/>
                <w:sz w:val="16"/>
                <w:szCs w:val="16"/>
              </w:rPr>
              <w:t xml:space="preserve">Job-specific skills</w:t>
            </w:r>
          </w:p>
        </w:tc>
        <w:tc>
          <w:tcPr>
            <w:tcW w:type="dxa" w:w="4800"/>
            <w:shd w:fill="F3EF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A1814"/>
                <w:sz w:val="16"/>
                <w:szCs w:val="16"/>
              </w:rPr>
              <w:t xml:space="preserve">Verified real tools</w:t>
            </w:r>
          </w:p>
        </w:tc>
      </w:tr>
      <w:tr>
        <w:tc>
          <w:tcPr>
            <w:tcW w:type="dxa" w:w="4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814"/>
                <w:sz w:val="16"/>
                <w:szCs w:val="16"/>
              </w:rPr>
              <w:t xml:space="preserve">Shift scheduling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814"/>
                <w:sz w:val="16"/>
                <w:szCs w:val="16"/>
              </w:rPr>
              <w:t xml:space="preserve">Inventory reorder-point calculations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814"/>
                <w:sz w:val="16"/>
                <w:szCs w:val="16"/>
              </w:rPr>
              <w:t xml:space="preserve">Product/menu description writing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814"/>
                <w:sz w:val="16"/>
                <w:szCs w:val="16"/>
              </w:rPr>
              <w:t xml:space="preserve">Customer review response drafting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814"/>
                <w:sz w:val="16"/>
                <w:szCs w:val="16"/>
              </w:rPr>
              <w:t xml:space="preserve">Simple day-to-day P&amp;L tracking guidance</w:t>
            </w:r>
          </w:p>
        </w:tc>
        <w:tc>
          <w:tcPr>
            <w:tcW w:type="dxa" w:w="4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814"/>
                <w:sz w:val="16"/>
                <w:szCs w:val="16"/>
              </w:rPr>
              <w:t xml:space="preserve">Square (easiest small-business entry point)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814"/>
                <w:sz w:val="16"/>
                <w:szCs w:val="16"/>
              </w:rPr>
              <w:t xml:space="preserve">Toast (restaurant-specific)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814"/>
                <w:sz w:val="16"/>
                <w:szCs w:val="16"/>
              </w:rPr>
              <w:t xml:space="preserve">Shopify (multichannel/ecommerce)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814"/>
                <w:sz w:val="16"/>
                <w:szCs w:val="16"/>
              </w:rPr>
              <w:t xml:space="preserve">Lightspeed, Loyverse</w:t>
            </w:r>
          </w:p>
        </w:tc>
      </w:tr>
    </w:tbl>
    <w:p>
      <w:pPr>
        <w:pBdr>
          <w:bottom w:val="single" w:color="D9D3C4" w:sz="4" w:space="4"/>
        </w:pBdr>
        <w:spacing w:after="60" w:before="160"/>
      </w:pPr>
    </w:p>
    <w:p>
      <w:pPr>
        <w:spacing w:after="60" w:before="240"/>
      </w:pPr>
      <w:r>
        <w:rPr>
          <w:rFonts w:ascii="Georgia" w:cs="Georgia" w:eastAsia="Georgia" w:hAnsi="Georgia"/>
          <w:b/>
          <w:bCs/>
          <w:color w:val="1A1814"/>
          <w:sz w:val="22"/>
          <w:szCs w:val="22"/>
        </w:rPr>
        <w:t xml:space="preserve">MILES — ISTJ-leaning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8A6D4F"/>
          <w:sz w:val="18"/>
          <w:szCs w:val="18"/>
        </w:rPr>
        <w:t xml:space="preserve">Legal &amp; Finance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0"/>
        <w:gridCol w:w="4800"/>
      </w:tblGrid>
      <w:tr>
        <w:tc>
          <w:tcPr>
            <w:tcW w:type="dxa" w:w="4700"/>
            <w:shd w:fill="F3EF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A1814"/>
                <w:sz w:val="16"/>
                <w:szCs w:val="16"/>
              </w:rPr>
              <w:t xml:space="preserve">Job-specific skills</w:t>
            </w:r>
          </w:p>
        </w:tc>
        <w:tc>
          <w:tcPr>
            <w:tcW w:type="dxa" w:w="4800"/>
            <w:shd w:fill="F3EF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A1814"/>
                <w:sz w:val="16"/>
                <w:szCs w:val="16"/>
              </w:rPr>
              <w:t xml:space="preserve">Verified real tools</w:t>
            </w:r>
          </w:p>
        </w:tc>
      </w:tr>
      <w:tr>
        <w:tc>
          <w:tcPr>
            <w:tcW w:type="dxa" w:w="4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814"/>
                <w:sz w:val="16"/>
                <w:szCs w:val="16"/>
              </w:rPr>
              <w:t xml:space="preserve">Engagement letter drafting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814"/>
                <w:sz w:val="16"/>
                <w:szCs w:val="16"/>
              </w:rPr>
              <w:t xml:space="preserve">Case/matter file checklist organization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814"/>
                <w:sz w:val="16"/>
                <w:szCs w:val="16"/>
              </w:rPr>
              <w:t xml:space="preserve">Precise filing and billing deadline tracking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814"/>
                <w:sz w:val="16"/>
                <w:szCs w:val="16"/>
              </w:rPr>
              <w:t xml:space="preserve">Client intake form structuring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814"/>
                <w:sz w:val="16"/>
                <w:szCs w:val="16"/>
              </w:rPr>
              <w:t xml:space="preserve">Billable-hours summaries</w:t>
            </w:r>
          </w:p>
        </w:tc>
        <w:tc>
          <w:tcPr>
            <w:tcW w:type="dxa" w:w="4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814"/>
                <w:sz w:val="16"/>
                <w:szCs w:val="16"/>
              </w:rPr>
              <w:t xml:space="preserve">Clio, MyCase, PracticePanther (legal practice management)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814"/>
                <w:sz w:val="16"/>
                <w:szCs w:val="16"/>
              </w:rPr>
              <w:t xml:space="preserve">QuickBooks, Xero (accounting)</w:t>
            </w:r>
          </w:p>
        </w:tc>
      </w:tr>
    </w:tbl>
    <w:p>
      <w:pPr>
        <w:pBdr>
          <w:left w:val="single" w:color="8A6D4F" w:sz="10" w:space="8"/>
        </w:pBdr>
        <w:spacing w:after="180" w:before="70" w:line="260"/>
        <w:ind w:left="288"/>
      </w:pPr>
      <w:r>
        <w:rPr>
          <w:rFonts w:ascii="Calibri" w:cs="Calibri" w:eastAsia="Calibri" w:hAnsi="Calibri"/>
          <w:i/>
          <w:iCs/>
          <w:color w:val="6B6459"/>
          <w:sz w:val="17"/>
          <w:szCs w:val="17"/>
        </w:rPr>
        <w:t xml:space="preserve">Clio alone is used by 400,000+ lawyers and has rebranded as an “Intelligent Legal Work Platform” as of 2026 — the dominant tool in this space, confirmed directly rather than assumed.</w:t>
      </w:r>
    </w:p>
    <w:p>
      <w:pPr>
        <w:pBdr>
          <w:bottom w:val="single" w:color="D9D3C4" w:sz="4" w:space="4"/>
        </w:pBdr>
        <w:spacing w:after="60" w:before="160"/>
      </w:pPr>
    </w:p>
    <w:p>
      <w:pPr>
        <w:spacing w:after="60" w:before="240"/>
      </w:pPr>
      <w:r>
        <w:rPr>
          <w:rFonts w:ascii="Georgia" w:cs="Georgia" w:eastAsia="Georgia" w:hAnsi="Georgia"/>
          <w:b/>
          <w:bCs/>
          <w:color w:val="1A1814"/>
          <w:sz w:val="22"/>
          <w:szCs w:val="22"/>
        </w:rPr>
        <w:t xml:space="preserve">JANE — ISFJ-leaning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8A6D4F"/>
          <w:sz w:val="18"/>
          <w:szCs w:val="18"/>
        </w:rPr>
        <w:t xml:space="preserve">Real Estate &amp; Transaction Operations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0"/>
        <w:gridCol w:w="4800"/>
      </w:tblGrid>
      <w:tr>
        <w:tc>
          <w:tcPr>
            <w:tcW w:type="dxa" w:w="4700"/>
            <w:shd w:fill="F3EF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A1814"/>
                <w:sz w:val="16"/>
                <w:szCs w:val="16"/>
              </w:rPr>
              <w:t xml:space="preserve">Job-specific skills</w:t>
            </w:r>
          </w:p>
        </w:tc>
        <w:tc>
          <w:tcPr>
            <w:tcW w:type="dxa" w:w="4800"/>
            <w:shd w:fill="F3EF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A1814"/>
                <w:sz w:val="16"/>
                <w:szCs w:val="16"/>
              </w:rPr>
              <w:t xml:space="preserve">Verified real tools</w:t>
            </w:r>
          </w:p>
        </w:tc>
      </w:tr>
      <w:tr>
        <w:tc>
          <w:tcPr>
            <w:tcW w:type="dxa" w:w="4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814"/>
                <w:sz w:val="16"/>
                <w:szCs w:val="16"/>
              </w:rPr>
              <w:t xml:space="preserve">Transaction checklist tracking, offer to close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814"/>
                <w:sz w:val="16"/>
                <w:szCs w:val="16"/>
              </w:rPr>
              <w:t xml:space="preserve">Listing description drafting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814"/>
                <w:sz w:val="16"/>
                <w:szCs w:val="16"/>
              </w:rPr>
              <w:t xml:space="preserve">Open house scheduling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814"/>
                <w:sz w:val="16"/>
                <w:szCs w:val="16"/>
              </w:rPr>
              <w:t xml:space="preserve">Comparative market analysis (CMA) prep support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814"/>
                <w:sz w:val="16"/>
                <w:szCs w:val="16"/>
              </w:rPr>
              <w:t xml:space="preserve">Closing-document checklist reminders</w:t>
            </w:r>
          </w:p>
        </w:tc>
        <w:tc>
          <w:tcPr>
            <w:tcW w:type="dxa" w:w="4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814"/>
                <w:sz w:val="16"/>
                <w:szCs w:val="16"/>
              </w:rPr>
              <w:t xml:space="preserve">MLS systems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814"/>
                <w:sz w:val="16"/>
                <w:szCs w:val="16"/>
              </w:rPr>
              <w:t xml:space="preserve">Follow Up Boss, Top Producer (real estate CRM)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814"/>
                <w:sz w:val="16"/>
                <w:szCs w:val="16"/>
              </w:rPr>
              <w:t xml:space="preserve">Lone Wolf Transact (transaction management)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814"/>
                <w:sz w:val="16"/>
                <w:szCs w:val="16"/>
              </w:rPr>
              <w:t xml:space="preserve">DocuSign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814"/>
                <w:sz w:val="16"/>
                <w:szCs w:val="16"/>
              </w:rPr>
              <w:t xml:space="preserve">Asana, Monday.com (general project tracking)</w:t>
            </w:r>
          </w:p>
        </w:tc>
      </w:tr>
    </w:tbl>
    <w:p>
      <w:pPr>
        <w:pBdr>
          <w:bottom w:val="single" w:color="D9D3C4" w:sz="4" w:space="4"/>
        </w:pBdr>
        <w:spacing w:after="60" w:before="160"/>
      </w:pPr>
    </w:p>
    <w:p>
      <w:pPr>
        <w:spacing w:after="60" w:before="240"/>
      </w:pPr>
      <w:r>
        <w:rPr>
          <w:rFonts w:ascii="Georgia" w:cs="Georgia" w:eastAsia="Georgia" w:hAnsi="Georgia"/>
          <w:b/>
          <w:bCs/>
          <w:color w:val="1A1814"/>
          <w:sz w:val="22"/>
          <w:szCs w:val="22"/>
        </w:rPr>
        <w:t xml:space="preserve">LEO — ISFP-leaning (Assertive variant)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8A6D4F"/>
          <w:sz w:val="18"/>
          <w:szCs w:val="18"/>
        </w:rPr>
        <w:t xml:space="preserve">Healthcare Administration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0"/>
        <w:gridCol w:w="4800"/>
      </w:tblGrid>
      <w:tr>
        <w:tc>
          <w:tcPr>
            <w:tcW w:type="dxa" w:w="4700"/>
            <w:shd w:fill="F3EF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A1814"/>
                <w:sz w:val="16"/>
                <w:szCs w:val="16"/>
              </w:rPr>
              <w:t xml:space="preserve">Job-specific skills</w:t>
            </w:r>
          </w:p>
        </w:tc>
        <w:tc>
          <w:tcPr>
            <w:tcW w:type="dxa" w:w="4800"/>
            <w:shd w:fill="F3EF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A1814"/>
                <w:sz w:val="16"/>
                <w:szCs w:val="16"/>
              </w:rPr>
              <w:t xml:space="preserve">Verified real tools</w:t>
            </w:r>
          </w:p>
        </w:tc>
      </w:tr>
      <w:tr>
        <w:tc>
          <w:tcPr>
            <w:tcW w:type="dxa" w:w="4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814"/>
                <w:sz w:val="16"/>
                <w:szCs w:val="16"/>
              </w:rPr>
              <w:t xml:space="preserve">Shift/coverage scheduling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814"/>
                <w:sz w:val="16"/>
                <w:szCs w:val="16"/>
              </w:rPr>
              <w:t xml:space="preserve">Credential and license renewal deadline tracking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814"/>
                <w:sz w:val="16"/>
                <w:szCs w:val="16"/>
              </w:rPr>
              <w:t xml:space="preserve">Appointment reminder drafting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814"/>
                <w:sz w:val="16"/>
                <w:szCs w:val="16"/>
              </w:rPr>
              <w:t xml:space="preserve">Intake-form organization</w:t>
            </w:r>
          </w:p>
        </w:tc>
        <w:tc>
          <w:tcPr>
            <w:tcW w:type="dxa" w:w="4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814"/>
                <w:sz w:val="16"/>
                <w:szCs w:val="16"/>
              </w:rPr>
              <w:t xml:space="preserve">Epic Systems (35%+ EHR market share)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814"/>
                <w:sz w:val="16"/>
                <w:szCs w:val="16"/>
              </w:rPr>
              <w:t xml:space="preserve">Oracle Health (formerly Cerner)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814"/>
                <w:sz w:val="16"/>
                <w:szCs w:val="16"/>
              </w:rPr>
              <w:t xml:space="preserve">athenahealth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814"/>
                <w:sz w:val="16"/>
                <w:szCs w:val="16"/>
              </w:rPr>
              <w:t xml:space="preserve">eClinicalWorks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814"/>
                <w:sz w:val="16"/>
                <w:szCs w:val="16"/>
              </w:rPr>
              <w:t xml:space="preserve">ShiftWizard (nurse scheduling)</w:t>
            </w:r>
          </w:p>
        </w:tc>
      </w:tr>
    </w:tbl>
    <w:p>
      <w:pPr>
        <w:pBdr>
          <w:left w:val="single" w:color="8A6D4F" w:sz="10" w:space="8"/>
        </w:pBdr>
        <w:spacing w:after="180" w:before="70" w:line="260"/>
        <w:ind w:left="288"/>
      </w:pPr>
      <w:r>
        <w:rPr>
          <w:rFonts w:ascii="Calibri" w:cs="Calibri" w:eastAsia="Calibri" w:hAnsi="Calibri"/>
          <w:i/>
          <w:iCs/>
          <w:color w:val="6B6459"/>
          <w:sz w:val="17"/>
          <w:szCs w:val="17"/>
        </w:rPr>
        <w:t xml:space="preserve">Deliberately scoped to administrative/organizational support only — never clinical decision-making, diagnosis, or treatment guidance. Leo knows the real EHR landscape exists without ever operating inside patient clinical data. This boundary is stated explicitly in Leo's own system prompt, not left implicit.</w:t>
      </w:r>
    </w:p>
    <w:p>
      <w:pPr>
        <w:pBdr>
          <w:bottom w:val="single" w:color="D9D3C4" w:sz="4" w:space="4"/>
        </w:pBdr>
        <w:spacing w:after="60" w:before="160"/>
      </w:pPr>
    </w:p>
    <w:p>
      <w:pPr>
        <w:spacing w:after="60" w:before="240"/>
      </w:pPr>
      <w:r>
        <w:rPr>
          <w:rFonts w:ascii="Georgia" w:cs="Georgia" w:eastAsia="Georgia" w:hAnsi="Georgia"/>
          <w:b/>
          <w:bCs/>
          <w:color w:val="1A1814"/>
          <w:sz w:val="22"/>
          <w:szCs w:val="22"/>
        </w:rPr>
        <w:t xml:space="preserve">AUGUST — ENFP-leaning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8A6D4F"/>
          <w:sz w:val="18"/>
          <w:szCs w:val="18"/>
        </w:rPr>
        <w:t xml:space="preserve">Creative &amp; Marketing (extends existing generation tools)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0"/>
        <w:gridCol w:w="4800"/>
      </w:tblGrid>
      <w:tr>
        <w:tc>
          <w:tcPr>
            <w:tcW w:type="dxa" w:w="4700"/>
            <w:shd w:fill="F3EF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A1814"/>
                <w:sz w:val="16"/>
                <w:szCs w:val="16"/>
              </w:rPr>
              <w:t xml:space="preserve">Job-specific skills</w:t>
            </w:r>
          </w:p>
        </w:tc>
        <w:tc>
          <w:tcPr>
            <w:tcW w:type="dxa" w:w="4800"/>
            <w:shd w:fill="F3EF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A1814"/>
                <w:sz w:val="16"/>
                <w:szCs w:val="16"/>
              </w:rPr>
              <w:t xml:space="preserve">Verified real tools</w:t>
            </w:r>
          </w:p>
        </w:tc>
      </w:tr>
      <w:tr>
        <w:tc>
          <w:tcPr>
            <w:tcW w:type="dxa" w:w="4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814"/>
                <w:sz w:val="16"/>
                <w:szCs w:val="16"/>
              </w:rPr>
              <w:t xml:space="preserve">Campaign brief drafting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814"/>
                <w:sz w:val="16"/>
                <w:szCs w:val="16"/>
              </w:rPr>
              <w:t xml:space="preserve">Content calendar planning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814"/>
                <w:sz w:val="16"/>
                <w:szCs w:val="16"/>
              </w:rPr>
              <w:t xml:space="preserve">Brand voice guideline development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814"/>
                <w:sz w:val="16"/>
                <w:szCs w:val="16"/>
              </w:rPr>
              <w:t xml:space="preserve">Social caption variations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814"/>
                <w:sz w:val="16"/>
                <w:szCs w:val="16"/>
              </w:rPr>
              <w:t xml:space="preserve">Storyboard outlines</w:t>
            </w:r>
          </w:p>
        </w:tc>
        <w:tc>
          <w:tcPr>
            <w:tcW w:type="dxa" w:w="4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814"/>
                <w:sz w:val="16"/>
                <w:szCs w:val="16"/>
              </w:rPr>
              <w:t xml:space="preserve">All available through reasoning alone — no tool dependency, unlike the generation add-on (FLUX, Ideogram, ElevenLabs, Veo) covered separately</w:t>
            </w:r>
          </w:p>
        </w:tc>
      </w:tr>
    </w:tbl>
    <w:p>
      <w:pPr>
        <w:pBdr>
          <w:bottom w:val="single" w:color="D9D3C4" w:sz="4" w:space="4"/>
        </w:pBdr>
        <w:spacing w:after="60" w:before="160"/>
      </w:pPr>
    </w:p>
    <w:p>
      <w:pPr>
        <w:spacing w:after="60" w:before="240"/>
      </w:pPr>
      <w:r>
        <w:rPr>
          <w:rFonts w:ascii="Georgia" w:cs="Georgia" w:eastAsia="Georgia" w:hAnsi="Georgia"/>
          <w:b/>
          <w:bCs/>
          <w:color w:val="1A1814"/>
          <w:sz w:val="22"/>
          <w:szCs w:val="22"/>
        </w:rPr>
        <w:t xml:space="preserve">AARON — ESFJ-leaning (renamed from Reed)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8A6D4F"/>
          <w:sz w:val="18"/>
          <w:szCs w:val="18"/>
        </w:rPr>
        <w:t xml:space="preserve">Education &amp; Teaching (extends existing grading calibration)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0"/>
        <w:gridCol w:w="4800"/>
      </w:tblGrid>
      <w:tr>
        <w:tc>
          <w:tcPr>
            <w:tcW w:type="dxa" w:w="4700"/>
            <w:shd w:fill="F3EF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A1814"/>
                <w:sz w:val="16"/>
                <w:szCs w:val="16"/>
              </w:rPr>
              <w:t xml:space="preserve">Job-specific skills</w:t>
            </w:r>
          </w:p>
        </w:tc>
        <w:tc>
          <w:tcPr>
            <w:tcW w:type="dxa" w:w="4800"/>
            <w:shd w:fill="F3EF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A1814"/>
                <w:sz w:val="16"/>
                <w:szCs w:val="16"/>
              </w:rPr>
              <w:t xml:space="preserve">Verified real tools</w:t>
            </w:r>
          </w:p>
        </w:tc>
      </w:tr>
      <w:tr>
        <w:tc>
          <w:tcPr>
            <w:tcW w:type="dxa" w:w="4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814"/>
                <w:sz w:val="16"/>
                <w:szCs w:val="16"/>
              </w:rPr>
              <w:t xml:space="preserve">Everything from the existing grading calibration system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814"/>
                <w:sz w:val="16"/>
                <w:szCs w:val="16"/>
              </w:rPr>
              <w:t xml:space="preserve">Now also: fluent, specific reference to real classroom tools when a teacher mentions one</w:t>
            </w:r>
          </w:p>
        </w:tc>
        <w:tc>
          <w:tcPr>
            <w:tcW w:type="dxa" w:w="4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814"/>
                <w:sz w:val="16"/>
                <w:szCs w:val="16"/>
              </w:rPr>
              <w:t xml:space="preserve">Google Classroom, Canvas (LMS)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814"/>
                <w:sz w:val="16"/>
                <w:szCs w:val="16"/>
              </w:rPr>
              <w:t xml:space="preserve">Turnitin (plagiarism/AI detection)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814"/>
                <w:sz w:val="16"/>
                <w:szCs w:val="16"/>
              </w:rPr>
              <w:t xml:space="preserve">Kahoot!, Quizizz (engagement/quizzing)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814"/>
                <w:sz w:val="16"/>
                <w:szCs w:val="16"/>
              </w:rPr>
              <w:t xml:space="preserve">ClassDojo, Seesaw (behavior &amp; family communication)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814"/>
                <w:sz w:val="16"/>
                <w:szCs w:val="16"/>
              </w:rPr>
              <w:t xml:space="preserve">PowerSchool (gradebook)</w:t>
            </w:r>
          </w:p>
        </w:tc>
      </w:tr>
    </w:tbl>
    <w:p>
      <w:pPr>
        <w:pBdr>
          <w:left w:val="single" w:color="8A6D4F" w:sz="10" w:space="8"/>
        </w:pBdr>
        <w:spacing w:after="180" w:before="70" w:line="260"/>
        <w:ind w:left="288"/>
      </w:pPr>
      <w:r>
        <w:rPr>
          <w:rFonts w:ascii="Calibri" w:cs="Calibri" w:eastAsia="Calibri" w:hAnsi="Calibri"/>
          <w:i/>
          <w:iCs/>
          <w:color w:val="6B6459"/>
          <w:sz w:val="17"/>
          <w:szCs w:val="17"/>
        </w:rPr>
        <w:t xml:space="preserve">No direct integrations with these yet — this is conversational fluency (Aaron can discuss them specifically and accurately), not a new connected capability.</w:t>
      </w:r>
    </w:p>
    <w:p>
      <w:pPr>
        <w:pBdr>
          <w:bottom w:val="single" w:color="D9D3C4" w:sz="4" w:space="4"/>
        </w:pBdr>
        <w:spacing w:after="60" w:before="160"/>
      </w:pPr>
    </w:p>
    <w:p>
      <w:pPr>
        <w:pStyle w:val="Heading1"/>
        <w:pBdr>
          <w:bottom w:val="single" w:color="8A6D4F" w:sz="6" w:space="4"/>
        </w:pBdr>
        <w:spacing w:after="140" w:before="380"/>
      </w:pPr>
      <w:r>
        <w:rPr>
          <w:rFonts w:ascii="Georgia" w:cs="Georgia" w:eastAsia="Georgia" w:hAnsi="Georgia"/>
          <w:b/>
          <w:bCs/>
          <w:color w:val="1A1814"/>
          <w:sz w:val="28"/>
          <w:szCs w:val="28"/>
        </w:rPr>
        <w:t xml:space="preserve">What this changes in practice</w:t>
      </w:r>
    </w:p>
    <w:p>
      <w:pPr>
        <w:spacing w:after="140" w:line="290"/>
      </w:pPr>
      <w:r>
        <w:rPr>
          <w:rFonts w:ascii="Calibri" w:cs="Calibri" w:eastAsia="Calibri" w:hAnsi="Calibri"/>
          <w:color w:val="1A1814"/>
          <w:sz w:val="19"/>
          <w:szCs w:val="19"/>
        </w:rPr>
        <w:t xml:space="preserve">Verified directly, not assumed: every persona's job-specific terms actually appear in its system prompt when tested, Curant correctly has zero job-specific leakage (confirmed the same tool names are absent from its prompt), and a full end-to-end test confirmed the tool knowledge genuinely reaches a real reply — a mocked Dean conversation about a bug report correctly referenced Linear specifically, drawn from the system prompt's actual content, not a generic answer.</w:t>
      </w:r>
    </w:p>
    <w:sectPr>
      <w:pgSz w:w="12240" w:h="15840" w:orient="portrait"/>
      <w:pgMar w:top="1080" w:right="1150" w:bottom="1080" w:left="11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2026-07-28T05:59:20.333Z</dcterms:created>
  <dcterms:modified xsi:type="dcterms:W3CDTF">2026-07-28T05:59:20.355Z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