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pPr>
      <w:r>
        <w:rPr>
          <w:rFonts w:ascii="Georgia" w:cs="Georgia" w:eastAsia="Georgia" w:hAnsi="Georgia"/>
          <w:b/>
          <w:bCs/>
          <w:color w:val="1A1814"/>
          <w:sz w:val="30"/>
          <w:szCs w:val="30"/>
        </w:rPr>
        <w:t xml:space="preserve">CURANT PERSONAS — PSYCHOLOGY-GROUNDED REDESIGN</w:t>
      </w:r>
    </w:p>
    <w:p>
      <w:pPr>
        <w:spacing w:after="260"/>
      </w:pPr>
      <w:r>
        <w:rPr>
          <w:rFonts w:ascii="Calibri" w:cs="Calibri" w:eastAsia="Calibri" w:hAnsi="Calibri"/>
          <w:i/>
          <w:iCs/>
          <w:color w:val="6B6459"/>
          <w:sz w:val="19"/>
          <w:szCs w:val="19"/>
        </w:rPr>
        <w:t xml:space="preserve">How the 16Personalities framework and Big Five research were actually used to rework the roster — including where each is scientifically solid and where it isn't.</w:t>
      </w:r>
    </w:p>
    <w:p>
      <w:pPr>
        <w:pStyle w:val="Heading1"/>
        <w:pBdr>
          <w:bottom w:val="single" w:color="8A6D4F" w:sz="6" w:space="4"/>
        </w:pBdr>
        <w:spacing w:after="150" w:before="380"/>
      </w:pPr>
      <w:r>
        <w:rPr>
          <w:rFonts w:ascii="Georgia" w:cs="Georgia" w:eastAsia="Georgia" w:hAnsi="Georgia"/>
          <w:b/>
          <w:bCs/>
          <w:color w:val="1A1814"/>
          <w:sz w:val="29"/>
          <w:szCs w:val="29"/>
        </w:rPr>
        <w:t xml:space="preserve">1. First, the honest scientific picture</w:t>
      </w:r>
    </w:p>
    <w:p>
      <w:pPr>
        <w:spacing w:after="150" w:line="300"/>
      </w:pPr>
      <w:r>
        <w:rPr>
          <w:rFonts w:ascii="Calibri" w:cs="Calibri" w:eastAsia="Calibri" w:hAnsi="Calibri"/>
          <w:color w:val="1A1814"/>
          <w:sz w:val="20"/>
          <w:szCs w:val="20"/>
        </w:rPr>
        <w:t xml:space="preserve">Two frameworks are in play here, and they don't have equal scientific standing — worth being direct about before using either.</w:t>
      </w:r>
    </w:p>
    <w:p>
      <w:pPr>
        <w:pStyle w:val="ListParagraph"/>
        <w:numPr>
          <w:ilvl w:val="0"/>
          <w:numId w:val="2"/>
        </w:numPr>
        <w:spacing w:after="85" w:line="275"/>
      </w:pPr>
      <w:r>
        <w:rPr>
          <w:rFonts w:ascii="Calibri" w:cs="Calibri" w:eastAsia="Calibri" w:hAnsi="Calibri"/>
          <w:b/>
          <w:bCs/>
          <w:color w:val="1A1814"/>
          <w:sz w:val="19"/>
          <w:szCs w:val="19"/>
        </w:rPr>
        <w:t xml:space="preserve">16Personalities / MBTI. </w:t>
      </w:r>
      <w:r>
        <w:rPr>
          <w:rFonts w:ascii="Calibri" w:cs="Calibri" w:eastAsia="Calibri" w:hAnsi="Calibri"/>
          <w:color w:val="1A1814"/>
          <w:sz w:val="19"/>
          <w:szCs w:val="19"/>
        </w:rPr>
        <w:t xml:space="preserve">Descends from Carl Jung's typology via Katharine Briggs and Isabel Myers. Organizes personality into five paired dimensions — Mind (I/E), Energy (S/N), Nature (T/F), Tactics (J/P), and Identity (A/T) — producing 16 discrete types. Genuinely useful as a descriptive language for tone and behavior. Real, well-documented limitations: weak test-retest reliability (people's results shift between administrations), binary categories forcing what's actually a continuous spectrum into either/or boxes, and meaningfully less empirical validation than the alternative below. Not used clinically by psychologists for this reason.</w:t>
      </w:r>
    </w:p>
    <w:p>
      <w:pPr>
        <w:pStyle w:val="ListParagraph"/>
        <w:numPr>
          <w:ilvl w:val="0"/>
          <w:numId w:val="2"/>
        </w:numPr>
        <w:spacing w:after="85" w:line="275"/>
      </w:pPr>
      <w:r>
        <w:rPr>
          <w:rFonts w:ascii="Calibri" w:cs="Calibri" w:eastAsia="Calibri" w:hAnsi="Calibri"/>
          <w:b/>
          <w:bCs/>
          <w:color w:val="1A1814"/>
          <w:sz w:val="19"/>
          <w:szCs w:val="19"/>
        </w:rPr>
        <w:t xml:space="preserve">Big Five (OCEAN). </w:t>
      </w:r>
      <w:r>
        <w:rPr>
          <w:rFonts w:ascii="Calibri" w:cs="Calibri" w:eastAsia="Calibri" w:hAnsi="Calibri"/>
          <w:color w:val="1A1814"/>
          <w:sz w:val="19"/>
          <w:szCs w:val="19"/>
        </w:rPr>
        <w:t xml:space="preserve">Five continuous traits — Openness, Conscientiousness, Extraversion, Agreeableness, Neuroticism (inverted: Emotional Stability). This is what personality science actually treats as well-validated — decades of cross-cultural research, strong predictive power for real outcomes.</w:t>
      </w:r>
    </w:p>
    <w:p>
      <w:pPr>
        <w:pBdr>
          <w:left w:val="single" w:color="8A6D4F" w:sz="10" w:space="8"/>
        </w:pBdr>
        <w:spacing w:after="190" w:before="70" w:line="270"/>
        <w:ind w:left="316"/>
      </w:pPr>
      <w:r>
        <w:rPr>
          <w:rFonts w:ascii="Calibri" w:cs="Calibri" w:eastAsia="Calibri" w:hAnsi="Calibri"/>
          <w:i/>
          <w:iCs/>
          <w:color w:val="6B6459"/>
          <w:sz w:val="18"/>
          <w:szCs w:val="18"/>
        </w:rPr>
        <w:t xml:space="preserve">Given this, the redesign uses each framework for what it's actually good at: Big Five for the traits that determine whether an assistant is genuinely reliable (not a matter of taste), and 16Personalities-style typing purely as a design language for TONE — explicitly not presented as a clinical or scientific claim about these personas.</w:t>
      </w:r>
    </w:p>
    <w:p>
      <w:pPr>
        <w:pStyle w:val="Heading1"/>
        <w:pBdr>
          <w:bottom w:val="single" w:color="8A6D4F" w:sz="6" w:space="4"/>
        </w:pBdr>
        <w:spacing w:after="150" w:before="380"/>
      </w:pPr>
      <w:r>
        <w:rPr>
          <w:rFonts w:ascii="Georgia" w:cs="Georgia" w:eastAsia="Georgia" w:hAnsi="Georgia"/>
          <w:b/>
          <w:bCs/>
          <w:color w:val="1A1814"/>
          <w:sz w:val="29"/>
          <w:szCs w:val="29"/>
        </w:rPr>
        <w:t xml:space="preserve">2. The baseline every persona shares — not flavor, competence</w:t>
      </w:r>
    </w:p>
    <w:p>
      <w:pPr>
        <w:spacing w:after="150" w:line="300"/>
      </w:pPr>
      <w:r>
        <w:rPr>
          <w:rFonts w:ascii="Calibri" w:cs="Calibri" w:eastAsia="Calibri" w:hAnsi="Calibri"/>
          <w:color w:val="1A1814"/>
          <w:sz w:val="20"/>
          <w:szCs w:val="20"/>
        </w:rPr>
        <w:t xml:space="preserve">Multiple independent studies on customer-service and support roles converge consistently on the same finding: Conscientiousness and Emotional Stability are the strongest predictors of good service performance — well ahead of Extraversion or Openness, which help in specific situations but aren't universal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c>
          <w:tcPr>
            <w:tcW w:type="dxa" w:w="3000"/>
            <w:shd w:fill="F3EFE6"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Trait</w:t>
            </w:r>
          </w:p>
        </w:tc>
        <w:tc>
          <w:tcPr>
            <w:tcW w:type="dxa" w:w="6100"/>
            <w:shd w:fill="F3EFE6"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Why it's the baseline for all ten personas</w:t>
            </w:r>
          </w:p>
        </w:tc>
      </w:tr>
      <w:tr>
        <w:tc>
          <w:tcPr>
            <w:tcW w:type="dxa" w:w="300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Conscientiousness</w:t>
            </w:r>
          </w:p>
        </w:tc>
        <w:tc>
          <w:tcPr>
            <w:tcW w:type="dxa" w:w="6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Reliable, thorough, follows through — the single strongest predictor of good service performance across every study reviewed.</w:t>
            </w:r>
          </w:p>
        </w:tc>
      </w:tr>
      <w:tr>
        <w:tc>
          <w:tcPr>
            <w:tcW w:type="dxa" w:w="300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Emotional Stability</w:t>
            </w:r>
          </w:p>
        </w:tc>
        <w:tc>
          <w:tcPr>
            <w:tcW w:type="dxa" w:w="6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Calm under pressure, doesn't escalate — the second-strongest predictor; especially critical in high-stress interactions.</w:t>
            </w:r>
          </w:p>
        </w:tc>
      </w:tr>
    </w:tbl>
    <w:p>
      <w:pPr>
        <w:spacing w:after="140"/>
      </w:pPr>
    </w:p>
    <w:p>
      <w:pPr>
        <w:spacing w:after="150" w:line="300"/>
      </w:pPr>
      <w:r>
        <w:rPr>
          <w:rFonts w:ascii="Calibri" w:cs="Calibri" w:eastAsia="Calibri" w:hAnsi="Calibri"/>
          <w:color w:val="1A1814"/>
          <w:sz w:val="20"/>
          <w:szCs w:val="20"/>
        </w:rPr>
        <w:t xml:space="preserve">Every persona in the table below is anchored on both, regardless of which 16Personalities-style type it leans toward for tone. This isn't about which persona a customer picks — it's about all ten actually being dependable, which the research says is a near-universal requirement, not a stylistic choice.</w:t>
      </w:r>
    </w:p>
    <w:p>
      <w:pPr>
        <w:pStyle w:val="Heading1"/>
        <w:pBdr>
          <w:bottom w:val="single" w:color="8A6D4F" w:sz="6" w:space="4"/>
        </w:pBdr>
        <w:spacing w:after="150" w:before="380"/>
      </w:pPr>
      <w:r>
        <w:rPr>
          <w:rFonts w:ascii="Georgia" w:cs="Georgia" w:eastAsia="Georgia" w:hAnsi="Georgia"/>
          <w:b/>
          <w:bCs/>
          <w:color w:val="1A1814"/>
          <w:sz w:val="29"/>
          <w:szCs w:val="29"/>
        </w:rPr>
        <w:t xml:space="preserve">3. What informed which persona got which type</w:t>
      </w:r>
    </w:p>
    <w:p>
      <w:pPr>
        <w:spacing w:after="150" w:line="300"/>
      </w:pPr>
      <w:r>
        <w:rPr>
          <w:rFonts w:ascii="Calibri" w:cs="Calibri" w:eastAsia="Calibri" w:hAnsi="Calibri"/>
          <w:color w:val="1A1814"/>
          <w:sz w:val="20"/>
          <w:szCs w:val="20"/>
        </w:rPr>
        <w:t xml:space="preserve">A 2026 ETH Zurich study (MBTI-in-Thoughts, arXiv:2509.04343) tested whether priming LLM agents with MBTI-style traits actually produces measurable, reproducible behavioral differences — not just cosmetic labels. It found real effects, and those specific findings shaped the mapping below, not just intuition:</w:t>
      </w:r>
    </w:p>
    <w:p>
      <w:pPr>
        <w:pStyle w:val="ListParagraph"/>
        <w:numPr>
          <w:ilvl w:val="0"/>
          <w:numId w:val="2"/>
        </w:numPr>
        <w:spacing w:after="85" w:line="275"/>
      </w:pPr>
      <w:r>
        <w:rPr>
          <w:sz w:val="19"/>
          <w:szCs w:val="19"/>
        </w:rPr>
        <w:t xml:space="preserve"/>
      </w:r>
      <w:r>
        <w:rPr>
          <w:rFonts w:ascii="Calibri" w:cs="Calibri" w:eastAsia="Calibri" w:hAnsi="Calibri"/>
          <w:color w:val="1A1814"/>
          <w:sz w:val="19"/>
          <w:szCs w:val="19"/>
        </w:rPr>
        <w:t xml:space="preserve">Feeling-primed agents produced measurably more emotionally expressive, empathetic, personal writing than Thinking-primed agents — informed which personas lean Feeling (Frank, Nora, August, Aaron) versus Thinking (Grace, Dean, Miles).</w:t>
      </w:r>
    </w:p>
    <w:p>
      <w:pPr>
        <w:pStyle w:val="ListParagraph"/>
        <w:numPr>
          <w:ilvl w:val="0"/>
          <w:numId w:val="2"/>
        </w:numPr>
        <w:spacing w:after="85" w:line="275"/>
      </w:pPr>
      <w:r>
        <w:rPr>
          <w:sz w:val="19"/>
          <w:szCs w:val="19"/>
        </w:rPr>
        <w:t xml:space="preserve"/>
      </w:r>
      <w:r>
        <w:rPr>
          <w:rFonts w:ascii="Calibri" w:cs="Calibri" w:eastAsia="Calibri" w:hAnsi="Calibri"/>
          <w:color w:val="1A1814"/>
          <w:sz w:val="19"/>
          <w:szCs w:val="19"/>
        </w:rPr>
        <w:t xml:space="preserve">Introvert-primed agents were independently measured as MORE HONEST and more reflective in communication than Extravert-primed agents, with longer, more deliberated reasoning — directly informed Miles (discretion) and Nora (asks before acting) leaning Introverted, since that's not just a stylistic choice but backed by a measured honesty effect.</w:t>
      </w:r>
    </w:p>
    <w:p>
      <w:pPr>
        <w:pStyle w:val="ListParagraph"/>
        <w:numPr>
          <w:ilvl w:val="0"/>
          <w:numId w:val="2"/>
        </w:numPr>
        <w:spacing w:after="85" w:line="275"/>
      </w:pPr>
      <w:r>
        <w:rPr>
          <w:sz w:val="19"/>
          <w:szCs w:val="19"/>
        </w:rPr>
        <w:t xml:space="preserve"/>
      </w:r>
      <w:r>
        <w:rPr>
          <w:rFonts w:ascii="Calibri" w:cs="Calibri" w:eastAsia="Calibri" w:hAnsi="Calibri"/>
          <w:color w:val="1A1814"/>
          <w:sz w:val="19"/>
          <w:szCs w:val="19"/>
        </w:rPr>
        <w:t xml:space="preserve">Judging-primed agents were more reliable and rule-adherent than Perceiving-primed agents in the study's game-theoretic tests — informed the Judging lean for the more structured personas (Grace, Miles, Jane).</w:t>
      </w:r>
    </w:p>
    <w:p>
      <w:pPr>
        <w:pStyle w:val="ListParagraph"/>
        <w:numPr>
          <w:ilvl w:val="0"/>
          <w:numId w:val="2"/>
        </w:numPr>
        <w:spacing w:after="85" w:line="275"/>
      </w:pPr>
      <w:r>
        <w:rPr>
          <w:sz w:val="19"/>
          <w:szCs w:val="19"/>
        </w:rPr>
        <w:t xml:space="preserve"/>
      </w:r>
      <w:r>
        <w:rPr>
          <w:rFonts w:ascii="Calibri" w:cs="Calibri" w:eastAsia="Calibri" w:hAnsi="Calibri"/>
          <w:color w:val="1A1814"/>
          <w:sz w:val="19"/>
          <w:szCs w:val="19"/>
        </w:rPr>
        <w:t xml:space="preserve">Thinking-primed agents held more consistent (less reactive) strategies under pressure — relevant to Dean's built-in technical directness.</w:t>
      </w:r>
    </w:p>
    <w:p>
      <w:pPr>
        <w:pStyle w:val="Heading1"/>
        <w:pBdr>
          <w:bottom w:val="single" w:color="8A6D4F" w:sz="6" w:space="4"/>
        </w:pBdr>
        <w:spacing w:after="150" w:before="380"/>
      </w:pPr>
      <w:r>
        <w:rPr>
          <w:rFonts w:ascii="Georgia" w:cs="Georgia" w:eastAsia="Georgia" w:hAnsi="Georgia"/>
          <w:b/>
          <w:bCs/>
          <w:color w:val="1A1814"/>
          <w:sz w:val="29"/>
          <w:szCs w:val="29"/>
        </w:rPr>
        <w:t xml:space="preserve">4. The full roster, before and after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2000"/>
        <w:gridCol w:w="3100"/>
      </w:tblGrid>
      <w:tr>
        <w:tc>
          <w:tcPr>
            <w:tcW w:type="dxa" w:w="1650"/>
            <w:shd w:fill="F3EFE6"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Persona</w:t>
            </w:r>
          </w:p>
        </w:tc>
        <w:tc>
          <w:tcPr>
            <w:tcW w:type="dxa" w:w="2350"/>
            <w:shd w:fill="F3EFE6"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Original description</w:t>
            </w:r>
          </w:p>
        </w:tc>
        <w:tc>
          <w:tcPr>
            <w:tcW w:type="dxa" w:w="2000"/>
            <w:shd w:fill="F3EFE6"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Type basis (new)</w:t>
            </w:r>
          </w:p>
        </w:tc>
        <w:tc>
          <w:tcPr>
            <w:tcW w:type="dxa" w:w="3100"/>
            <w:shd w:fill="F3EFE6"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Why this type</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Curant</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Warm, sharp, adaptable</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ENFJ-leaning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Default/generalist — deliberately doesn't lean hard into any single extreme, unlike the more specialized personas.</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Grace</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Composed, precise, formal, executive</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ESTJ-leaning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Direct match to “Executive” archetype; Judging-lean research ties to reliability, the actual point of an executive assistant.</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Dean</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Fast, casual, technical</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ISTP-leaning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“Virtuoso” — practical, hands-on; Thinking-primed research shows consistent, logic-first reasoning matching Dean's directness.</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Nora</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Thoughtful, asks before acting</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INFJ-leaning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“Advocate” — Introvert-primed research showed more reflective, deliberate responses, the actual mechanism behind asking first.</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Frank</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Warm, casual, upbeat, low-pressure</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ESFP-leaning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“Entertainer” — Feeling-primed research showed measurably warmer, more personal output.</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Miles</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Quiet, minimal, exact, discreet</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ISTJ-leaning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“Logistician” — Introvert-primed research found measurably higher honesty, a real reason for a discretion-focused persona, not just style.</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Jane</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Precise, structured, organizer</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ISFJ-leaning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“Defender” — structured like Miles, but protective/in-service motivation differentiates “organizer looking out for you” from pure exactness.</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Leo</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Calm, even-keeled, steady under pressure</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ISFP-leaning (Assertive variant)</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Steadiness under stress is its own dimension (the Identity axis), not a byproduct of the four core traits — framed around that directly.</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August</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Imaginative, hands-on, creative specialist</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ENFP-leaning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“Campaigner” — expressive, genuinely energized by open-ended creative problems rather than executing a spec.</w:t>
            </w:r>
          </w:p>
        </w:tc>
      </w:tr>
      <w:tr>
        <w:tc>
          <w:tcPr>
            <w:tcW w:type="dxa" w:w="1650"/>
            <w:shd w:fill="FFFFFF" w:val="clear"/>
            <w:tcMar>
              <w:top w:type="dxa" w:w="85"/>
              <w:left w:type="dxa" w:w="110"/>
              <w:bottom w:type="dxa" w:w="85"/>
              <w:right w:type="dxa" w:w="110"/>
            </w:tcMar>
            <w:vAlign w:val="center"/>
          </w:tcPr>
          <w:p>
            <w:r>
              <w:rPr>
                <w:rFonts w:ascii="Calibri" w:cs="Calibri" w:eastAsia="Calibri" w:hAnsi="Calibri"/>
                <w:b/>
                <w:bCs/>
                <w:color w:val="1A1814"/>
                <w:sz w:val="17"/>
                <w:szCs w:val="17"/>
              </w:rPr>
              <w:t xml:space="preserve">Aaron (renamed from Reed)</w:t>
            </w:r>
          </w:p>
        </w:tc>
        <w:tc>
          <w:tcPr>
            <w:tcW w:type="dxa" w:w="235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Warm, practical, teaching-colleague</w:t>
            </w:r>
          </w:p>
        </w:tc>
        <w:tc>
          <w:tcPr>
            <w:tcW w:type="dxa" w:w="20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ESFJ-leaning</w:t>
            </w:r>
          </w:p>
        </w:tc>
        <w:tc>
          <w:tcPr>
            <w:tcW w:type="dxa" w:w="3100"/>
            <w:shd w:fill="FFFFFF" w:val="clear"/>
            <w:tcMar>
              <w:top w:type="dxa" w:w="85"/>
              <w:left w:type="dxa" w:w="110"/>
              <w:bottom w:type="dxa" w:w="85"/>
              <w:right w:type="dxa" w:w="110"/>
            </w:tcMar>
            <w:vAlign w:val="center"/>
          </w:tcPr>
          <w:p>
            <w:r>
              <w:rPr>
                <w:rFonts w:ascii="Calibri" w:cs="Calibri" w:eastAsia="Calibri" w:hAnsi="Calibri"/>
                <w:b w:val="false"/>
                <w:bCs w:val="false"/>
                <w:color w:val="1A1814"/>
                <w:sz w:val="17"/>
                <w:szCs w:val="17"/>
              </w:rPr>
              <w:t xml:space="preserve">“Consul” — warm, dutiful, organizes support around a community rather than an individual — the actual shape of a teacher's daily needs.</w:t>
            </w:r>
          </w:p>
        </w:tc>
      </w:tr>
    </w:tbl>
    <w:p>
      <w:pPr>
        <w:spacing w:after="160"/>
      </w:pPr>
    </w:p>
    <w:p>
      <w:pPr>
        <w:pStyle w:val="Heading1"/>
        <w:pBdr>
          <w:bottom w:val="single" w:color="8A6D4F" w:sz="6" w:space="4"/>
        </w:pBdr>
        <w:spacing w:after="150" w:before="380"/>
      </w:pPr>
      <w:r>
        <w:rPr>
          <w:rFonts w:ascii="Georgia" w:cs="Georgia" w:eastAsia="Georgia" w:hAnsi="Georgia"/>
          <w:b/>
          <w:bCs/>
          <w:color w:val="1A1814"/>
          <w:sz w:val="29"/>
          <w:szCs w:val="29"/>
        </w:rPr>
        <w:t xml:space="preserve">5. What actually changed vs. what stayed the same</w:t>
      </w:r>
    </w:p>
    <w:p>
      <w:pPr>
        <w:pStyle w:val="ListParagraph"/>
        <w:numPr>
          <w:ilvl w:val="0"/>
          <w:numId w:val="2"/>
        </w:numPr>
        <w:spacing w:after="85" w:line="275"/>
      </w:pPr>
      <w:r>
        <w:rPr>
          <w:rFonts w:ascii="Calibri" w:cs="Calibri" w:eastAsia="Calibri" w:hAnsi="Calibri"/>
          <w:b/>
          <w:bCs/>
          <w:color w:val="1A1814"/>
          <w:sz w:val="19"/>
          <w:szCs w:val="19"/>
        </w:rPr>
        <w:t xml:space="preserve">Unchanged: </w:t>
      </w:r>
      <w:r>
        <w:rPr>
          <w:rFonts w:ascii="Calibri" w:cs="Calibri" w:eastAsia="Calibri" w:hAnsi="Calibri"/>
          <w:color w:val="1A1814"/>
          <w:sz w:val="19"/>
          <w:szCs w:val="19"/>
        </w:rPr>
        <w:t xml:space="preserve">Original tone descriptions, all functional behavior rules (Aaron's grading-draft rules, August's generation gating, every persona's core voice) — nothing about how any persona actually behaves was altered.</w:t>
      </w:r>
    </w:p>
    <w:p>
      <w:pPr>
        <w:pStyle w:val="ListParagraph"/>
        <w:numPr>
          <w:ilvl w:val="0"/>
          <w:numId w:val="2"/>
        </w:numPr>
        <w:spacing w:after="85" w:line="275"/>
      </w:pPr>
      <w:r>
        <w:rPr>
          <w:rFonts w:ascii="Calibri" w:cs="Calibri" w:eastAsia="Calibri" w:hAnsi="Calibri"/>
          <w:b/>
          <w:bCs/>
          <w:color w:val="1A1814"/>
          <w:sz w:val="19"/>
          <w:szCs w:val="19"/>
        </w:rPr>
        <w:t xml:space="preserve">Added: </w:t>
      </w:r>
      <w:r>
        <w:rPr>
          <w:rFonts w:ascii="Calibri" w:cs="Calibri" w:eastAsia="Calibri" w:hAnsi="Calibri"/>
          <w:color w:val="1A1814"/>
          <w:sz w:val="19"/>
          <w:szCs w:val="19"/>
        </w:rPr>
        <w:t xml:space="preserve">Every persona now carries an explicit psychology basis in its system prompt — a stated design rationale connecting its existing tone to real research findings, giving each one a documented “why,” not just a description.</w:t>
      </w:r>
    </w:p>
    <w:p>
      <w:pPr>
        <w:pStyle w:val="ListParagraph"/>
        <w:numPr>
          <w:ilvl w:val="0"/>
          <w:numId w:val="2"/>
        </w:numPr>
        <w:spacing w:after="85" w:line="275"/>
      </w:pPr>
      <w:r>
        <w:rPr>
          <w:rFonts w:ascii="Calibri" w:cs="Calibri" w:eastAsia="Calibri" w:hAnsi="Calibri"/>
          <w:b/>
          <w:bCs/>
          <w:color w:val="1A1814"/>
          <w:sz w:val="19"/>
          <w:szCs w:val="19"/>
        </w:rPr>
        <w:t xml:space="preserve">Renamed: </w:t>
      </w:r>
      <w:r>
        <w:rPr>
          <w:rFonts w:ascii="Calibri" w:cs="Calibri" w:eastAsia="Calibri" w:hAnsi="Calibri"/>
          <w:color w:val="1A1814"/>
          <w:sz w:val="19"/>
          <w:szCs w:val="19"/>
        </w:rPr>
        <w:t xml:space="preserve">Reed → Aaron, cleanly, throughout both codebases — grading calibration tools, database comments, CLI help text, voice mapping. Verified zero stray references remain in either codebase, and confirmed the grading calibration system (still fully functional) now gates on the new name.</w:t>
      </w:r>
    </w:p>
    <w:p>
      <w:pPr>
        <w:spacing w:after="220"/>
      </w:pPr>
    </w:p>
    <w:p>
      <w:pPr>
        <w:pBdr>
          <w:top w:val="single" w:color="D9D3C4" w:sz="4" w:space="8"/>
        </w:pBdr>
        <w:spacing w:before="160"/>
      </w:pPr>
      <w:r>
        <w:rPr>
          <w:rFonts w:ascii="Calibri" w:cs="Calibri" w:eastAsia="Calibri" w:hAnsi="Calibri"/>
          <w:i/>
          <w:iCs/>
          <w:color w:val="6B6459"/>
          <w:sz w:val="16"/>
          <w:szCs w:val="16"/>
        </w:rPr>
        <w:t xml:space="preserve">Verified directly against the actual codebase after every change — rename cleanliness, gating logic, and grading calibration mechanics all re-tested post-rework, not assumed to still work.</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2026-07-28T03:39:52.671Z</dcterms:created>
  <dcterms:modified xsi:type="dcterms:W3CDTF">2026-07-28T03:39:52.693Z</dcterms:modified>
</cp:coreProperties>
</file>

<file path=docProps/custom.xml><?xml version="1.0" encoding="utf-8"?>
<Properties xmlns="http://schemas.openxmlformats.org/officeDocument/2006/custom-properties" xmlns:vt="http://schemas.openxmlformats.org/officeDocument/2006/docPropsVTypes"/>
</file>