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Georgia" w:cs="Georgia" w:eastAsia="Georgia" w:hAnsi="Georgia"/>
          <w:b/>
          <w:bCs/>
          <w:color w:val="1A1814"/>
          <w:sz w:val="52"/>
          <w:szCs w:val="52"/>
        </w:rPr>
        <w:t xml:space="preserve">CURANT</w:t>
      </w:r>
    </w:p>
    <w:p>
      <w:pPr>
        <w:spacing w:after="40"/>
      </w:pPr>
      <w:r>
        <w:rPr>
          <w:rFonts w:ascii="Calibri" w:cs="Calibri" w:eastAsia="Calibri" w:hAnsi="Calibri"/>
          <w:color w:val="8A6D4F"/>
          <w:sz w:val="24"/>
          <w:szCs w:val="24"/>
        </w:rPr>
        <w:t xml:space="preserve">Product &amp; Business Summary — for mentor review</w:t>
      </w:r>
    </w:p>
    <w:p>
      <w:pPr>
        <w:spacing w:after="500"/>
      </w:pP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An AI personal secretary, reachable by text or call. This document covers everything finalized to date: the product structure, every choice a customer can make, the real costs behind each one, and open questions still needing a decision.</w:t>
      </w:r>
    </w:p>
    <w:p>
      <w:pPr>
        <w:pStyle w:val="Heading1"/>
        <w:pBdr>
          <w:bottom w:val="single" w:color="8A6D4F" w:sz="6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1. Product structure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A1814"/>
          <w:sz w:val="21"/>
          <w:szCs w:val="21"/>
        </w:rPr>
        <w:t xml:space="preserve">Curant exists in two tiers, aimed at different customers: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Curant Home.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Fully local, runs on the customer's own Mac Mini (or any Mac, or a Windows/Linux PC via Docker). Reachable by iMessage. Nothing about the customer's conversations, memory, or activity ever touches Curant's own servers — this is the maximum-privacy option, aimed at customers who care most about that and are willing to either own or set up hardware.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Curant Cloud.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Hosted by the business. No hardware required — the customer gets a real phone number and just starts texting or calling it. Aimed at customers who aren't on Apple, don't want to buy hardware, or just want zero setup.</w:t>
      </w:r>
    </w:p>
    <w:p>
      <w:pPr>
        <w:pBdr>
          <w:left w:val="single" w:color="8A6D4F" w:sz="12" w:space="8"/>
        </w:pBdr>
        <w:spacing w:after="200" w:before="80" w:line="280"/>
        <w:ind w:left="360"/>
      </w:pP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Every AI/LLM cost in both tiers is bring-your-own-key (BYOK) — the customer's own Anthropic or OpenAI key, billed to their own account. This is true even for Cloud's “we store your key” option (see §2) — it changes where the key is held, never who it's billed to. This is the single most important cost fact in this whole document: the business's AI compute cost is $0, in every configuration.</w:t>
      </w:r>
    </w:p>
    <w:p>
      <w:pPr>
        <w:pStyle w:val="Heading1"/>
        <w:pBdr>
          <w:bottom w:val="single" w:color="8A6D4F" w:sz="6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2. Choices Cloud customers make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1A1814"/>
          <w:sz w:val="24"/>
          <w:szCs w:val="24"/>
        </w:rPr>
        <w:t xml:space="preserve">2.1 Where the API key lives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A1814"/>
          <w:sz w:val="21"/>
          <w:szCs w:val="21"/>
        </w:rPr>
        <w:t xml:space="preserve">Resolved by giving the customer the choice directly, rather than picking one architecture for everyone: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Option A — “We store it.”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The key is encrypted (Fernet, plus the whole database is separately encrypted at rest with SQLCipher — two independent layers) and stored on the business's server. Simplest for the customer. Curant answers every message immediately, including scheduled proactive check-ins.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Option B — “You hold it.”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The key is encrypted in the customer's own browser (Web Crypto, PBKDF2 with 310,000 iterations, AES-GCM) before it ever leaves their device. The server only ever holds ciphertext it is structurally unable to decrypt. Requires a one-time “tap to unlock” step each session; proactive check-ins need an active session to work.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1A1814"/>
          <w:sz w:val="24"/>
          <w:szCs w:val="24"/>
        </w:rPr>
        <w:t xml:space="preserve">2.2 Everything else (same choices as Home)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Persona.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Nine options: Curant, Grace, Dean, Nora, Frank, Miles, Jane, Leo, August. Style/tone only — no cost difference between any of them.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August add-on.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The specialist creative persona. Every persona can brainstorm or plan a creative project through ordinary reasoning at no extra cost; only August, with the add-on unlocked, can produce a finished image, voice clip, or video. All generation is BYOK — the customer's own key to FLUX, Ideogram, ElevenLabs, or Google Veo.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Browser automation add-on.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A separate add-on (not tied to August) letting Curant actually fill out and submit forms on real websites, not just describe them. Hard-blocked in code — not just by instruction — from ever touching a field that looks like payment or ID data, regardless of confirmation.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MCP connections.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Any external tool with its own MCP server (Gmail, Notion, Slack, task managers, and a fast-growing list of others) can be connected directly. This is configuration, not paid development — zero cost either way.</w:t>
      </w:r>
    </w:p>
    <w:p>
      <w:pPr>
        <w:pStyle w:val="Heading1"/>
        <w:pBdr>
          <w:bottom w:val="single" w:color="8A6D4F" w:sz="6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3. What costs the business money — and what never does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1A1814"/>
          <w:sz w:val="24"/>
          <w:szCs w:val="24"/>
        </w:rPr>
        <w:t xml:space="preserve">3.1 Always $0 to the business, regardless of tier or choice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All AI/LLM inference (Anthropic, OpenAI) — customer's own key, customer's own bill.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All August generation (FLUX, Ideogram, ElevenLabs, Veo) — same BYOK model.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The customer's own hardware (Home), or their own existing subscriptions to services connected via MCP (e.g. Descript).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1A1814"/>
          <w:sz w:val="24"/>
          <w:szCs w:val="24"/>
        </w:rPr>
        <w:t xml:space="preserve">3.2 Real, confirmed costs — Cloud, per customer per month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600"/>
        <w:gridCol w:w="2400"/>
      </w:tblGrid>
      <w:tr>
        <w:tc>
          <w:tcPr>
            <w:tcW w:type="dxa" w:w="4700"/>
            <w:shd w:fill="F3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Item</w:t>
            </w:r>
          </w:p>
        </w:tc>
        <w:tc>
          <w:tcPr>
            <w:tcW w:type="dxa" w:w="2600"/>
            <w:shd w:fill="F3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Cost</w:t>
            </w:r>
          </w:p>
        </w:tc>
        <w:tc>
          <w:tcPr>
            <w:tcW w:type="dxa" w:w="2400"/>
            <w:shd w:fill="F3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Telnyx phone number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$1.00 / mo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Telnyx's own pricing page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Telnyx SMS add-on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$0.10 / mo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Telnyx's own pricing page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SMS usage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~$0.003–$0.005 / message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Carrier surcharge + Telnyx per-segment rate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Stripe processing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2.9% + $0.30 / transaction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Stripe's published rate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Google Workspace utility account (optional)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$3–$8 / seat / mo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Direct-from-Google vs. authorized distributor, both confirmed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Voice (Vapi), under the subsidy plan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Bundled free minutes fully covered, then 50% of cost on overage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Vapi's current $0.40/sec Standard rate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1A1814"/>
          <w:sz w:val="24"/>
          <w:szCs w:val="24"/>
        </w:rPr>
        <w:t xml:space="preserve">3.3 Fixed costs — not per customer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600"/>
        <w:gridCol w:w="2400"/>
      </w:tblGrid>
      <w:tr>
        <w:tc>
          <w:tcPr>
            <w:tcW w:type="dxa" w:w="4700"/>
            <w:shd w:fill="F3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Item</w:t>
            </w:r>
          </w:p>
        </w:tc>
        <w:tc>
          <w:tcPr>
            <w:tcW w:type="dxa" w:w="2600"/>
            <w:shd w:fill="F3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Cost</w:t>
            </w:r>
          </w:p>
        </w:tc>
        <w:tc>
          <w:tcPr>
            <w:tcW w:type="dxa" w:w="2400"/>
            <w:shd w:fill="F3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814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10DLC campaign fee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$10.00 / mo flat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Telnyx's own pricing page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10DLC brand registration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$4.50 one-time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Telnyx's own pricing page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VPS hosting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$5–$20 / mo, shared across all customers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814"/>
                <w:sz w:val="19"/>
                <w:szCs w:val="19"/>
              </w:rPr>
              <w:t xml:space="preserve">Standard market range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A1814"/>
          <w:sz w:val="21"/>
          <w:szCs w:val="21"/>
        </w:rPr>
        <w:t xml:space="preserve">Rough total fixed cost per Cloud customer: $5–$10/month before voice usage, once the Workspace add-on is offered. Lower if Workspace is left off entirely.</w:t>
      </w:r>
    </w:p>
    <w:p>
      <w:pPr>
        <w:pBdr>
          <w:left w:val="single" w:color="8A6D4F" w:sz="12" w:space="8"/>
        </w:pBdr>
        <w:spacing w:after="200" w:before="80" w:line="280"/>
        <w:ind w:left="360"/>
      </w:pPr>
      <w:r>
        <w:rPr>
          <w:rFonts w:ascii="Calibri" w:cs="Calibri" w:eastAsia="Calibri" w:hAnsi="Calibri"/>
          <w:i/>
          <w:iCs/>
          <w:color w:val="6B6459"/>
          <w:sz w:val="20"/>
          <w:szCs w:val="20"/>
        </w:rPr>
        <w:t xml:space="preserve">A live calculator was built separately: customer count, subscription price, SMS volume, and voice adoption go in as adjustable inputs, and total revenue / cost / margin update immediately — all using the confirmed numbers above as the underlying math, rather than a fixed table that goes stale. Actual profit isn't stated in this document because Home's and Cloud's exact prices haven't been finalized yet (see §5).</w:t>
      </w:r>
    </w:p>
    <w:p>
      <w:pPr>
        <w:pStyle w:val="Heading1"/>
        <w:pBdr>
          <w:bottom w:val="single" w:color="8A6D4F" w:sz="6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4. Extra findings worth knowing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The video-generation research changed the plan.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Sora's API is being fully discontinued September 24, 2026 — confirmed directly, which is why it was dropped from the plan entirely in favor of Google Veo. Separately, Veo 2.0 itself was already deprecated by the time this was researched — the build specifically targets the current model, not a stale one.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Not every integration needed custom code.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Descript has its own official hosted MCP server. Connecting it is one command a customer runs themselves — no custom integration had to be built.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Encryption is layered, not single-point.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Cloud's whole database is encrypted at rest (SQLCipher); Option A API keys get a second, independent layer of encryption (Fernet) on top of that.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Nothing generated sits around indefinitely.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Generated images, audio, and video are encrypted at rest and automatically deleted after 24 hours — long enough to deliver to the customer, no reason to keep them longer.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One real gap, flagged rather than hidden.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A customer's Option A/B key choice governs SMS, but voice calls currently run through one shared key in Vapi's own dashboard, not per-customer. Not a blocker today, but a real inconsistency worth a deliberate decision before voice scales up.</w:t>
      </w:r>
    </w:p>
    <w:p>
      <w:pPr>
        <w:pStyle w:val="Heading1"/>
        <w:pBdr>
          <w:bottom w:val="single" w:color="8A6D4F" w:sz="6" w:space="4"/>
        </w:pBdr>
        <w:spacing w:after="160" w:before="400"/>
      </w:pPr>
      <w:r>
        <w:rPr>
          <w:rFonts w:ascii="Georgia" w:cs="Georgia" w:eastAsia="Georgia" w:hAnsi="Georgia"/>
          <w:b/>
          <w:bCs/>
          <w:color w:val="1A1814"/>
          <w:sz w:val="30"/>
          <w:szCs w:val="30"/>
        </w:rPr>
        <w:t xml:space="preserve">5. Open questions — need a decision, not more building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Cloud's price point.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Anchored above Home's $20–$40/mo range; exact number not yet set.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Voice subsidy specifics.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Bundle size (e.g. 30 free minutes/mo) and whether to add a hard dollar cap on top of the 50% overage subsidy — shape agreed, exact numbers not set.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When to migrate voice from Vapi to Telnyx's native offering.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A 90-day post-launch check-in was suggested as the trigger point, not yet committed 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Setting up an actual Google Workspace domain.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Needed before Workspace features (Calendar, Drive, Docs, Sheets, Tasks, Contacts, full Gmail control) go live — everything for these is built and tested, entirely blocked on this one external step.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A2P 10DLC registration.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Its approval delay is fixed and doesn't shrink no matter what else happens — the most time-sensitive open item overall.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  <w:color w:val="1A1814"/>
          <w:sz w:val="21"/>
          <w:szCs w:val="21"/>
        </w:rPr>
        <w:t xml:space="preserve">A Stripe account. </w:t>
      </w:r>
      <w:r>
        <w:rPr>
          <w:rFonts w:ascii="Calibri" w:cs="Calibri" w:eastAsia="Calibri" w:hAnsi="Calibri"/>
          <w:color w:val="1A1814"/>
          <w:sz w:val="21"/>
          <w:szCs w:val="21"/>
        </w:rPr>
        <w:t xml:space="preserve">Needed for either tier's billing to be automatic rather than manual.</w:t>
      </w:r>
    </w:p>
    <w:p>
      <w:pPr>
        <w:spacing w:after="300"/>
      </w:pPr>
    </w:p>
    <w:p>
      <w:pPr>
        <w:pBdr>
          <w:top w:val="single" w:color="D9D3C4" w:sz="4" w:space="8"/>
        </w:pBdr>
        <w:spacing w:before="200"/>
      </w:pPr>
      <w:r>
        <w:rPr>
          <w:rFonts w:ascii="Calibri" w:cs="Calibri" w:eastAsia="Calibri" w:hAnsi="Calibri"/>
          <w:i/>
          <w:iCs/>
          <w:color w:val="6B6459"/>
          <w:sz w:val="18"/>
          <w:szCs w:val="18"/>
        </w:rPr>
        <w:t xml:space="preserve">Prepared as a summary of decisions made and verified to date, for mentor review.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2026-07-27T16:18:03.778Z</dcterms:created>
  <dcterms:modified xsi:type="dcterms:W3CDTF">2026-07-27T16:18:03.793Z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