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Georgia" w:cs="Georgia" w:eastAsia="Georgia" w:hAnsi="Georgia"/>
          <w:b/>
          <w:bCs/>
          <w:color w:val="1A1814"/>
          <w:sz w:val="34"/>
          <w:szCs w:val="34"/>
        </w:rPr>
        <w:t xml:space="preserve">CURANT — PERSONA &amp; FEATURE REFERENCE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What each Curant persona has by default, what's gated behind an add-on, and what's specific to that persona alone.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814"/>
          <w:sz w:val="23"/>
          <w:szCs w:val="23"/>
        </w:rPr>
        <w:t xml:space="preserve">The shared baseline — every persona, no exceptions</w:t>
      </w:r>
    </w:p>
    <w:p>
      <w:pPr>
        <w:spacing w:after="160" w:line="300"/>
      </w:pPr>
      <w:r>
        <w:rPr>
          <w:rFonts w:ascii="Calibri" w:cs="Calibri" w:eastAsia="Calibri" w:hAnsi="Calibri"/>
          <w:color w:val="1A1814"/>
          <w:sz w:val="21"/>
          <w:szCs w:val="21"/>
        </w:rPr>
        <w:t xml:space="preserve">All ten personas run on the same Claude-powered baseline skillset, with zero setup and zero extra cost: writing &amp; communication, research &amp; education, math/data/analysis, legal &amp; government basics, medical/health info in plain language, financial/business questions, logistics &amp; life admin, home &amp; family, career development, trades &amp; real estate, events &amp; hospitality, and civic/accessibility topics. This is reasoning, not a tool — nothing here needs an add-on or a persona-specific unlock. The table below is about everything ON TOP of this baseline.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814"/>
          <w:sz w:val="23"/>
          <w:szCs w:val="23"/>
        </w:rPr>
        <w:t xml:space="preserve">General-purpose personas — tone only, zero feature differences</w:t>
      </w:r>
    </w:p>
    <w:p>
      <w:pPr>
        <w:spacing w:after="160" w:line="300"/>
      </w:pPr>
      <w:r>
        <w:rPr>
          <w:rFonts w:ascii="Calibri" w:cs="Calibri" w:eastAsia="Calibri" w:hAnsi="Calibri"/>
          <w:color w:val="1A1814"/>
          <w:sz w:val="21"/>
          <w:szCs w:val="21"/>
        </w:rPr>
        <w:t xml:space="preserve">Curant, Grace, Dean, Nora, Frank, Miles, Jane, and Leo differ only in how they talk — formal vs. casual, terse vs. thorough. Every feature in the table below is equally available to all eight, gated by add-on unlock, never by which of these eight is active.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814"/>
          <w:sz w:val="23"/>
          <w:szCs w:val="23"/>
        </w:rPr>
        <w:t xml:space="preserve">Specialist personas &amp; add-on gated features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600"/>
        <w:gridCol w:w="2600"/>
        <w:gridCol w:w="2000"/>
      </w:tblGrid>
      <w:tr>
        <w:tc>
          <w:tcPr>
            <w:tcW w:type="dxa" w:w="3400"/>
            <w:shd w:fill="F3EF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Feature</w:t>
            </w:r>
          </w:p>
        </w:tc>
        <w:tc>
          <w:tcPr>
            <w:tcW w:type="dxa" w:w="2600"/>
            <w:shd w:fill="F3EF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August
(needs 'august' add-on)</w:t>
            </w:r>
          </w:p>
        </w:tc>
        <w:tc>
          <w:tcPr>
            <w:tcW w:type="dxa" w:w="2600"/>
            <w:shd w:fill="F3EF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Aaron
(built in, no add-on)</w:t>
            </w:r>
          </w:p>
        </w:tc>
        <w:tc>
          <w:tcPr>
            <w:tcW w:type="dxa" w:w="2600"/>
            <w:shd w:fill="F3EF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Any general-purpose persona</w:t>
            </w:r>
          </w:p>
        </w:tc>
        <w:tc>
          <w:tcPr>
            <w:tcW w:type="dxa" w:w="2000"/>
            <w:shd w:fill="F3EFE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Where it lives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Image generation
(FLUX / Ideogram)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Home only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Voice clip generation
(ElevenLabs)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Home only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Video generation
(Google Veo, async)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Home only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Grading calibration
(rubric + example-based)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Default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Home and Cloud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Browser automation
(fill &amp; submit real forms)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Needs 'browser_automation' add-on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Needs 'browser_automation' add-on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Needs 'browser_automation' add-on</w:t>
            </w:r>
          </w:p>
        </w:tc>
        <w:tc>
          <w:tcPr>
            <w:tcW w:type="dxa" w:w="20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Home only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MCP connections
(Gmail, Notion, Slack, Descript, etc.)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Default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Default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Home &amp; Cloud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8"/>
                <w:szCs w:val="18"/>
              </w:rPr>
              <w:t xml:space="preserve">Spending summary
("how much have I spent")</w:t>
            </w:r>
          </w:p>
        </w:tc>
        <w:tc>
          <w:tcPr>
            <w:tcW w:type="dxa" w:w="2600"/>
            <w:shd w:fill="E8F0E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Default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shd w:fill="FAFA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6459"/>
                <w:sz w:val="18"/>
                <w:szCs w:val="18"/>
              </w:rPr>
              <w:t xml:space="preserve">Home only</w:t>
            </w:r>
          </w:p>
        </w:tc>
      </w:tr>
    </w:tbl>
    <w:p>
      <w:pPr>
        <w:spacing w:after="120"/>
      </w:pPr>
    </w:p>
    <w:p>
      <w:pPr>
        <w:pBdr>
          <w:left w:val="single" w:color="8A6D4F" w:sz="12" w:space="8"/>
        </w:pBdr>
        <w:spacing w:after="200" w:before="80" w:line="280"/>
        <w:ind w:left="360"/>
      </w:pPr>
      <w:r>
        <w:rPr>
          <w:rFonts w:ascii="Calibri" w:cs="Calibri" w:eastAsia="Calibri" w:hAnsi="Calibri"/>
          <w:i/>
          <w:iCs/>
          <w:color w:val="6B6459"/>
          <w:sz w:val="19"/>
          <w:szCs w:val="19"/>
        </w:rPr>
        <w:t xml:space="preserve">“Default” = works the moment that persona is active, no add-on needed. “Yes” = works once the named add-on is unlocked. Browser automation is deliberately its own add-on, independent of persona — it used to incorrectly require August's add-on specifically; that gating was reworked so any persona can use it once a customer unlocks it.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814"/>
          <w:sz w:val="23"/>
          <w:szCs w:val="23"/>
        </w:rPr>
        <w:t xml:space="preserve">Cloud-specific features — not persona-gated at all</w:t>
      </w:r>
    </w:p>
    <w:p>
      <w:pPr>
        <w:spacing w:after="160" w:line="300"/>
      </w:pPr>
      <w:r>
        <w:rPr>
          <w:rFonts w:ascii="Calibri" w:cs="Calibri" w:eastAsia="Calibri" w:hAnsi="Calibri"/>
          <w:color w:val="1A1814"/>
          <w:sz w:val="21"/>
          <w:szCs w:val="21"/>
        </w:rPr>
        <w:t xml:space="preserve">These exist only on Cloud, and are gated by account setup, not by which persona is talking: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0"/>
          <w:szCs w:val="20"/>
        </w:rPr>
        <w:t xml:space="preserve">API key storage (Option A / Option B). </w:t>
      </w:r>
      <w:r>
        <w:rPr>
          <w:rFonts w:ascii="Calibri" w:cs="Calibri" w:eastAsia="Calibri" w:hAnsi="Calibri"/>
          <w:color w:val="1A1814"/>
          <w:sz w:val="20"/>
          <w:szCs w:val="20"/>
        </w:rPr>
        <w:t xml:space="preserve">Encrypted server-side, or held entirely in the customer's own browser — the customer's choice at signup, not tied to any persona.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0"/>
          <w:szCs w:val="20"/>
        </w:rPr>
        <w:t xml:space="preserve">Voice calls. </w:t>
      </w:r>
      <w:r>
        <w:rPr>
          <w:rFonts w:ascii="Calibri" w:cs="Calibri" w:eastAsia="Calibri" w:hAnsi="Calibri"/>
          <w:color w:val="1A1814"/>
          <w:sz w:val="20"/>
          <w:szCs w:val="20"/>
        </w:rPr>
        <w:t xml:space="preserve">Real phone calls via Vapi. Works for whichever persona is active, each with its own distinct ElevenLabs voice — including Aaron.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0"/>
          <w:szCs w:val="20"/>
        </w:rPr>
        <w:t xml:space="preserve">Full Google Workspace suite. </w:t>
      </w:r>
      <w:r>
        <w:rPr>
          <w:rFonts w:ascii="Calibri" w:cs="Calibri" w:eastAsia="Calibri" w:hAnsi="Calibri"/>
          <w:color w:val="1A1814"/>
          <w:sz w:val="20"/>
          <w:szCs w:val="20"/>
        </w:rPr>
        <w:t xml:space="preserve">Gmail, Calendar, Drive, Docs, Sheets, Tasks, Contacts — available to ANY persona once a customer has a Workspace account provisioned. Not persona-specific, not add-on-specific — gated purely on whether that customer has the utility account set up.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814"/>
          <w:sz w:val="23"/>
          <w:szCs w:val="23"/>
        </w:rPr>
        <w:t xml:space="preserve">What's Home-only right now, stated plainly</w:t>
      </w:r>
    </w:p>
    <w:p>
      <w:pPr>
        <w:spacing w:after="160" w:line="300"/>
      </w:pPr>
      <w:r>
        <w:rPr>
          <w:rFonts w:ascii="Calibri" w:cs="Calibri" w:eastAsia="Calibri" w:hAnsi="Calibri"/>
          <w:color w:val="1A1814"/>
          <w:sz w:val="21"/>
          <w:szCs w:val="21"/>
        </w:rPr>
        <w:t xml:space="preserve">Three real capabilities exist only in Curant Home's codebase, not yet ported to Cloud — flagged here so this table doesn't imply feature parity that doesn't exist: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0"/>
          <w:szCs w:val="20"/>
        </w:rPr>
        <w:t xml:space="preserve">August's specialist tools. </w:t>
      </w:r>
      <w:r>
        <w:rPr>
          <w:rFonts w:ascii="Calibri" w:cs="Calibri" w:eastAsia="Calibri" w:hAnsi="Calibri"/>
          <w:color w:val="1A1814"/>
          <w:sz w:val="20"/>
          <w:szCs w:val="20"/>
        </w:rPr>
        <w:t xml:space="preserve">Image, voice, and video generation — FLUX, Ideogram, ElevenLabs, and Google Veo integrations all live in Home's code only.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0"/>
          <w:szCs w:val="20"/>
        </w:rPr>
        <w:t xml:space="preserve">Aaron's grading calibration. </w:t>
      </w:r>
      <w:r>
        <w:rPr>
          <w:rFonts w:ascii="Calibri" w:cs="Calibri" w:eastAsia="Calibri" w:hAnsi="Calibri"/>
          <w:color w:val="1A1814"/>
          <w:sz w:val="20"/>
          <w:szCs w:val="20"/>
        </w:rPr>
        <w:t xml:space="preserve">The entire calibration system — storage, spread-checking, correction feedback loop — was ported to Cloud with per-customer isolation, so this bullet is now historical: as of the current codebase, Aaron has his full grading calibration feature set on both Home and Cloud.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0"/>
          <w:szCs w:val="20"/>
        </w:rPr>
        <w:t xml:space="preserve">Browser automation. </w:t>
      </w:r>
      <w:r>
        <w:rPr>
          <w:rFonts w:ascii="Calibri" w:cs="Calibri" w:eastAsia="Calibri" w:hAnsi="Calibri"/>
          <w:color w:val="1A1814"/>
          <w:sz w:val="20"/>
          <w:szCs w:val="20"/>
        </w:rPr>
        <w:t xml:space="preserve">Playwright-based form filling exists only in Home's codebase.</w:t>
      </w:r>
    </w:p>
    <w:p>
      <w:pPr>
        <w:spacing w:after="200"/>
      </w:pPr>
    </w:p>
    <w:p>
      <w:pPr>
        <w:pBdr>
          <w:top w:val="single" w:color="D9D3C4" w:sz="4" w:space="8"/>
        </w:pBdr>
        <w:spacing w:before="160"/>
      </w:pPr>
      <w:r>
        <w:rPr>
          <w:rFonts w:ascii="Calibri" w:cs="Calibri" w:eastAsia="Calibri" w:hAnsi="Calibri"/>
          <w:i/>
          <w:iCs/>
          <w:color w:val="6B6459"/>
          <w:sz w:val="17"/>
          <w:szCs w:val="17"/>
        </w:rPr>
        <w:t xml:space="preserve">Reflects the codebase as actually built and tested — verified against the real gating logic in both curant-cli and Cloud's app.py before writing this, not from memory.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2026-07-28T03:26:25.566Z</dcterms:created>
  <dcterms:modified xsi:type="dcterms:W3CDTF">2026-07-28T03:26:25.593Z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