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Security Implementation Architecture</w:t>
      </w:r>
    </w:p>
    <w:p>
      <w:pPr>
        <w:jc w:val="center"/>
      </w:pPr>
      <w:r>
        <w:rPr>
          <w:sz w:val="18"/>
        </w:rPr>
        <w:t>RLogics Solutions | Saravanan T H | Version 1.0 | 11 October 2026</w:t>
      </w:r>
    </w:p>
    <w:p>
      <w:pPr>
        <w:pStyle w:val="Heading1"/>
      </w:pPr>
      <w:r>
        <w:t>1. Purpose and design principles</w:t>
      </w:r>
    </w:p>
    <w:p>
      <w:r>
        <w:t>This architecture joins source-to-production security controls for a Kubernetes platform that builds containerised services and supports AI-enabled applications, including RAG and tool-using agents. It uses open-source components where practical and treats security as a release and runtime process rather than a collection of disconnected scans.</w:t>
      </w:r>
    </w:p>
    <w:p>
      <w:r>
        <w:t>Principles: least privilege; block promotion when critical trust checks fail; use short-lived credentials; separate build, registry and runtime identities; preserve traceable evidence; minimise sensitive data in logs; and make exceptions explicit, time-bound and owned.</w:t>
      </w:r>
    </w:p>
    <w:p>
      <w:pPr>
        <w:pStyle w:val="Heading1"/>
      </w:pPr>
      <w:r>
        <w:t>2. Reference architecture</w:t>
      </w:r>
    </w:p>
    <w:p>
      <w:r>
        <w:rPr>
          <w:rFonts w:ascii="Consolas" w:hAnsi="Consolas"/>
          <w:sz w:val="14"/>
        </w:rPr>
        <w:t>DEVELOPER / SOURCE CONTROL                  CI TRUST BOUNDARY</w:t>
        <w:br/>
        <w:t>Code + pull request -&gt; review/branch rules -&gt; least-privilege CI identity</w:t>
        <w:br/>
        <w:t xml:space="preserve">                                               |</w:t>
        <w:br/>
        <w:t xml:space="preserve">                  +----------------------------+--------------------------+</w:t>
        <w:br/>
        <w:t xml:space="preserve">                  | Semgrep SAST | Trivy SCA/secrets | IaC/K8s policy     |</w:t>
        <w:br/>
        <w:t xml:space="preserve">                  | tests and policy gates                                  |</w:t>
        <w:br/>
        <w:t xml:space="preserve">                  +----------------------------+--------------------------+</w:t>
        <w:br/>
        <w:t xml:space="preserve">                                               | pass policy gates</w:t>
        <w:br/>
        <w:t xml:space="preserve">                         Build image -&gt; SBOM (Syft/Trivy) -&gt; scan image</w:t>
        <w:br/>
        <w:t xml:space="preserve">                                               |</w:t>
        <w:br/>
        <w:t xml:space="preserve">                              Cosign signature + provenance/attestation</w:t>
        <w:br/>
        <w:t xml:space="preserve">                                               |</w:t>
        <w:br/>
        <w:t xml:space="preserve">             REGISTRY TRUST BOUNDARY: scanned != signed != approved</w:t>
        <w:br/>
        <w:t xml:space="preserve">                                               |</w:t>
        <w:br/>
        <w:t xml:space="preserve">                         Kubernetes admission controls</w:t>
        <w:br/>
        <w:t xml:space="preserve">                 (Kyverno policy + signature/attestation verification)</w:t>
        <w:br/>
        <w:t xml:space="preserve">                                               |</w:t>
        <w:br/>
        <w:t xml:space="preserve">             +---------------------------------+---------------------------+</w:t>
        <w:br/>
        <w:t xml:space="preserve">             | Kubernetes workload, RBAC, namespace, NetworkPolicy        |</w:t>
        <w:br/>
        <w:t xml:space="preserve">             | Runtime detection + posture/drift monitoring               |</w:t>
        <w:br/>
        <w:t xml:space="preserve">             +----------------------+--------------------+----------------+</w:t>
        <w:br/>
        <w:t xml:space="preserve">                                    |                    |</w:t>
        <w:br/>
        <w:t xml:space="preserve">                          OpenBao identity/PKI     Logs, audit, evidence</w:t>
        <w:br/>
        <w:t xml:space="preserve">                          short-lived DB creds    SIEM/alert/IR hand-off</w:t>
        <w:br/>
        <w:br/>
        <w:t>DAST against authorised staging target + AI red-team tests against test RAG/agent</w:t>
        <w:br/>
        <w:t xml:space="preserve">                           -&gt; release decision + recurring assurance</w:t>
      </w:r>
    </w:p>
    <w:p>
      <w:r>
        <w:t>Key trust boundaries: (1) source control to CI, where untrusted code is evaluated; (2) CI to registry, where an artifact must have scan results and verifiable provenance; (3) registry to cluster admission, where only policy-approved artifacts may run. OpenBao and runtime telemetry are additional sensitive boundaries.</w:t>
      </w:r>
    </w:p>
    <w:p>
      <w:pPr>
        <w:pStyle w:val="Heading1"/>
      </w:pPr>
      <w:r>
        <w:t>3. Build-time controls and artifact trust</w:t>
      </w:r>
    </w:p>
    <w:tbl>
      <w:tblPr>
        <w:tblStyle w:val="TableGrid"/>
        <w:tblW w:type="auto" w:w="0"/>
        <w:tblLook w:firstColumn="1" w:firstRow="1" w:lastColumn="0" w:lastRow="0" w:noHBand="0" w:noVBand="1" w:val="04A0"/>
      </w:tblPr>
      <w:tblGrid>
        <w:gridCol w:w="3456"/>
        <w:gridCol w:w="3456"/>
        <w:gridCol w:w="3456"/>
      </w:tblGrid>
      <w:tr>
        <w:tc>
          <w:tcPr>
            <w:tcW w:type="dxa" w:w="3456"/>
            <w:shd w:fill="17365D"/>
          </w:tcPr>
          <w:p>
            <w:pPr>
              <w:spacing w:after="0"/>
            </w:pPr>
            <w:r/>
            <w:r>
              <w:rPr>
                <w:rFonts w:ascii="Aptos" w:hAnsi="Aptos"/>
                <w:b/>
                <w:color w:val="FFFFFF"/>
                <w:sz w:val="16"/>
              </w:rPr>
              <w:t>Control</w:t>
            </w:r>
          </w:p>
        </w:tc>
        <w:tc>
          <w:tcPr>
            <w:tcW w:type="dxa" w:w="3456"/>
            <w:shd w:fill="17365D"/>
          </w:tcPr>
          <w:p>
            <w:pPr>
              <w:spacing w:after="0"/>
            </w:pPr>
            <w:r/>
            <w:r>
              <w:rPr>
                <w:rFonts w:ascii="Aptos" w:hAnsi="Aptos"/>
                <w:b/>
                <w:color w:val="FFFFFF"/>
                <w:sz w:val="16"/>
              </w:rPr>
              <w:t>Implementation approach</w:t>
            </w:r>
          </w:p>
        </w:tc>
        <w:tc>
          <w:tcPr>
            <w:tcW w:type="dxa" w:w="3456"/>
            <w:shd w:fill="17365D"/>
          </w:tcPr>
          <w:p>
            <w:pPr>
              <w:spacing w:after="0"/>
            </w:pPr>
            <w:r/>
            <w:r>
              <w:rPr>
                <w:rFonts w:ascii="Aptos" w:hAnsi="Aptos"/>
                <w:b/>
                <w:color w:val="FFFFFF"/>
                <w:sz w:val="16"/>
              </w:rPr>
              <w:t>Decision / evidence</w:t>
            </w:r>
          </w:p>
        </w:tc>
      </w:tr>
      <w:tr>
        <w:tc>
          <w:tcPr>
            <w:tcW w:type="dxa" w:w="3456"/>
          </w:tcPr>
          <w:p>
            <w:pPr>
              <w:spacing w:after="0"/>
            </w:pPr>
            <w:r/>
            <w:r>
              <w:rPr>
                <w:rFonts w:ascii="Aptos" w:hAnsi="Aptos"/>
                <w:b w:val="0"/>
                <w:color w:val="222222"/>
                <w:sz w:val="15"/>
              </w:rPr>
              <w:t>SAST</w:t>
            </w:r>
          </w:p>
        </w:tc>
        <w:tc>
          <w:tcPr>
            <w:tcW w:type="dxa" w:w="3456"/>
          </w:tcPr>
          <w:p>
            <w:pPr>
              <w:spacing w:after="0"/>
            </w:pPr>
            <w:r/>
            <w:r>
              <w:rPr>
                <w:rFonts w:ascii="Aptos" w:hAnsi="Aptos"/>
                <w:b w:val="0"/>
                <w:color w:val="222222"/>
                <w:sz w:val="15"/>
              </w:rPr>
              <w:t>Run Semgrep on pull requests and default branch.</w:t>
            </w:r>
          </w:p>
        </w:tc>
        <w:tc>
          <w:tcPr>
            <w:tcW w:type="dxa" w:w="3456"/>
          </w:tcPr>
          <w:p>
            <w:pPr>
              <w:spacing w:after="0"/>
            </w:pPr>
            <w:r/>
            <w:r>
              <w:rPr>
                <w:rFonts w:ascii="Aptos" w:hAnsi="Aptos"/>
                <w:b w:val="0"/>
                <w:color w:val="222222"/>
                <w:sz w:val="15"/>
              </w:rPr>
              <w:t>Block on agreed high-confidence rules; document owned, time-bound exceptions.</w:t>
            </w:r>
          </w:p>
        </w:tc>
      </w:tr>
      <w:tr>
        <w:tc>
          <w:tcPr>
            <w:tcW w:type="dxa" w:w="3456"/>
          </w:tcPr>
          <w:p>
            <w:pPr>
              <w:spacing w:after="0"/>
            </w:pPr>
            <w:r/>
            <w:r>
              <w:rPr>
                <w:rFonts w:ascii="Aptos" w:hAnsi="Aptos"/>
                <w:b w:val="0"/>
                <w:color w:val="222222"/>
                <w:sz w:val="15"/>
              </w:rPr>
              <w:t>SCA, secrets, image</w:t>
            </w:r>
          </w:p>
        </w:tc>
        <w:tc>
          <w:tcPr>
            <w:tcW w:type="dxa" w:w="3456"/>
          </w:tcPr>
          <w:p>
            <w:pPr>
              <w:spacing w:after="0"/>
            </w:pPr>
            <w:r/>
            <w:r>
              <w:rPr>
                <w:rFonts w:ascii="Aptos" w:hAnsi="Aptos"/>
                <w:b w:val="0"/>
                <w:color w:val="222222"/>
                <w:sz w:val="15"/>
              </w:rPr>
              <w:t>Use Trivy for dependencies, image vulnerabilities, secrets and misconfiguration as applicable.</w:t>
            </w:r>
          </w:p>
        </w:tc>
        <w:tc>
          <w:tcPr>
            <w:tcW w:type="dxa" w:w="3456"/>
          </w:tcPr>
          <w:p>
            <w:pPr>
              <w:spacing w:after="0"/>
            </w:pPr>
            <w:r/>
            <w:r>
              <w:rPr>
                <w:rFonts w:ascii="Aptos" w:hAnsi="Aptos"/>
                <w:b w:val="0"/>
                <w:color w:val="222222"/>
                <w:sz w:val="15"/>
              </w:rPr>
              <w:t>Retain machine-readable reports; gate on defined severity/fixability, not every warning.</w:t>
            </w:r>
          </w:p>
        </w:tc>
      </w:tr>
      <w:tr>
        <w:tc>
          <w:tcPr>
            <w:tcW w:type="dxa" w:w="3456"/>
          </w:tcPr>
          <w:p>
            <w:pPr>
              <w:spacing w:after="0"/>
            </w:pPr>
            <w:r/>
            <w:r>
              <w:rPr>
                <w:rFonts w:ascii="Aptos" w:hAnsi="Aptos"/>
                <w:b w:val="0"/>
                <w:color w:val="222222"/>
                <w:sz w:val="15"/>
              </w:rPr>
              <w:t>IaC / Kubernetes</w:t>
            </w:r>
          </w:p>
        </w:tc>
        <w:tc>
          <w:tcPr>
            <w:tcW w:type="dxa" w:w="3456"/>
          </w:tcPr>
          <w:p>
            <w:pPr>
              <w:spacing w:after="0"/>
            </w:pPr>
            <w:r/>
            <w:r>
              <w:rPr>
                <w:rFonts w:ascii="Aptos" w:hAnsi="Aptos"/>
                <w:b w:val="0"/>
                <w:color w:val="222222"/>
                <w:sz w:val="15"/>
              </w:rPr>
              <w:t>Run the Python manifest checker in CI; add policy-as-code validation for broader coverage.</w:t>
            </w:r>
          </w:p>
        </w:tc>
        <w:tc>
          <w:tcPr>
            <w:tcW w:type="dxa" w:w="3456"/>
          </w:tcPr>
          <w:p>
            <w:pPr>
              <w:spacing w:after="0"/>
            </w:pPr>
            <w:r/>
            <w:r>
              <w:rPr>
                <w:rFonts w:ascii="Aptos" w:hAnsi="Aptos"/>
                <w:b w:val="0"/>
                <w:color w:val="222222"/>
                <w:sz w:val="15"/>
              </w:rPr>
              <w:t>Reject unsafe privileged/root/host settings and missing resource/security controls.</w:t>
            </w:r>
          </w:p>
        </w:tc>
      </w:tr>
      <w:tr>
        <w:tc>
          <w:tcPr>
            <w:tcW w:type="dxa" w:w="3456"/>
          </w:tcPr>
          <w:p>
            <w:pPr>
              <w:spacing w:after="0"/>
            </w:pPr>
            <w:r/>
            <w:r>
              <w:rPr>
                <w:rFonts w:ascii="Aptos" w:hAnsi="Aptos"/>
                <w:b w:val="0"/>
                <w:color w:val="222222"/>
                <w:sz w:val="15"/>
              </w:rPr>
              <w:t>SBOM</w:t>
            </w:r>
          </w:p>
        </w:tc>
        <w:tc>
          <w:tcPr>
            <w:tcW w:type="dxa" w:w="3456"/>
          </w:tcPr>
          <w:p>
            <w:pPr>
              <w:spacing w:after="0"/>
            </w:pPr>
            <w:r/>
            <w:r>
              <w:rPr>
                <w:rFonts w:ascii="Aptos" w:hAnsi="Aptos"/>
                <w:b w:val="0"/>
                <w:color w:val="222222"/>
                <w:sz w:val="15"/>
              </w:rPr>
              <w:t>Generate CycloneDX or SPDX with Syft/Trivy and associate it with the exact image digest.</w:t>
            </w:r>
          </w:p>
        </w:tc>
        <w:tc>
          <w:tcPr>
            <w:tcW w:type="dxa" w:w="3456"/>
          </w:tcPr>
          <w:p>
            <w:pPr>
              <w:spacing w:after="0"/>
            </w:pPr>
            <w:r/>
            <w:r>
              <w:rPr>
                <w:rFonts w:ascii="Aptos" w:hAnsi="Aptos"/>
                <w:b w:val="0"/>
                <w:color w:val="222222"/>
                <w:sz w:val="15"/>
              </w:rPr>
              <w:t>Store with build evidence; regenerate when artifact changes.</w:t>
            </w:r>
          </w:p>
        </w:tc>
      </w:tr>
      <w:tr>
        <w:tc>
          <w:tcPr>
            <w:tcW w:type="dxa" w:w="3456"/>
          </w:tcPr>
          <w:p>
            <w:pPr>
              <w:spacing w:after="0"/>
            </w:pPr>
            <w:r/>
            <w:r>
              <w:rPr>
                <w:rFonts w:ascii="Aptos" w:hAnsi="Aptos"/>
                <w:b w:val="0"/>
                <w:color w:val="222222"/>
                <w:sz w:val="15"/>
              </w:rPr>
              <w:t>Signing/provenance</w:t>
            </w:r>
          </w:p>
        </w:tc>
        <w:tc>
          <w:tcPr>
            <w:tcW w:type="dxa" w:w="3456"/>
          </w:tcPr>
          <w:p>
            <w:pPr>
              <w:spacing w:after="0"/>
            </w:pPr>
            <w:r/>
            <w:r>
              <w:rPr>
                <w:rFonts w:ascii="Aptos" w:hAnsi="Aptos"/>
                <w:b w:val="0"/>
                <w:color w:val="222222"/>
                <w:sz w:val="15"/>
              </w:rPr>
              <w:t>Sign immutable image digests with Cosign; attach verifiable provenance/attestations.</w:t>
            </w:r>
          </w:p>
        </w:tc>
        <w:tc>
          <w:tcPr>
            <w:tcW w:type="dxa" w:w="3456"/>
          </w:tcPr>
          <w:p>
            <w:pPr>
              <w:spacing w:after="0"/>
            </w:pPr>
            <w:r/>
            <w:r>
              <w:rPr>
                <w:rFonts w:ascii="Aptos" w:hAnsi="Aptos"/>
                <w:b w:val="0"/>
                <w:color w:val="222222"/>
                <w:sz w:val="15"/>
              </w:rPr>
              <w:t>A signature proves signer integrity, not safety by itself; verify identity and policy.</w:t>
            </w:r>
          </w:p>
        </w:tc>
      </w:tr>
      <w:tr>
        <w:tc>
          <w:tcPr>
            <w:tcW w:type="dxa" w:w="3456"/>
          </w:tcPr>
          <w:p>
            <w:pPr>
              <w:spacing w:after="0"/>
            </w:pPr>
            <w:r/>
            <w:r>
              <w:rPr>
                <w:rFonts w:ascii="Aptos" w:hAnsi="Aptos"/>
                <w:b w:val="0"/>
                <w:color w:val="222222"/>
                <w:sz w:val="15"/>
              </w:rPr>
              <w:t>DAST / AI tests</w:t>
            </w:r>
          </w:p>
        </w:tc>
        <w:tc>
          <w:tcPr>
            <w:tcW w:type="dxa" w:w="3456"/>
          </w:tcPr>
          <w:p>
            <w:pPr>
              <w:spacing w:after="0"/>
            </w:pPr>
            <w:r/>
            <w:r>
              <w:rPr>
                <w:rFonts w:ascii="Aptos" w:hAnsi="Aptos"/>
                <w:b w:val="0"/>
                <w:color w:val="222222"/>
                <w:sz w:val="15"/>
              </w:rPr>
              <w:t>Use OWASP ZAP on authorised staging; test prompt injection, leakage and tool abuse on test AI endpoints.</w:t>
            </w:r>
          </w:p>
        </w:tc>
        <w:tc>
          <w:tcPr>
            <w:tcW w:type="dxa" w:w="3456"/>
          </w:tcPr>
          <w:p>
            <w:pPr>
              <w:spacing w:after="0"/>
            </w:pPr>
            <w:r/>
            <w:r>
              <w:rPr>
                <w:rFonts w:ascii="Aptos" w:hAnsi="Aptos"/>
                <w:b w:val="0"/>
                <w:color w:val="222222"/>
                <w:sz w:val="15"/>
              </w:rPr>
              <w:t>Use controlled data; define high-impact release gates and retain results.</w:t>
            </w:r>
          </w:p>
        </w:tc>
      </w:tr>
    </w:tbl>
    <w:p>
      <w:r>
        <w:t>Candidate lab evidence includes Semgrep/Trivy findings and remediation, SBOM generation, a local Cosign blob-signature workflow and a configurable scan-gate helper. The observed Trivy report contained findings and the gate blocked; this is a fail-closed result, not a clean scan. The production pipeline above is a target design, not proof that every control is deployed in hosted CI.</w:t>
      </w:r>
    </w:p>
    <w:p>
      <w:r>
        <w:br w:type="page"/>
      </w:r>
    </w:p>
    <w:p>
      <w:pPr>
        <w:pStyle w:val="Heading1"/>
      </w:pPr>
      <w:r>
        <w:t>4. Admission, runtime and secrets controls</w:t>
      </w:r>
    </w:p>
    <w:p>
      <w:pPr>
        <w:pStyle w:val="Heading2"/>
      </w:pPr>
      <w:r>
        <w:t>Admission and workload controls</w:t>
      </w:r>
    </w:p>
    <w:p>
      <w:r>
        <w:t>Use Kyverno or an equivalent admission policy engine to enforce restricted workload settings, approved registries, required labels/resources, image signature verification and required attestations. Start in audit mode to measure impact, then enforce high-confidence rules. Verify immutable image digests and trusted signing identity; do not accept an artifact merely because it was scanned or signed. Apply namespace isolation, least-privilege RBAC, dedicated service accounts and NetworkPolicies.</w:t>
      </w:r>
    </w:p>
    <w:p>
      <w:pPr>
        <w:pStyle w:val="Heading2"/>
      </w:pPr>
      <w:r>
        <w:t>Runtime assurance and response</w:t>
      </w:r>
    </w:p>
    <w:p>
      <w:r>
        <w:t>Collect Kubernetes audit events, admission decisions, workload changes, image digests, security alerts and OpenBao audit events into a protected central logging path. Use runtime detection (e.g. Falco) and posture/drift checks (e.g. Kubescape or kube-bench where meaningful). Correlate findings to namespace, workload, image digest and deployment version. Alerts should create actionable incident tickets with owner, severity, evidence and containment guidance. Corrective actions include stopping rollout, rolling back to a known-good digest, revoking credentials, isolating a workload and rebuilding from verified source.</w:t>
      </w:r>
    </w:p>
    <w:p>
      <w:pPr>
        <w:pStyle w:val="Heading2"/>
      </w:pPr>
      <w:r>
        <w:t>OpenBao, PKI and database credentials</w:t>
      </w:r>
    </w:p>
    <w:p>
      <w:r>
        <w:t>Applications should authenticate to OpenBao using workload identity (for Kubernetes, a bound Kubernetes auth method or another supported workload identity), constrained policies and namespace/service-account mapping. Avoid root tokens and static application secrets. Keep a root CA offline or tightly protected, issue through an intermediate CA, and constrain short-lived leaf certificates by role/SAN policy. Use the database secrets engine for least-privilege, short-TTL database credentials; renew only when needed and revoke leases on workload retirement or incident response.</w:t>
      </w:r>
    </w:p>
    <w:p>
      <w:r>
        <w:t>The lab demonstrates local OpenBao PKI certificate issuance and dynamic PostgreSQL credentials with tested lease revocation. Production should add HA, protected durable storage, authenticated workload access, audited recovery, key protection/rotation and an outage strategy. Decide explicitly whether applications fail closed when credentials expire or OpenBao is unavailable; never silently fall back to embedded credentials.</w:t>
      </w:r>
    </w:p>
    <w:p>
      <w:pPr>
        <w:pStyle w:val="Heading1"/>
      </w:pPr>
      <w:r>
        <w:t>5. Preventive, detective and corrective controls</w:t>
      </w:r>
    </w:p>
    <w:tbl>
      <w:tblPr>
        <w:tblStyle w:val="TableGrid"/>
        <w:tblW w:type="auto" w:w="0"/>
        <w:tblLook w:firstColumn="1" w:firstRow="1" w:lastColumn="0" w:lastRow="0" w:noHBand="0" w:noVBand="1" w:val="04A0"/>
      </w:tblPr>
      <w:tblGrid>
        <w:gridCol w:w="3456"/>
        <w:gridCol w:w="3456"/>
        <w:gridCol w:w="3456"/>
      </w:tblGrid>
      <w:tr>
        <w:tc>
          <w:tcPr>
            <w:tcW w:type="dxa" w:w="3456"/>
            <w:shd w:fill="17365D"/>
          </w:tcPr>
          <w:p>
            <w:pPr>
              <w:spacing w:after="0"/>
            </w:pPr>
            <w:r/>
            <w:r>
              <w:rPr>
                <w:rFonts w:ascii="Aptos" w:hAnsi="Aptos"/>
                <w:b/>
                <w:color w:val="FFFFFF"/>
                <w:sz w:val="16"/>
              </w:rPr>
              <w:t>Class</w:t>
            </w:r>
          </w:p>
        </w:tc>
        <w:tc>
          <w:tcPr>
            <w:tcW w:type="dxa" w:w="3456"/>
            <w:shd w:fill="17365D"/>
          </w:tcPr>
          <w:p>
            <w:pPr>
              <w:spacing w:after="0"/>
            </w:pPr>
            <w:r/>
            <w:r>
              <w:rPr>
                <w:rFonts w:ascii="Aptos" w:hAnsi="Aptos"/>
                <w:b/>
                <w:color w:val="FFFFFF"/>
                <w:sz w:val="16"/>
              </w:rPr>
              <w:t>Examples</w:t>
            </w:r>
          </w:p>
        </w:tc>
        <w:tc>
          <w:tcPr>
            <w:tcW w:type="dxa" w:w="3456"/>
            <w:shd w:fill="17365D"/>
          </w:tcPr>
          <w:p>
            <w:pPr>
              <w:spacing w:after="0"/>
            </w:pPr>
            <w:r/>
            <w:r>
              <w:rPr>
                <w:rFonts w:ascii="Aptos" w:hAnsi="Aptos"/>
                <w:b/>
                <w:color w:val="FFFFFF"/>
                <w:sz w:val="16"/>
              </w:rPr>
              <w:t>Stage</w:t>
            </w:r>
          </w:p>
        </w:tc>
      </w:tr>
      <w:tr>
        <w:tc>
          <w:tcPr>
            <w:tcW w:type="dxa" w:w="3456"/>
          </w:tcPr>
          <w:p>
            <w:pPr>
              <w:spacing w:after="0"/>
            </w:pPr>
            <w:r/>
            <w:r>
              <w:rPr>
                <w:rFonts w:ascii="Aptos" w:hAnsi="Aptos"/>
                <w:b w:val="0"/>
                <w:color w:val="222222"/>
                <w:sz w:val="15"/>
              </w:rPr>
              <w:t>Preventive</w:t>
            </w:r>
          </w:p>
        </w:tc>
        <w:tc>
          <w:tcPr>
            <w:tcW w:type="dxa" w:w="3456"/>
          </w:tcPr>
          <w:p>
            <w:pPr>
              <w:spacing w:after="0"/>
            </w:pPr>
            <w:r/>
            <w:r>
              <w:rPr>
                <w:rFonts w:ascii="Aptos" w:hAnsi="Aptos"/>
                <w:b w:val="0"/>
                <w:color w:val="222222"/>
                <w:sz w:val="15"/>
              </w:rPr>
              <w:t>Branch protection; CI security gates; admission policy; least-privilege RBAC; NetworkPolicy.</w:t>
            </w:r>
          </w:p>
        </w:tc>
        <w:tc>
          <w:tcPr>
            <w:tcW w:type="dxa" w:w="3456"/>
          </w:tcPr>
          <w:p>
            <w:pPr>
              <w:spacing w:after="0"/>
            </w:pPr>
            <w:r/>
            <w:r>
              <w:rPr>
                <w:rFonts w:ascii="Aptos" w:hAnsi="Aptos"/>
                <w:b w:val="0"/>
                <w:color w:val="222222"/>
                <w:sz w:val="15"/>
              </w:rPr>
              <w:t>PR / build / admission</w:t>
            </w:r>
          </w:p>
        </w:tc>
      </w:tr>
      <w:tr>
        <w:tc>
          <w:tcPr>
            <w:tcW w:type="dxa" w:w="3456"/>
          </w:tcPr>
          <w:p>
            <w:pPr>
              <w:spacing w:after="0"/>
            </w:pPr>
            <w:r/>
            <w:r>
              <w:rPr>
                <w:rFonts w:ascii="Aptos" w:hAnsi="Aptos"/>
                <w:b w:val="0"/>
                <w:color w:val="222222"/>
                <w:sz w:val="15"/>
              </w:rPr>
              <w:t>Detective</w:t>
            </w:r>
          </w:p>
        </w:tc>
        <w:tc>
          <w:tcPr>
            <w:tcW w:type="dxa" w:w="3456"/>
          </w:tcPr>
          <w:p>
            <w:pPr>
              <w:spacing w:after="0"/>
            </w:pPr>
            <w:r/>
            <w:r>
              <w:rPr>
                <w:rFonts w:ascii="Aptos" w:hAnsi="Aptos"/>
                <w:b w:val="0"/>
                <w:color w:val="222222"/>
                <w:sz w:val="15"/>
              </w:rPr>
              <w:t>SAST/SCA/image reports; audit logs; runtime alerts; posture/drift scans; AI regression results.</w:t>
            </w:r>
          </w:p>
        </w:tc>
        <w:tc>
          <w:tcPr>
            <w:tcW w:type="dxa" w:w="3456"/>
          </w:tcPr>
          <w:p>
            <w:pPr>
              <w:spacing w:after="0"/>
            </w:pPr>
            <w:r/>
            <w:r>
              <w:rPr>
                <w:rFonts w:ascii="Aptos" w:hAnsi="Aptos"/>
                <w:b w:val="0"/>
                <w:color w:val="222222"/>
                <w:sz w:val="15"/>
              </w:rPr>
              <w:t>Build / runtime / scheduled</w:t>
            </w:r>
          </w:p>
        </w:tc>
      </w:tr>
      <w:tr>
        <w:tc>
          <w:tcPr>
            <w:tcW w:type="dxa" w:w="3456"/>
          </w:tcPr>
          <w:p>
            <w:pPr>
              <w:spacing w:after="0"/>
            </w:pPr>
            <w:r/>
            <w:r>
              <w:rPr>
                <w:rFonts w:ascii="Aptos" w:hAnsi="Aptos"/>
                <w:b w:val="0"/>
                <w:color w:val="222222"/>
                <w:sz w:val="15"/>
              </w:rPr>
              <w:t>Corrective</w:t>
            </w:r>
          </w:p>
        </w:tc>
        <w:tc>
          <w:tcPr>
            <w:tcW w:type="dxa" w:w="3456"/>
          </w:tcPr>
          <w:p>
            <w:pPr>
              <w:spacing w:after="0"/>
            </w:pPr>
            <w:r/>
            <w:r>
              <w:rPr>
                <w:rFonts w:ascii="Aptos" w:hAnsi="Aptos"/>
                <w:b w:val="0"/>
                <w:color w:val="222222"/>
                <w:sz w:val="15"/>
              </w:rPr>
              <w:t>Block promotion; revoke lease; roll back digest; patch/rebuild; isolate workload; incident ticket and retest.</w:t>
            </w:r>
          </w:p>
        </w:tc>
        <w:tc>
          <w:tcPr>
            <w:tcW w:type="dxa" w:w="3456"/>
          </w:tcPr>
          <w:p>
            <w:pPr>
              <w:spacing w:after="0"/>
            </w:pPr>
            <w:r/>
            <w:r>
              <w:rPr>
                <w:rFonts w:ascii="Aptos" w:hAnsi="Aptos"/>
                <w:b w:val="0"/>
                <w:color w:val="222222"/>
                <w:sz w:val="15"/>
              </w:rPr>
              <w:t>Release / incident response</w:t>
            </w:r>
          </w:p>
        </w:tc>
      </w:tr>
    </w:tbl>
    <w:p>
      <w:pPr>
        <w:pStyle w:val="Heading1"/>
      </w:pPr>
      <w:r>
        <w:t>6. Key compromise scenarios</w:t>
      </w:r>
    </w:p>
    <w:p>
      <w:r>
        <w:t>Signing-key compromise: rotate/revoke trust, investigate affected signatures and deployments, and re-sign only verified artifacts. CI identity compromise: suspend identity, restrict registry writes, inspect workflow changes and rebuild from reviewed source. Registry credential compromise: rotate credentials, review image digests/audit logs and rely on admission verification to block untrusted images. Admission bypass: restrict cluster-admin access, alert on policy changes, protect webhook configuration and periodically test deny paths.</w:t>
      </w:r>
    </w:p>
    <w:p>
      <w:pPr>
        <w:pStyle w:val="Heading1"/>
      </w:pPr>
      <w:r>
        <w:t>7. Governance, privacy and evidence</w:t>
      </w:r>
    </w:p>
    <w:p>
      <w:r>
        <w:t>Classify data before it enters prompts, logs or test corpora; minimise personal/customer data; keep data and evidence in approved regions; separate operator, developer and auditor access; redact secrets and sensitive prompt content from logs; and set retention/deletion rules. Preserve timestamped build/deployment evidence with artifact digests, policy versions, scan results, exception approvals, identity context and incident links. This may support ISO/IEC 27001, ISO/IEC 42001 and SOC 2 control operation but does not itself establish compliance or certification.</w:t>
      </w:r>
    </w:p>
    <w:p>
      <w:pPr>
        <w:pStyle w:val="Heading1"/>
      </w:pPr>
      <w:r>
        <w:t>8. First 90 days and production changes</w:t>
      </w:r>
    </w:p>
    <w:p>
      <w:pPr>
        <w:pStyle w:val="ListBullet"/>
      </w:pPr>
      <w:r>
        <w:t>Days 1–30: baseline repositories/workloads; add secret/SAST/SCA scanning, image SBOMs and explicit severity gates; assign finding owners.</w:t>
      </w:r>
    </w:p>
    <w:p>
      <w:pPr>
        <w:pStyle w:val="ListBullet"/>
      </w:pPr>
      <w:r>
        <w:t>Days 31–60: introduce signing/provenance and registry trust policy; deploy admission policies in audit mode, then enforce high-confidence controls.</w:t>
      </w:r>
    </w:p>
    <w:p>
      <w:pPr>
        <w:pStyle w:val="ListBullet"/>
      </w:pPr>
      <w:r>
        <w:t>Days 61–90: onboard workload identity and short-lived OpenBao credentials; centralise audit/runtime telemetry; add DAST and AI security regression tests; rehearse incident response.</w:t>
      </w:r>
    </w:p>
    <w:p>
      <w:r>
        <w:t>Production changes from the candidate lab: replace local single-node services and local signing keys with highly available, access-controlled services and managed key custody; use workload federation rather than static CI credentials; add authenticated admission policy and image verification; centralise protected evidence; establish exception expiry/ownership; and test recovery, rotation and fail-closed behaviour.</w:t>
      </w:r>
    </w:p>
    <w:p>
      <w:pPr>
        <w:pStyle w:val="Heading1"/>
      </w:pPr>
      <w:r>
        <w:t>Candidate implementation status and limitations</w:t>
      </w:r>
    </w:p>
    <w:p>
      <w:r>
        <w:t>Implemented and tested locally: Exercise 1 scan/remediation evidence, SBOMs and Cosign blob-verification workflow; Exercise 2 local OpenBao PKI and dynamic PostgreSQL credentials including lease revocation; Exercise 3 Python Kubernetes manifest checker. Pytest reports 15 passing tests across these exercises. The manifest checker is a lightweight utility, not a replacement for admission policy. Full production admission enforcement, central SIEM integration, Caldera execution and live AI application testing must be marked proposed, research-only or interview-only until independently evidenced.</w:t>
      </w:r>
    </w:p>
    <w:p>
      <w:r>
        <w:rPr>
          <w:i/>
          <w:sz w:val="16"/>
        </w:rPr>
        <w:t>AI research assistance was used to draft this document. Claims and links should be validated against repository evidence before submission.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8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