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1E2E31">
      <w:pPr>
        <w:pStyle w:val="2"/>
        <w:keepNext w:val="0"/>
        <w:keepLines w:val="0"/>
        <w:widowControl/>
        <w:suppressLineNumbers w:val="0"/>
      </w:pPr>
      <w:bookmarkStart w:id="0" w:name="_GoBack"/>
      <w:bookmarkEnd w:id="0"/>
      <w:r>
        <w:t>Beauty Black Friday Live - Post-Campaign Review</w:t>
      </w:r>
    </w:p>
    <w:p w14:paraId="7905D6B6">
      <w:pPr>
        <w:pStyle w:val="3"/>
        <w:keepNext w:val="0"/>
        <w:keepLines w:val="0"/>
        <w:widowControl/>
        <w:suppressLineNumbers w:val="0"/>
      </w:pPr>
      <w:r>
        <w:t>Results vs Targets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60"/>
        <w:gridCol w:w="2160"/>
        <w:gridCol w:w="2160"/>
        <w:gridCol w:w="2160"/>
      </w:tblGrid>
      <w:tr w14:paraId="256143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000000" w:sz="6" w:space="0"/>
              <w:left w:val="single" w:color="000000" w:sz="6" w:space="0"/>
              <w:bottom w:val="single" w:color="000000" w:sz="6" w:space="0"/>
              <w:right w:val="single" w:color="000000" w:sz="6" w:space="0"/>
            </w:tcBorders>
            <w:shd w:val="clear"/>
            <w:tcMar>
              <w:top w:w="30" w:type="dxa"/>
              <w:left w:w="90" w:type="dxa"/>
              <w:bottom w:w="30" w:type="dxa"/>
              <w:right w:w="90" w:type="dxa"/>
            </w:tcMar>
            <w:vAlign w:val="center"/>
          </w:tcPr>
          <w:p w14:paraId="00F01345">
            <w:pPr>
              <w:keepNext w:val="0"/>
              <w:keepLines w:val="0"/>
              <w:widowControl/>
              <w:suppressLineNumbers w:val="0"/>
              <w:jc w:val="center"/>
              <w:rPr>
                <w:b/>
                <w:bCs/>
              </w:rPr>
            </w:pPr>
            <w:r>
              <w:rPr>
                <w:rFonts w:ascii="宋体" w:hAnsi="宋体" w:eastAsia="宋体" w:cs="宋体"/>
                <w:b/>
                <w:bCs/>
                <w:sz w:val="24"/>
                <w:szCs w:val="24"/>
                <w:bdr w:val="none" w:color="auto" w:sz="0" w:space="0"/>
              </w:rPr>
              <w:t>Metric</w:t>
            </w:r>
          </w:p>
        </w:tc>
        <w:tc>
          <w:tcPr>
            <w:tcW w:w="0" w:type="auto"/>
            <w:tcBorders>
              <w:top w:val="single" w:color="000000" w:sz="6" w:space="0"/>
              <w:left w:val="single" w:color="000000" w:sz="6" w:space="0"/>
              <w:bottom w:val="single" w:color="000000" w:sz="6" w:space="0"/>
              <w:right w:val="single" w:color="000000" w:sz="6" w:space="0"/>
            </w:tcBorders>
            <w:shd w:val="clear"/>
            <w:tcMar>
              <w:top w:w="30" w:type="dxa"/>
              <w:left w:w="90" w:type="dxa"/>
              <w:bottom w:w="30" w:type="dxa"/>
              <w:right w:w="90" w:type="dxa"/>
            </w:tcMar>
            <w:vAlign w:val="center"/>
          </w:tcPr>
          <w:p w14:paraId="5CA7F9FB">
            <w:pPr>
              <w:keepNext w:val="0"/>
              <w:keepLines w:val="0"/>
              <w:widowControl/>
              <w:suppressLineNumbers w:val="0"/>
              <w:jc w:val="center"/>
              <w:rPr>
                <w:b/>
                <w:bCs/>
              </w:rPr>
            </w:pPr>
            <w:r>
              <w:rPr>
                <w:rFonts w:ascii="宋体" w:hAnsi="宋体" w:eastAsia="宋体" w:cs="宋体"/>
                <w:b/>
                <w:bCs/>
                <w:sz w:val="24"/>
                <w:szCs w:val="24"/>
                <w:bdr w:val="none" w:color="auto" w:sz="0" w:space="0"/>
              </w:rPr>
              <w:t>Target (see the campaign plan)</w:t>
            </w:r>
          </w:p>
        </w:tc>
        <w:tc>
          <w:tcPr>
            <w:tcW w:w="0" w:type="auto"/>
            <w:tcBorders>
              <w:top w:val="single" w:color="000000" w:sz="6" w:space="0"/>
              <w:left w:val="single" w:color="000000" w:sz="6" w:space="0"/>
              <w:bottom w:val="single" w:color="000000" w:sz="6" w:space="0"/>
              <w:right w:val="single" w:color="000000" w:sz="6" w:space="0"/>
            </w:tcBorders>
            <w:shd w:val="clear"/>
            <w:tcMar>
              <w:top w:w="30" w:type="dxa"/>
              <w:left w:w="90" w:type="dxa"/>
              <w:bottom w:w="30" w:type="dxa"/>
              <w:right w:w="90" w:type="dxa"/>
            </w:tcMar>
            <w:vAlign w:val="center"/>
          </w:tcPr>
          <w:p w14:paraId="0AAB6AD1">
            <w:pPr>
              <w:keepNext w:val="0"/>
              <w:keepLines w:val="0"/>
              <w:widowControl/>
              <w:suppressLineNumbers w:val="0"/>
              <w:jc w:val="center"/>
              <w:rPr>
                <w:b/>
                <w:bCs/>
              </w:rPr>
            </w:pPr>
            <w:r>
              <w:rPr>
                <w:rFonts w:ascii="宋体" w:hAnsi="宋体" w:eastAsia="宋体" w:cs="宋体"/>
                <w:b/>
                <w:bCs/>
                <w:sz w:val="24"/>
                <w:szCs w:val="24"/>
                <w:bdr w:val="none" w:color="auto" w:sz="0" w:space="0"/>
              </w:rPr>
              <w:t>Actual</w:t>
            </w:r>
          </w:p>
        </w:tc>
        <w:tc>
          <w:tcPr>
            <w:tcW w:w="0" w:type="auto"/>
            <w:tcBorders>
              <w:top w:val="single" w:color="000000" w:sz="6" w:space="0"/>
              <w:left w:val="single" w:color="000000" w:sz="6" w:space="0"/>
              <w:bottom w:val="single" w:color="000000" w:sz="6" w:space="0"/>
              <w:right w:val="single" w:color="000000" w:sz="6" w:space="0"/>
            </w:tcBorders>
            <w:shd w:val="clear"/>
            <w:tcMar>
              <w:top w:w="30" w:type="dxa"/>
              <w:left w:w="90" w:type="dxa"/>
              <w:bottom w:w="30" w:type="dxa"/>
              <w:right w:w="90" w:type="dxa"/>
            </w:tcMar>
            <w:vAlign w:val="center"/>
          </w:tcPr>
          <w:p w14:paraId="64820FA3">
            <w:pPr>
              <w:keepNext w:val="0"/>
              <w:keepLines w:val="0"/>
              <w:widowControl/>
              <w:suppressLineNumbers w:val="0"/>
              <w:jc w:val="center"/>
              <w:rPr>
                <w:b/>
                <w:bCs/>
              </w:rPr>
            </w:pPr>
            <w:r>
              <w:rPr>
                <w:rFonts w:ascii="宋体" w:hAnsi="宋体" w:eastAsia="宋体" w:cs="宋体"/>
                <w:b/>
                <w:bCs/>
                <w:sz w:val="24"/>
                <w:szCs w:val="24"/>
                <w:bdr w:val="none" w:color="auto" w:sz="0" w:space="0"/>
              </w:rPr>
              <w:t>Verdict</w:t>
            </w:r>
          </w:p>
        </w:tc>
      </w:tr>
      <w:tr w14:paraId="67F0B9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shd w:val="clear"/>
            <w:tcMar>
              <w:top w:w="30" w:type="dxa"/>
              <w:left w:w="90" w:type="dxa"/>
              <w:bottom w:w="30" w:type="dxa"/>
              <w:right w:w="90" w:type="dxa"/>
            </w:tcMar>
            <w:vAlign w:val="center"/>
          </w:tcPr>
          <w:p w14:paraId="7CDB0F35">
            <w:pPr>
              <w:keepNext w:val="0"/>
              <w:keepLines w:val="0"/>
              <w:widowControl/>
              <w:suppressLineNumbers w:val="0"/>
              <w:jc w:val="left"/>
            </w:pPr>
            <w:r>
              <w:rPr>
                <w:rFonts w:ascii="宋体" w:hAnsi="宋体" w:eastAsia="宋体" w:cs="宋体"/>
                <w:sz w:val="24"/>
                <w:szCs w:val="24"/>
                <w:bdr w:val="none" w:color="auto" w:sz="0" w:space="0"/>
              </w:rPr>
              <w:t>GMV</w:t>
            </w:r>
          </w:p>
        </w:tc>
        <w:tc>
          <w:tcPr>
            <w:tcW w:w="0" w:type="auto"/>
            <w:tcBorders>
              <w:top w:val="single" w:color="000000" w:sz="6" w:space="0"/>
              <w:left w:val="single" w:color="000000" w:sz="6" w:space="0"/>
              <w:bottom w:val="single" w:color="000000" w:sz="6" w:space="0"/>
              <w:right w:val="single" w:color="000000" w:sz="6" w:space="0"/>
            </w:tcBorders>
            <w:shd w:val="clear"/>
            <w:tcMar>
              <w:top w:w="30" w:type="dxa"/>
              <w:left w:w="90" w:type="dxa"/>
              <w:bottom w:w="30" w:type="dxa"/>
              <w:right w:w="90" w:type="dxa"/>
            </w:tcMar>
            <w:vAlign w:val="center"/>
          </w:tcPr>
          <w:p w14:paraId="3DA8A8EE">
            <w:pPr>
              <w:keepNext w:val="0"/>
              <w:keepLines w:val="0"/>
              <w:widowControl/>
              <w:suppressLineNumbers w:val="0"/>
              <w:jc w:val="left"/>
            </w:pPr>
            <w:r>
              <w:rPr>
                <w:rFonts w:ascii="宋体" w:hAnsi="宋体" w:eastAsia="宋体" w:cs="宋体"/>
                <w:sz w:val="24"/>
                <w:szCs w:val="24"/>
                <w:bdr w:val="none" w:color="auto" w:sz="0" w:space="0"/>
              </w:rPr>
              <w:t>$500K-$700K</w:t>
            </w:r>
          </w:p>
        </w:tc>
        <w:tc>
          <w:tcPr>
            <w:tcW w:w="0" w:type="auto"/>
            <w:tcBorders>
              <w:top w:val="single" w:color="000000" w:sz="6" w:space="0"/>
              <w:left w:val="single" w:color="000000" w:sz="6" w:space="0"/>
              <w:bottom w:val="single" w:color="000000" w:sz="6" w:space="0"/>
              <w:right w:val="single" w:color="000000" w:sz="6" w:space="0"/>
            </w:tcBorders>
            <w:shd w:val="clear"/>
            <w:tcMar>
              <w:top w:w="30" w:type="dxa"/>
              <w:left w:w="90" w:type="dxa"/>
              <w:bottom w:w="30" w:type="dxa"/>
              <w:right w:w="90" w:type="dxa"/>
            </w:tcMar>
            <w:vAlign w:val="center"/>
          </w:tcPr>
          <w:p w14:paraId="6202720C">
            <w:pPr>
              <w:keepNext w:val="0"/>
              <w:keepLines w:val="0"/>
              <w:widowControl/>
              <w:suppressLineNumbers w:val="0"/>
              <w:jc w:val="left"/>
            </w:pPr>
            <w:r>
              <w:rPr>
                <w:rFonts w:ascii="宋体" w:hAnsi="宋体" w:eastAsia="宋体" w:cs="宋体"/>
                <w:sz w:val="24"/>
                <w:szCs w:val="24"/>
                <w:bdr w:val="none" w:color="auto" w:sz="0" w:space="0"/>
              </w:rPr>
              <w:t>$600.4K</w:t>
            </w:r>
          </w:p>
        </w:tc>
        <w:tc>
          <w:tcPr>
            <w:tcW w:w="0" w:type="auto"/>
            <w:tcBorders>
              <w:top w:val="single" w:color="000000" w:sz="6" w:space="0"/>
              <w:left w:val="single" w:color="000000" w:sz="6" w:space="0"/>
              <w:bottom w:val="single" w:color="000000" w:sz="6" w:space="0"/>
              <w:right w:val="single" w:color="000000" w:sz="6" w:space="0"/>
            </w:tcBorders>
            <w:shd w:val="clear"/>
            <w:tcMar>
              <w:top w:w="30" w:type="dxa"/>
              <w:left w:w="90" w:type="dxa"/>
              <w:bottom w:w="30" w:type="dxa"/>
              <w:right w:w="90" w:type="dxa"/>
            </w:tcMar>
            <w:vAlign w:val="center"/>
          </w:tcPr>
          <w:p w14:paraId="6A9A4811">
            <w:pPr>
              <w:keepNext w:val="0"/>
              <w:keepLines w:val="0"/>
              <w:widowControl/>
              <w:suppressLineNumbers w:val="0"/>
              <w:jc w:val="left"/>
            </w:pPr>
            <w:r>
              <w:rPr>
                <w:rFonts w:ascii="宋体" w:hAnsi="宋体" w:eastAsia="宋体" w:cs="宋体"/>
                <w:sz w:val="24"/>
                <w:szCs w:val="24"/>
                <w:bdr w:val="none" w:color="auto" w:sz="0" w:space="0"/>
              </w:rPr>
              <w:t>On target</w:t>
            </w:r>
          </w:p>
        </w:tc>
      </w:tr>
      <w:tr w14:paraId="7D113F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shd w:val="clear"/>
            <w:tcMar>
              <w:top w:w="30" w:type="dxa"/>
              <w:left w:w="90" w:type="dxa"/>
              <w:bottom w:w="30" w:type="dxa"/>
              <w:right w:w="90" w:type="dxa"/>
            </w:tcMar>
            <w:vAlign w:val="center"/>
          </w:tcPr>
          <w:p w14:paraId="1A66B853">
            <w:pPr>
              <w:keepNext w:val="0"/>
              <w:keepLines w:val="0"/>
              <w:widowControl/>
              <w:suppressLineNumbers w:val="0"/>
              <w:jc w:val="left"/>
            </w:pPr>
            <w:r>
              <w:rPr>
                <w:rFonts w:ascii="宋体" w:hAnsi="宋体" w:eastAsia="宋体" w:cs="宋体"/>
                <w:sz w:val="24"/>
                <w:szCs w:val="24"/>
                <w:bdr w:val="none" w:color="auto" w:sz="0" w:space="0"/>
              </w:rPr>
              <w:t>Conversion rate</w:t>
            </w:r>
          </w:p>
        </w:tc>
        <w:tc>
          <w:tcPr>
            <w:tcW w:w="0" w:type="auto"/>
            <w:tcBorders>
              <w:top w:val="single" w:color="000000" w:sz="6" w:space="0"/>
              <w:left w:val="single" w:color="000000" w:sz="6" w:space="0"/>
              <w:bottom w:val="single" w:color="000000" w:sz="6" w:space="0"/>
              <w:right w:val="single" w:color="000000" w:sz="6" w:space="0"/>
            </w:tcBorders>
            <w:shd w:val="clear"/>
            <w:tcMar>
              <w:top w:w="30" w:type="dxa"/>
              <w:left w:w="90" w:type="dxa"/>
              <w:bottom w:w="30" w:type="dxa"/>
              <w:right w:w="90" w:type="dxa"/>
            </w:tcMar>
            <w:vAlign w:val="center"/>
          </w:tcPr>
          <w:p w14:paraId="65F54C48">
            <w:pPr>
              <w:keepNext w:val="0"/>
              <w:keepLines w:val="0"/>
              <w:widowControl/>
              <w:suppressLineNumbers w:val="0"/>
              <w:jc w:val="left"/>
            </w:pPr>
            <w:r>
              <w:rPr>
                <w:rFonts w:ascii="宋体" w:hAnsi="宋体" w:eastAsia="宋体" w:cs="宋体"/>
                <w:sz w:val="24"/>
                <w:szCs w:val="24"/>
                <w:bdr w:val="none" w:color="auto" w:sz="0" w:space="0"/>
              </w:rPr>
              <w:t>6%-8%</w:t>
            </w:r>
          </w:p>
        </w:tc>
        <w:tc>
          <w:tcPr>
            <w:tcW w:w="0" w:type="auto"/>
            <w:tcBorders>
              <w:top w:val="single" w:color="000000" w:sz="6" w:space="0"/>
              <w:left w:val="single" w:color="000000" w:sz="6" w:space="0"/>
              <w:bottom w:val="single" w:color="000000" w:sz="6" w:space="0"/>
              <w:right w:val="single" w:color="000000" w:sz="6" w:space="0"/>
            </w:tcBorders>
            <w:shd w:val="clear"/>
            <w:tcMar>
              <w:top w:w="30" w:type="dxa"/>
              <w:left w:w="90" w:type="dxa"/>
              <w:bottom w:w="30" w:type="dxa"/>
              <w:right w:w="90" w:type="dxa"/>
            </w:tcMar>
            <w:vAlign w:val="center"/>
          </w:tcPr>
          <w:p w14:paraId="7E2B1970">
            <w:pPr>
              <w:keepNext w:val="0"/>
              <w:keepLines w:val="0"/>
              <w:widowControl/>
              <w:suppressLineNumbers w:val="0"/>
              <w:jc w:val="left"/>
            </w:pPr>
            <w:r>
              <w:rPr>
                <w:rFonts w:ascii="宋体" w:hAnsi="宋体" w:eastAsia="宋体" w:cs="宋体"/>
                <w:sz w:val="24"/>
                <w:szCs w:val="24"/>
                <w:bdr w:val="none" w:color="auto" w:sz="0" w:space="0"/>
              </w:rPr>
              <w:t>8.62%</w:t>
            </w:r>
          </w:p>
        </w:tc>
        <w:tc>
          <w:tcPr>
            <w:tcW w:w="0" w:type="auto"/>
            <w:tcBorders>
              <w:top w:val="single" w:color="000000" w:sz="6" w:space="0"/>
              <w:left w:val="single" w:color="000000" w:sz="6" w:space="0"/>
              <w:bottom w:val="single" w:color="000000" w:sz="6" w:space="0"/>
              <w:right w:val="single" w:color="000000" w:sz="6" w:space="0"/>
            </w:tcBorders>
            <w:shd w:val="clear"/>
            <w:tcMar>
              <w:top w:w="30" w:type="dxa"/>
              <w:left w:w="90" w:type="dxa"/>
              <w:bottom w:w="30" w:type="dxa"/>
              <w:right w:w="90" w:type="dxa"/>
            </w:tcMar>
            <w:vAlign w:val="center"/>
          </w:tcPr>
          <w:p w14:paraId="58AE95F5">
            <w:pPr>
              <w:keepNext w:val="0"/>
              <w:keepLines w:val="0"/>
              <w:widowControl/>
              <w:suppressLineNumbers w:val="0"/>
              <w:jc w:val="left"/>
            </w:pPr>
            <w:r>
              <w:rPr>
                <w:rFonts w:ascii="宋体" w:hAnsi="宋体" w:eastAsia="宋体" w:cs="宋体"/>
                <w:sz w:val="24"/>
                <w:szCs w:val="24"/>
                <w:bdr w:val="none" w:color="auto" w:sz="0" w:space="0"/>
              </w:rPr>
              <w:t>Above target</w:t>
            </w:r>
          </w:p>
        </w:tc>
      </w:tr>
      <w:tr w14:paraId="549498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shd w:val="clear"/>
            <w:tcMar>
              <w:top w:w="30" w:type="dxa"/>
              <w:left w:w="90" w:type="dxa"/>
              <w:bottom w:w="30" w:type="dxa"/>
              <w:right w:w="90" w:type="dxa"/>
            </w:tcMar>
            <w:vAlign w:val="center"/>
          </w:tcPr>
          <w:p w14:paraId="1DCDBB76">
            <w:pPr>
              <w:keepNext w:val="0"/>
              <w:keepLines w:val="0"/>
              <w:widowControl/>
              <w:suppressLineNumbers w:val="0"/>
              <w:jc w:val="left"/>
            </w:pPr>
            <w:r>
              <w:rPr>
                <w:rFonts w:ascii="宋体" w:hAnsi="宋体" w:eastAsia="宋体" w:cs="宋体"/>
                <w:sz w:val="24"/>
                <w:szCs w:val="24"/>
                <w:bdr w:val="none" w:color="auto" w:sz="0" w:space="0"/>
              </w:rPr>
              <w:t>Peak concurrent viewers</w:t>
            </w:r>
          </w:p>
        </w:tc>
        <w:tc>
          <w:tcPr>
            <w:tcW w:w="0" w:type="auto"/>
            <w:tcBorders>
              <w:top w:val="single" w:color="000000" w:sz="6" w:space="0"/>
              <w:left w:val="single" w:color="000000" w:sz="6" w:space="0"/>
              <w:bottom w:val="single" w:color="000000" w:sz="6" w:space="0"/>
              <w:right w:val="single" w:color="000000" w:sz="6" w:space="0"/>
            </w:tcBorders>
            <w:shd w:val="clear"/>
            <w:tcMar>
              <w:top w:w="30" w:type="dxa"/>
              <w:left w:w="90" w:type="dxa"/>
              <w:bottom w:w="30" w:type="dxa"/>
              <w:right w:w="90" w:type="dxa"/>
            </w:tcMar>
            <w:vAlign w:val="center"/>
          </w:tcPr>
          <w:p w14:paraId="3B179FFB">
            <w:pPr>
              <w:keepNext w:val="0"/>
              <w:keepLines w:val="0"/>
              <w:widowControl/>
              <w:suppressLineNumbers w:val="0"/>
              <w:jc w:val="left"/>
            </w:pPr>
            <w:r>
              <w:rPr>
                <w:rFonts w:ascii="宋体" w:hAnsi="宋体" w:eastAsia="宋体" w:cs="宋体"/>
                <w:sz w:val="24"/>
                <w:szCs w:val="24"/>
                <w:bdr w:val="none" w:color="auto" w:sz="0" w:space="0"/>
              </w:rPr>
              <w:t>5,000-7,000</w:t>
            </w:r>
          </w:p>
        </w:tc>
        <w:tc>
          <w:tcPr>
            <w:tcW w:w="0" w:type="auto"/>
            <w:tcBorders>
              <w:top w:val="single" w:color="000000" w:sz="6" w:space="0"/>
              <w:left w:val="single" w:color="000000" w:sz="6" w:space="0"/>
              <w:bottom w:val="single" w:color="000000" w:sz="6" w:space="0"/>
              <w:right w:val="single" w:color="000000" w:sz="6" w:space="0"/>
            </w:tcBorders>
            <w:shd w:val="clear"/>
            <w:tcMar>
              <w:top w:w="30" w:type="dxa"/>
              <w:left w:w="90" w:type="dxa"/>
              <w:bottom w:w="30" w:type="dxa"/>
              <w:right w:w="90" w:type="dxa"/>
            </w:tcMar>
            <w:vAlign w:val="center"/>
          </w:tcPr>
          <w:p w14:paraId="7B560375">
            <w:pPr>
              <w:keepNext w:val="0"/>
              <w:keepLines w:val="0"/>
              <w:widowControl/>
              <w:suppressLineNumbers w:val="0"/>
              <w:jc w:val="left"/>
            </w:pPr>
            <w:r>
              <w:rPr>
                <w:rFonts w:ascii="宋体" w:hAnsi="宋体" w:eastAsia="宋体" w:cs="宋体"/>
                <w:sz w:val="24"/>
                <w:szCs w:val="24"/>
                <w:bdr w:val="none" w:color="auto" w:sz="0" w:space="0"/>
              </w:rPr>
              <w:t>6,488</w:t>
            </w:r>
          </w:p>
        </w:tc>
        <w:tc>
          <w:tcPr>
            <w:tcW w:w="0" w:type="auto"/>
            <w:tcBorders>
              <w:top w:val="single" w:color="000000" w:sz="6" w:space="0"/>
              <w:left w:val="single" w:color="000000" w:sz="6" w:space="0"/>
              <w:bottom w:val="single" w:color="000000" w:sz="6" w:space="0"/>
              <w:right w:val="single" w:color="000000" w:sz="6" w:space="0"/>
            </w:tcBorders>
            <w:shd w:val="clear"/>
            <w:tcMar>
              <w:top w:w="30" w:type="dxa"/>
              <w:left w:w="90" w:type="dxa"/>
              <w:bottom w:w="30" w:type="dxa"/>
              <w:right w:w="90" w:type="dxa"/>
            </w:tcMar>
            <w:vAlign w:val="center"/>
          </w:tcPr>
          <w:p w14:paraId="53728B98">
            <w:pPr>
              <w:keepNext w:val="0"/>
              <w:keepLines w:val="0"/>
              <w:widowControl/>
              <w:suppressLineNumbers w:val="0"/>
              <w:jc w:val="left"/>
            </w:pPr>
            <w:r>
              <w:rPr>
                <w:rFonts w:ascii="宋体" w:hAnsi="宋体" w:eastAsia="宋体" w:cs="宋体"/>
                <w:sz w:val="24"/>
                <w:szCs w:val="24"/>
                <w:bdr w:val="none" w:color="auto" w:sz="0" w:space="0"/>
              </w:rPr>
              <w:t>On target</w:t>
            </w:r>
          </w:p>
        </w:tc>
      </w:tr>
      <w:tr w14:paraId="48AAA5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shd w:val="clear"/>
            <w:tcMar>
              <w:top w:w="30" w:type="dxa"/>
              <w:left w:w="90" w:type="dxa"/>
              <w:bottom w:w="30" w:type="dxa"/>
              <w:right w:w="90" w:type="dxa"/>
            </w:tcMar>
            <w:vAlign w:val="center"/>
          </w:tcPr>
          <w:p w14:paraId="5D72622D">
            <w:pPr>
              <w:keepNext w:val="0"/>
              <w:keepLines w:val="0"/>
              <w:widowControl/>
              <w:suppressLineNumbers w:val="0"/>
              <w:jc w:val="left"/>
            </w:pPr>
            <w:r>
              <w:rPr>
                <w:rFonts w:ascii="宋体" w:hAnsi="宋体" w:eastAsia="宋体" w:cs="宋体"/>
                <w:sz w:val="24"/>
                <w:szCs w:val="24"/>
                <w:bdr w:val="none" w:color="auto" w:sz="0" w:space="0"/>
              </w:rPr>
              <w:t>Operating cost</w:t>
            </w:r>
          </w:p>
        </w:tc>
        <w:tc>
          <w:tcPr>
            <w:tcW w:w="0" w:type="auto"/>
            <w:tcBorders>
              <w:top w:val="single" w:color="000000" w:sz="6" w:space="0"/>
              <w:left w:val="single" w:color="000000" w:sz="6" w:space="0"/>
              <w:bottom w:val="single" w:color="000000" w:sz="6" w:space="0"/>
              <w:right w:val="single" w:color="000000" w:sz="6" w:space="0"/>
            </w:tcBorders>
            <w:shd w:val="clear"/>
            <w:tcMar>
              <w:top w:w="30" w:type="dxa"/>
              <w:left w:w="90" w:type="dxa"/>
              <w:bottom w:w="30" w:type="dxa"/>
              <w:right w:w="90" w:type="dxa"/>
            </w:tcMar>
            <w:vAlign w:val="center"/>
          </w:tcPr>
          <w:p w14:paraId="09AB2A44">
            <w:pPr>
              <w:keepNext w:val="0"/>
              <w:keepLines w:val="0"/>
              <w:widowControl/>
              <w:suppressLineNumbers w:val="0"/>
              <w:jc w:val="left"/>
            </w:pPr>
            <w:r>
              <w:rPr>
                <w:rFonts w:ascii="宋体" w:hAnsi="宋体" w:eastAsia="宋体" w:cs="宋体"/>
                <w:sz w:val="24"/>
                <w:szCs w:val="24"/>
                <w:bdr w:val="none" w:color="auto" w:sz="0" w:space="0"/>
              </w:rPr>
              <w:t>Planned $71.1K</w:t>
            </w:r>
          </w:p>
        </w:tc>
        <w:tc>
          <w:tcPr>
            <w:tcW w:w="0" w:type="auto"/>
            <w:tcBorders>
              <w:top w:val="single" w:color="000000" w:sz="6" w:space="0"/>
              <w:left w:val="single" w:color="000000" w:sz="6" w:space="0"/>
              <w:bottom w:val="single" w:color="000000" w:sz="6" w:space="0"/>
              <w:right w:val="single" w:color="000000" w:sz="6" w:space="0"/>
            </w:tcBorders>
            <w:shd w:val="clear"/>
            <w:tcMar>
              <w:top w:w="30" w:type="dxa"/>
              <w:left w:w="90" w:type="dxa"/>
              <w:bottom w:w="30" w:type="dxa"/>
              <w:right w:w="90" w:type="dxa"/>
            </w:tcMar>
            <w:vAlign w:val="center"/>
          </w:tcPr>
          <w:p w14:paraId="22708C4E">
            <w:pPr>
              <w:keepNext w:val="0"/>
              <w:keepLines w:val="0"/>
              <w:widowControl/>
              <w:suppressLineNumbers w:val="0"/>
              <w:jc w:val="left"/>
            </w:pPr>
            <w:r>
              <w:rPr>
                <w:rFonts w:ascii="宋体" w:hAnsi="宋体" w:eastAsia="宋体" w:cs="宋体"/>
                <w:sz w:val="24"/>
                <w:szCs w:val="24"/>
                <w:bdr w:val="none" w:color="auto" w:sz="0" w:space="0"/>
              </w:rPr>
              <w:t>Actual $73.6K</w:t>
            </w:r>
          </w:p>
        </w:tc>
        <w:tc>
          <w:tcPr>
            <w:tcW w:w="0" w:type="auto"/>
            <w:tcBorders>
              <w:top w:val="single" w:color="000000" w:sz="6" w:space="0"/>
              <w:left w:val="single" w:color="000000" w:sz="6" w:space="0"/>
              <w:bottom w:val="single" w:color="000000" w:sz="6" w:space="0"/>
              <w:right w:val="single" w:color="000000" w:sz="6" w:space="0"/>
            </w:tcBorders>
            <w:shd w:val="clear"/>
            <w:tcMar>
              <w:top w:w="30" w:type="dxa"/>
              <w:left w:w="90" w:type="dxa"/>
              <w:bottom w:w="30" w:type="dxa"/>
              <w:right w:w="90" w:type="dxa"/>
            </w:tcMar>
            <w:vAlign w:val="center"/>
          </w:tcPr>
          <w:p w14:paraId="1515B3A5">
            <w:pPr>
              <w:keepNext w:val="0"/>
              <w:keepLines w:val="0"/>
              <w:widowControl/>
              <w:suppressLineNumbers w:val="0"/>
              <w:jc w:val="left"/>
            </w:pPr>
            <w:r>
              <w:rPr>
                <w:rStyle w:val="7"/>
                <w:rFonts w:ascii="宋体" w:hAnsi="宋体" w:eastAsia="宋体" w:cs="宋体"/>
                <w:sz w:val="24"/>
                <w:szCs w:val="24"/>
                <w:bdr w:val="none" w:color="auto" w:sz="0" w:space="0"/>
              </w:rPr>
              <w:t>3.5% over budget</w:t>
            </w:r>
            <w:r>
              <w:rPr>
                <w:rFonts w:ascii="宋体" w:hAnsi="宋体" w:eastAsia="宋体" w:cs="宋体"/>
                <w:sz w:val="24"/>
                <w:szCs w:val="24"/>
                <w:bdr w:val="none" w:color="auto" w:sz="0" w:space="0"/>
              </w:rPr>
              <w:t>; ad bids rose during Black Friday, the risk the plan flagged</w:t>
            </w:r>
          </w:p>
        </w:tc>
      </w:tr>
    </w:tbl>
    <w:p w14:paraId="6ADC9369">
      <w:pPr>
        <w:pStyle w:val="3"/>
        <w:keepNext w:val="0"/>
        <w:keepLines w:val="0"/>
        <w:widowControl/>
        <w:suppressLineNumbers w:val="0"/>
      </w:pPr>
      <w:r>
        <w:t>ROI (the formula changed; here is why)</w:t>
      </w:r>
    </w:p>
    <w:p w14:paraId="551168CD">
      <w:pPr>
        <w:pStyle w:val="4"/>
        <w:keepNext w:val="0"/>
        <w:keepLines w:val="0"/>
        <w:widowControl/>
        <w:suppressLineNumbers w:val="0"/>
      </w:pPr>
      <w:r>
        <w:rPr>
          <w:rStyle w:val="7"/>
        </w:rPr>
        <w:t>The first two versions were wrong.</w:t>
      </w:r>
      <w:r>
        <w:t xml:space="preserve"> The first one subtracted only the operating cost, not the product cost, so ROI looked too high. The second one added the product cost to the denominator, which is also wrong: </w:t>
      </w:r>
      <w:r>
        <w:rPr>
          <w:rStyle w:val="7"/>
        </w:rPr>
        <w:t xml:space="preserve">product cost is already deducted in </w:t>
      </w:r>
      <w:r>
        <w:rPr>
          <w:rStyle w:val="8"/>
        </w:rPr>
        <w:t>campaign_products.profit</w:t>
      </w:r>
      <w:r>
        <w:t xml:space="preserve"> (profit = sales - product cost; the customer pays for the goods, it is not money the company spent on this campaign). The real question is: </w:t>
      </w:r>
      <w:r>
        <w:rPr>
          <w:rStyle w:val="7"/>
        </w:rPr>
        <w:t>how much profit did the marketing spend (the operating cost) bring in?</w:t>
      </w:r>
    </w:p>
    <w:p w14:paraId="01DE757C">
      <w:pPr>
        <w:keepNext w:val="0"/>
        <w:keepLines w:val="0"/>
        <w:widowControl/>
        <w:numPr>
          <w:ilvl w:val="0"/>
          <w:numId w:val="1"/>
        </w:numPr>
        <w:suppressLineNumbers w:val="0"/>
        <w:spacing w:before="0" w:beforeAutospacing="1" w:after="0" w:afterAutospacing="1"/>
        <w:ind w:left="720" w:hanging="360"/>
      </w:pPr>
      <w:r>
        <w:t xml:space="preserve">Total product profit (sum of </w:t>
      </w:r>
      <w:r>
        <w:rPr>
          <w:rStyle w:val="8"/>
        </w:rPr>
        <w:t>profit</w:t>
      </w:r>
      <w:r>
        <w:t xml:space="preserve"> over the 3 featured products in </w:t>
      </w:r>
      <w:r>
        <w:rPr>
          <w:rStyle w:val="8"/>
        </w:rPr>
        <w:t>campaign_products</w:t>
      </w:r>
      <w:r>
        <w:t xml:space="preserve">, product cost already deducted): </w:t>
      </w:r>
      <w:r>
        <w:rPr>
          <w:rStyle w:val="7"/>
        </w:rPr>
        <w:t>$168.8K</w:t>
      </w:r>
    </w:p>
    <w:p w14:paraId="35F632FD">
      <w:pPr>
        <w:keepNext w:val="0"/>
        <w:keepLines w:val="0"/>
        <w:widowControl/>
        <w:numPr>
          <w:ilvl w:val="0"/>
          <w:numId w:val="1"/>
        </w:numPr>
        <w:suppressLineNumbers w:val="0"/>
        <w:spacing w:before="0" w:beforeAutospacing="1" w:after="0" w:afterAutospacing="1"/>
        <w:ind w:left="720" w:hanging="360"/>
      </w:pPr>
      <w:r>
        <w:t>Actual operating cost (</w:t>
      </w:r>
      <w:r>
        <w:rPr>
          <w:rStyle w:val="8"/>
        </w:rPr>
        <w:t>campaigns.actual_operating_cost</w:t>
      </w:r>
      <w:r>
        <w:t xml:space="preserve">): </w:t>
      </w:r>
      <w:r>
        <w:rPr>
          <w:rStyle w:val="7"/>
        </w:rPr>
        <w:t>$73.6K</w:t>
      </w:r>
    </w:p>
    <w:p w14:paraId="590DA94C">
      <w:pPr>
        <w:keepNext w:val="0"/>
        <w:keepLines w:val="0"/>
        <w:widowControl/>
        <w:numPr>
          <w:ilvl w:val="0"/>
          <w:numId w:val="1"/>
        </w:numPr>
        <w:suppressLineNumbers w:val="0"/>
        <w:spacing w:before="0" w:beforeAutospacing="1" w:after="0" w:afterAutospacing="1"/>
        <w:ind w:left="720" w:hanging="360"/>
      </w:pPr>
      <w:r>
        <w:rPr>
          <w:rStyle w:val="7"/>
        </w:rPr>
        <w:t>ROI = total product profit / operating cost = 168.8 / 73.6 ≈ 2.29</w:t>
      </w:r>
      <w:r>
        <w:t>: every $1 of marketing spend brought back about $2.29 of product profit</w:t>
      </w:r>
    </w:p>
    <w:p w14:paraId="71D1A7A5">
      <w:pPr>
        <w:pStyle w:val="4"/>
        <w:keepNext w:val="0"/>
        <w:keepLines w:val="0"/>
        <w:widowControl/>
        <w:suppressLineNumbers w:val="0"/>
      </w:pPr>
      <w:r>
        <w:t>Both numbers now come from structured fields (</w:t>
      </w:r>
      <w:r>
        <w:rPr>
          <w:rStyle w:val="8"/>
        </w:rPr>
        <w:t>SUM(campaign_products.profit)</w:t>
      </w:r>
      <w:r>
        <w:t xml:space="preserve"> and </w:t>
      </w:r>
      <w:r>
        <w:rPr>
          <w:rStyle w:val="8"/>
        </w:rPr>
        <w:t>campaigns.actual_operating_cost</w:t>
      </w:r>
      <w:r>
        <w:t>), so the review no longer estimates them by hand or improvises a formula.</w:t>
      </w:r>
    </w:p>
    <w:p w14:paraId="10B305D0">
      <w:pPr>
        <w:pStyle w:val="3"/>
        <w:keepNext w:val="0"/>
        <w:keepLines w:val="0"/>
        <w:widowControl/>
        <w:suppressLineNumbers w:val="0"/>
      </w:pPr>
      <w:r>
        <w:t>Product Breakdown</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40"/>
        <w:gridCol w:w="1440"/>
        <w:gridCol w:w="1440"/>
        <w:gridCol w:w="1440"/>
        <w:gridCol w:w="1440"/>
        <w:gridCol w:w="1440"/>
      </w:tblGrid>
      <w:tr w14:paraId="783BBBAC">
        <w:trPr>
          <w:tblHeader/>
        </w:trPr>
        <w:tc>
          <w:tcPr>
            <w:tcW w:w="0" w:type="auto"/>
            <w:tcBorders>
              <w:top w:val="single" w:color="000000" w:sz="6" w:space="0"/>
              <w:left w:val="single" w:color="000000" w:sz="6" w:space="0"/>
              <w:bottom w:val="single" w:color="000000" w:sz="6" w:space="0"/>
              <w:right w:val="single" w:color="000000" w:sz="6" w:space="0"/>
            </w:tcBorders>
            <w:shd w:val="clear"/>
            <w:tcMar>
              <w:top w:w="30" w:type="dxa"/>
              <w:left w:w="90" w:type="dxa"/>
              <w:bottom w:w="30" w:type="dxa"/>
              <w:right w:w="90" w:type="dxa"/>
            </w:tcMar>
            <w:vAlign w:val="center"/>
          </w:tcPr>
          <w:p w14:paraId="35244F20">
            <w:pPr>
              <w:keepNext w:val="0"/>
              <w:keepLines w:val="0"/>
              <w:widowControl/>
              <w:suppressLineNumbers w:val="0"/>
              <w:jc w:val="center"/>
              <w:rPr>
                <w:b/>
                <w:bCs/>
              </w:rPr>
            </w:pPr>
            <w:r>
              <w:rPr>
                <w:rFonts w:ascii="宋体" w:hAnsi="宋体" w:eastAsia="宋体" w:cs="宋体"/>
                <w:b/>
                <w:bCs/>
                <w:sz w:val="24"/>
                <w:szCs w:val="24"/>
                <w:bdr w:val="none" w:color="auto" w:sz="0" w:space="0"/>
              </w:rPr>
              <w:t>Product</w:t>
            </w:r>
          </w:p>
        </w:tc>
        <w:tc>
          <w:tcPr>
            <w:tcW w:w="0" w:type="auto"/>
            <w:tcBorders>
              <w:top w:val="single" w:color="000000" w:sz="6" w:space="0"/>
              <w:left w:val="single" w:color="000000" w:sz="6" w:space="0"/>
              <w:bottom w:val="single" w:color="000000" w:sz="6" w:space="0"/>
              <w:right w:val="single" w:color="000000" w:sz="6" w:space="0"/>
            </w:tcBorders>
            <w:shd w:val="clear"/>
            <w:tcMar>
              <w:top w:w="30" w:type="dxa"/>
              <w:left w:w="90" w:type="dxa"/>
              <w:bottom w:w="30" w:type="dxa"/>
              <w:right w:w="90" w:type="dxa"/>
            </w:tcMar>
            <w:vAlign w:val="center"/>
          </w:tcPr>
          <w:p w14:paraId="0EE5DB79">
            <w:pPr>
              <w:keepNext w:val="0"/>
              <w:keepLines w:val="0"/>
              <w:widowControl/>
              <w:suppressLineNumbers w:val="0"/>
              <w:jc w:val="center"/>
              <w:rPr>
                <w:b/>
                <w:bCs/>
              </w:rPr>
            </w:pPr>
            <w:r>
              <w:rPr>
                <w:rFonts w:ascii="宋体" w:hAnsi="宋体" w:eastAsia="宋体" w:cs="宋体"/>
                <w:b/>
                <w:bCs/>
                <w:sz w:val="24"/>
                <w:szCs w:val="24"/>
                <w:bdr w:val="none" w:color="auto" w:sz="0" w:space="0"/>
              </w:rPr>
              <w:t>Units sold</w:t>
            </w:r>
          </w:p>
        </w:tc>
        <w:tc>
          <w:tcPr>
            <w:tcW w:w="0" w:type="auto"/>
            <w:tcBorders>
              <w:top w:val="single" w:color="000000" w:sz="6" w:space="0"/>
              <w:left w:val="single" w:color="000000" w:sz="6" w:space="0"/>
              <w:bottom w:val="single" w:color="000000" w:sz="6" w:space="0"/>
              <w:right w:val="single" w:color="000000" w:sz="6" w:space="0"/>
            </w:tcBorders>
            <w:shd w:val="clear"/>
            <w:tcMar>
              <w:top w:w="30" w:type="dxa"/>
              <w:left w:w="90" w:type="dxa"/>
              <w:bottom w:w="30" w:type="dxa"/>
              <w:right w:w="90" w:type="dxa"/>
            </w:tcMar>
            <w:vAlign w:val="center"/>
          </w:tcPr>
          <w:p w14:paraId="37A97A03">
            <w:pPr>
              <w:keepNext w:val="0"/>
              <w:keepLines w:val="0"/>
              <w:widowControl/>
              <w:suppressLineNumbers w:val="0"/>
              <w:jc w:val="center"/>
              <w:rPr>
                <w:b/>
                <w:bCs/>
              </w:rPr>
            </w:pPr>
            <w:r>
              <w:rPr>
                <w:rFonts w:ascii="宋体" w:hAnsi="宋体" w:eastAsia="宋体" w:cs="宋体"/>
                <w:b/>
                <w:bCs/>
                <w:sz w:val="24"/>
                <w:szCs w:val="24"/>
                <w:bdr w:val="none" w:color="auto" w:sz="0" w:space="0"/>
              </w:rPr>
              <w:t>Sales</w:t>
            </w:r>
          </w:p>
        </w:tc>
        <w:tc>
          <w:tcPr>
            <w:tcW w:w="0" w:type="auto"/>
            <w:tcBorders>
              <w:top w:val="single" w:color="000000" w:sz="6" w:space="0"/>
              <w:left w:val="single" w:color="000000" w:sz="6" w:space="0"/>
              <w:bottom w:val="single" w:color="000000" w:sz="6" w:space="0"/>
              <w:right w:val="single" w:color="000000" w:sz="6" w:space="0"/>
            </w:tcBorders>
            <w:shd w:val="clear"/>
            <w:tcMar>
              <w:top w:w="30" w:type="dxa"/>
              <w:left w:w="90" w:type="dxa"/>
              <w:bottom w:w="30" w:type="dxa"/>
              <w:right w:w="90" w:type="dxa"/>
            </w:tcMar>
            <w:vAlign w:val="center"/>
          </w:tcPr>
          <w:p w14:paraId="557666A2">
            <w:pPr>
              <w:keepNext w:val="0"/>
              <w:keepLines w:val="0"/>
              <w:widowControl/>
              <w:suppressLineNumbers w:val="0"/>
              <w:jc w:val="center"/>
              <w:rPr>
                <w:b/>
                <w:bCs/>
              </w:rPr>
            </w:pPr>
            <w:r>
              <w:rPr>
                <w:rFonts w:ascii="宋体" w:hAnsi="宋体" w:eastAsia="宋体" w:cs="宋体"/>
                <w:b/>
                <w:bCs/>
                <w:sz w:val="24"/>
                <w:szCs w:val="24"/>
                <w:bdr w:val="none" w:color="auto" w:sz="0" w:space="0"/>
              </w:rPr>
              <w:t>Profit</w:t>
            </w:r>
          </w:p>
        </w:tc>
        <w:tc>
          <w:tcPr>
            <w:tcW w:w="0" w:type="auto"/>
            <w:tcBorders>
              <w:top w:val="single" w:color="000000" w:sz="6" w:space="0"/>
              <w:left w:val="single" w:color="000000" w:sz="6" w:space="0"/>
              <w:bottom w:val="single" w:color="000000" w:sz="6" w:space="0"/>
              <w:right w:val="single" w:color="000000" w:sz="6" w:space="0"/>
            </w:tcBorders>
            <w:shd w:val="clear"/>
            <w:tcMar>
              <w:top w:w="30" w:type="dxa"/>
              <w:left w:w="90" w:type="dxa"/>
              <w:bottom w:w="30" w:type="dxa"/>
              <w:right w:w="90" w:type="dxa"/>
            </w:tcMar>
            <w:vAlign w:val="center"/>
          </w:tcPr>
          <w:p w14:paraId="4A8BEC49">
            <w:pPr>
              <w:keepNext w:val="0"/>
              <w:keepLines w:val="0"/>
              <w:widowControl/>
              <w:suppressLineNumbers w:val="0"/>
              <w:jc w:val="center"/>
              <w:rPr>
                <w:b/>
                <w:bCs/>
              </w:rPr>
            </w:pPr>
            <w:r>
              <w:rPr>
                <w:rFonts w:ascii="宋体" w:hAnsi="宋体" w:eastAsia="宋体" w:cs="宋体"/>
                <w:b/>
                <w:bCs/>
                <w:sz w:val="24"/>
                <w:szCs w:val="24"/>
                <w:bdr w:val="none" w:color="auto" w:sz="0" w:space="0"/>
              </w:rPr>
              <w:t>Margin</w:t>
            </w:r>
          </w:p>
        </w:tc>
        <w:tc>
          <w:tcPr>
            <w:tcW w:w="0" w:type="auto"/>
            <w:tcBorders>
              <w:top w:val="single" w:color="000000" w:sz="6" w:space="0"/>
              <w:left w:val="single" w:color="000000" w:sz="6" w:space="0"/>
              <w:bottom w:val="single" w:color="000000" w:sz="6" w:space="0"/>
              <w:right w:val="single" w:color="000000" w:sz="6" w:space="0"/>
            </w:tcBorders>
            <w:shd w:val="clear"/>
            <w:tcMar>
              <w:top w:w="30" w:type="dxa"/>
              <w:left w:w="90" w:type="dxa"/>
              <w:bottom w:w="30" w:type="dxa"/>
              <w:right w:w="90" w:type="dxa"/>
            </w:tcMar>
            <w:vAlign w:val="center"/>
          </w:tcPr>
          <w:p w14:paraId="0C3EEEC0">
            <w:pPr>
              <w:keepNext w:val="0"/>
              <w:keepLines w:val="0"/>
              <w:widowControl/>
              <w:suppressLineNumbers w:val="0"/>
              <w:jc w:val="center"/>
              <w:rPr>
                <w:b/>
                <w:bCs/>
              </w:rPr>
            </w:pPr>
            <w:r>
              <w:rPr>
                <w:rFonts w:ascii="宋体" w:hAnsi="宋体" w:eastAsia="宋体" w:cs="宋体"/>
                <w:b/>
                <w:bCs/>
                <w:sz w:val="24"/>
                <w:szCs w:val="24"/>
                <w:bdr w:val="none" w:color="auto" w:sz="0" w:space="0"/>
              </w:rPr>
              <w:t>Return rate</w:t>
            </w:r>
          </w:p>
        </w:tc>
      </w:tr>
      <w:tr w14:paraId="10A0E4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shd w:val="clear"/>
            <w:tcMar>
              <w:top w:w="30" w:type="dxa"/>
              <w:left w:w="90" w:type="dxa"/>
              <w:bottom w:w="30" w:type="dxa"/>
              <w:right w:w="90" w:type="dxa"/>
            </w:tcMar>
            <w:vAlign w:val="center"/>
          </w:tcPr>
          <w:p w14:paraId="0954BB7F">
            <w:pPr>
              <w:keepNext w:val="0"/>
              <w:keepLines w:val="0"/>
              <w:widowControl/>
              <w:suppressLineNumbers w:val="0"/>
              <w:jc w:val="left"/>
            </w:pPr>
            <w:r>
              <w:rPr>
                <w:rFonts w:ascii="宋体" w:hAnsi="宋体" w:eastAsia="宋体" w:cs="宋体"/>
                <w:sz w:val="24"/>
                <w:szCs w:val="24"/>
                <w:bdr w:val="none" w:color="auto" w:sz="0" w:space="0"/>
              </w:rPr>
              <w:t>Sheet Mask</w:t>
            </w:r>
          </w:p>
        </w:tc>
        <w:tc>
          <w:tcPr>
            <w:tcW w:w="0" w:type="auto"/>
            <w:tcBorders>
              <w:top w:val="single" w:color="000000" w:sz="6" w:space="0"/>
              <w:left w:val="single" w:color="000000" w:sz="6" w:space="0"/>
              <w:bottom w:val="single" w:color="000000" w:sz="6" w:space="0"/>
              <w:right w:val="single" w:color="000000" w:sz="6" w:space="0"/>
            </w:tcBorders>
            <w:shd w:val="clear"/>
            <w:tcMar>
              <w:top w:w="30" w:type="dxa"/>
              <w:left w:w="90" w:type="dxa"/>
              <w:bottom w:w="30" w:type="dxa"/>
              <w:right w:w="90" w:type="dxa"/>
            </w:tcMar>
            <w:vAlign w:val="center"/>
          </w:tcPr>
          <w:p w14:paraId="250ABA79">
            <w:pPr>
              <w:keepNext w:val="0"/>
              <w:keepLines w:val="0"/>
              <w:widowControl/>
              <w:suppressLineNumbers w:val="0"/>
              <w:jc w:val="left"/>
            </w:pPr>
            <w:r>
              <w:rPr>
                <w:rFonts w:ascii="宋体" w:hAnsi="宋体" w:eastAsia="宋体" w:cs="宋体"/>
                <w:sz w:val="24"/>
                <w:szCs w:val="24"/>
                <w:bdr w:val="none" w:color="auto" w:sz="0" w:space="0"/>
              </w:rPr>
              <w:t>470</w:t>
            </w:r>
          </w:p>
        </w:tc>
        <w:tc>
          <w:tcPr>
            <w:tcW w:w="0" w:type="auto"/>
            <w:tcBorders>
              <w:top w:val="single" w:color="000000" w:sz="6" w:space="0"/>
              <w:left w:val="single" w:color="000000" w:sz="6" w:space="0"/>
              <w:bottom w:val="single" w:color="000000" w:sz="6" w:space="0"/>
              <w:right w:val="single" w:color="000000" w:sz="6" w:space="0"/>
            </w:tcBorders>
            <w:shd w:val="clear"/>
            <w:tcMar>
              <w:top w:w="30" w:type="dxa"/>
              <w:left w:w="90" w:type="dxa"/>
              <w:bottom w:w="30" w:type="dxa"/>
              <w:right w:w="90" w:type="dxa"/>
            </w:tcMar>
            <w:vAlign w:val="center"/>
          </w:tcPr>
          <w:p w14:paraId="29EDBCE1">
            <w:pPr>
              <w:keepNext w:val="0"/>
              <w:keepLines w:val="0"/>
              <w:widowControl/>
              <w:suppressLineNumbers w:val="0"/>
              <w:jc w:val="left"/>
            </w:pPr>
            <w:r>
              <w:rPr>
                <w:rFonts w:ascii="宋体" w:hAnsi="宋体" w:eastAsia="宋体" w:cs="宋体"/>
                <w:sz w:val="24"/>
                <w:szCs w:val="24"/>
                <w:bdr w:val="none" w:color="auto" w:sz="0" w:space="0"/>
              </w:rPr>
              <w:t>$131.6K</w:t>
            </w:r>
          </w:p>
        </w:tc>
        <w:tc>
          <w:tcPr>
            <w:tcW w:w="0" w:type="auto"/>
            <w:tcBorders>
              <w:top w:val="single" w:color="000000" w:sz="6" w:space="0"/>
              <w:left w:val="single" w:color="000000" w:sz="6" w:space="0"/>
              <w:bottom w:val="single" w:color="000000" w:sz="6" w:space="0"/>
              <w:right w:val="single" w:color="000000" w:sz="6" w:space="0"/>
            </w:tcBorders>
            <w:shd w:val="clear"/>
            <w:tcMar>
              <w:top w:w="30" w:type="dxa"/>
              <w:left w:w="90" w:type="dxa"/>
              <w:bottom w:w="30" w:type="dxa"/>
              <w:right w:w="90" w:type="dxa"/>
            </w:tcMar>
            <w:vAlign w:val="center"/>
          </w:tcPr>
          <w:p w14:paraId="255ABD37">
            <w:pPr>
              <w:keepNext w:val="0"/>
              <w:keepLines w:val="0"/>
              <w:widowControl/>
              <w:suppressLineNumbers w:val="0"/>
              <w:jc w:val="left"/>
            </w:pPr>
            <w:r>
              <w:rPr>
                <w:rFonts w:ascii="宋体" w:hAnsi="宋体" w:eastAsia="宋体" w:cs="宋体"/>
                <w:sz w:val="24"/>
                <w:szCs w:val="24"/>
                <w:bdr w:val="none" w:color="auto" w:sz="0" w:space="0"/>
              </w:rPr>
              <w:t>$45.4K</w:t>
            </w:r>
          </w:p>
        </w:tc>
        <w:tc>
          <w:tcPr>
            <w:tcW w:w="0" w:type="auto"/>
            <w:tcBorders>
              <w:top w:val="single" w:color="000000" w:sz="6" w:space="0"/>
              <w:left w:val="single" w:color="000000" w:sz="6" w:space="0"/>
              <w:bottom w:val="single" w:color="000000" w:sz="6" w:space="0"/>
              <w:right w:val="single" w:color="000000" w:sz="6" w:space="0"/>
            </w:tcBorders>
            <w:shd w:val="clear"/>
            <w:tcMar>
              <w:top w:w="30" w:type="dxa"/>
              <w:left w:w="90" w:type="dxa"/>
              <w:bottom w:w="30" w:type="dxa"/>
              <w:right w:w="90" w:type="dxa"/>
            </w:tcMar>
            <w:vAlign w:val="center"/>
          </w:tcPr>
          <w:p w14:paraId="151D888E">
            <w:pPr>
              <w:keepNext w:val="0"/>
              <w:keepLines w:val="0"/>
              <w:widowControl/>
              <w:suppressLineNumbers w:val="0"/>
              <w:jc w:val="left"/>
            </w:pPr>
            <w:r>
              <w:rPr>
                <w:rFonts w:ascii="宋体" w:hAnsi="宋体" w:eastAsia="宋体" w:cs="宋体"/>
                <w:sz w:val="24"/>
                <w:szCs w:val="24"/>
                <w:bdr w:val="none" w:color="auto" w:sz="0" w:space="0"/>
              </w:rPr>
              <w:t>34.52%</w:t>
            </w:r>
          </w:p>
        </w:tc>
        <w:tc>
          <w:tcPr>
            <w:tcW w:w="0" w:type="auto"/>
            <w:tcBorders>
              <w:top w:val="single" w:color="000000" w:sz="6" w:space="0"/>
              <w:left w:val="single" w:color="000000" w:sz="6" w:space="0"/>
              <w:bottom w:val="single" w:color="000000" w:sz="6" w:space="0"/>
              <w:right w:val="single" w:color="000000" w:sz="6" w:space="0"/>
            </w:tcBorders>
            <w:shd w:val="clear"/>
            <w:tcMar>
              <w:top w:w="30" w:type="dxa"/>
              <w:left w:w="90" w:type="dxa"/>
              <w:bottom w:w="30" w:type="dxa"/>
              <w:right w:w="90" w:type="dxa"/>
            </w:tcMar>
            <w:vAlign w:val="center"/>
          </w:tcPr>
          <w:p w14:paraId="4E3B1901">
            <w:pPr>
              <w:keepNext w:val="0"/>
              <w:keepLines w:val="0"/>
              <w:widowControl/>
              <w:suppressLineNumbers w:val="0"/>
              <w:jc w:val="left"/>
            </w:pPr>
            <w:r>
              <w:rPr>
                <w:rFonts w:ascii="宋体" w:hAnsi="宋体" w:eastAsia="宋体" w:cs="宋体"/>
                <w:sz w:val="24"/>
                <w:szCs w:val="24"/>
                <w:bdr w:val="none" w:color="auto" w:sz="0" w:space="0"/>
              </w:rPr>
              <w:t>10.2%</w:t>
            </w:r>
          </w:p>
        </w:tc>
      </w:tr>
      <w:tr w14:paraId="35625C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shd w:val="clear"/>
            <w:tcMar>
              <w:top w:w="30" w:type="dxa"/>
              <w:left w:w="90" w:type="dxa"/>
              <w:bottom w:w="30" w:type="dxa"/>
              <w:right w:w="90" w:type="dxa"/>
            </w:tcMar>
            <w:vAlign w:val="center"/>
          </w:tcPr>
          <w:p w14:paraId="3FDFA635">
            <w:pPr>
              <w:keepNext w:val="0"/>
              <w:keepLines w:val="0"/>
              <w:widowControl/>
              <w:suppressLineNumbers w:val="0"/>
              <w:jc w:val="left"/>
            </w:pPr>
            <w:r>
              <w:rPr>
                <w:rFonts w:ascii="宋体" w:hAnsi="宋体" w:eastAsia="宋体" w:cs="宋体"/>
                <w:sz w:val="24"/>
                <w:szCs w:val="24"/>
                <w:bdr w:val="none" w:color="auto" w:sz="0" w:space="0"/>
              </w:rPr>
              <w:t>Lipstick</w:t>
            </w:r>
          </w:p>
        </w:tc>
        <w:tc>
          <w:tcPr>
            <w:tcW w:w="0" w:type="auto"/>
            <w:tcBorders>
              <w:top w:val="single" w:color="000000" w:sz="6" w:space="0"/>
              <w:left w:val="single" w:color="000000" w:sz="6" w:space="0"/>
              <w:bottom w:val="single" w:color="000000" w:sz="6" w:space="0"/>
              <w:right w:val="single" w:color="000000" w:sz="6" w:space="0"/>
            </w:tcBorders>
            <w:shd w:val="clear"/>
            <w:tcMar>
              <w:top w:w="30" w:type="dxa"/>
              <w:left w:w="90" w:type="dxa"/>
              <w:bottom w:w="30" w:type="dxa"/>
              <w:right w:w="90" w:type="dxa"/>
            </w:tcMar>
            <w:vAlign w:val="center"/>
          </w:tcPr>
          <w:p w14:paraId="5B3DEBFF">
            <w:pPr>
              <w:keepNext w:val="0"/>
              <w:keepLines w:val="0"/>
              <w:widowControl/>
              <w:suppressLineNumbers w:val="0"/>
              <w:jc w:val="left"/>
            </w:pPr>
            <w:r>
              <w:rPr>
                <w:rFonts w:ascii="宋体" w:hAnsi="宋体" w:eastAsia="宋体" w:cs="宋体"/>
                <w:sz w:val="24"/>
                <w:szCs w:val="24"/>
                <w:bdr w:val="none" w:color="auto" w:sz="0" w:space="0"/>
              </w:rPr>
              <w:t>528</w:t>
            </w:r>
          </w:p>
        </w:tc>
        <w:tc>
          <w:tcPr>
            <w:tcW w:w="0" w:type="auto"/>
            <w:tcBorders>
              <w:top w:val="single" w:color="000000" w:sz="6" w:space="0"/>
              <w:left w:val="single" w:color="000000" w:sz="6" w:space="0"/>
              <w:bottom w:val="single" w:color="000000" w:sz="6" w:space="0"/>
              <w:right w:val="single" w:color="000000" w:sz="6" w:space="0"/>
            </w:tcBorders>
            <w:shd w:val="clear"/>
            <w:tcMar>
              <w:top w:w="30" w:type="dxa"/>
              <w:left w:w="90" w:type="dxa"/>
              <w:bottom w:w="30" w:type="dxa"/>
              <w:right w:w="90" w:type="dxa"/>
            </w:tcMar>
            <w:vAlign w:val="center"/>
          </w:tcPr>
          <w:p w14:paraId="18F1A008">
            <w:pPr>
              <w:keepNext w:val="0"/>
              <w:keepLines w:val="0"/>
              <w:widowControl/>
              <w:suppressLineNumbers w:val="0"/>
              <w:jc w:val="left"/>
            </w:pPr>
            <w:r>
              <w:rPr>
                <w:rFonts w:ascii="宋体" w:hAnsi="宋体" w:eastAsia="宋体" w:cs="宋体"/>
                <w:sz w:val="24"/>
                <w:szCs w:val="24"/>
                <w:bdr w:val="none" w:color="auto" w:sz="0" w:space="0"/>
              </w:rPr>
              <w:t>$127.6K</w:t>
            </w:r>
          </w:p>
        </w:tc>
        <w:tc>
          <w:tcPr>
            <w:tcW w:w="0" w:type="auto"/>
            <w:tcBorders>
              <w:top w:val="single" w:color="000000" w:sz="6" w:space="0"/>
              <w:left w:val="single" w:color="000000" w:sz="6" w:space="0"/>
              <w:bottom w:val="single" w:color="000000" w:sz="6" w:space="0"/>
              <w:right w:val="single" w:color="000000" w:sz="6" w:space="0"/>
            </w:tcBorders>
            <w:shd w:val="clear"/>
            <w:tcMar>
              <w:top w:w="30" w:type="dxa"/>
              <w:left w:w="90" w:type="dxa"/>
              <w:bottom w:w="30" w:type="dxa"/>
              <w:right w:w="90" w:type="dxa"/>
            </w:tcMar>
            <w:vAlign w:val="center"/>
          </w:tcPr>
          <w:p w14:paraId="29E66F29">
            <w:pPr>
              <w:keepNext w:val="0"/>
              <w:keepLines w:val="0"/>
              <w:widowControl/>
              <w:suppressLineNumbers w:val="0"/>
              <w:jc w:val="left"/>
            </w:pPr>
            <w:r>
              <w:rPr>
                <w:rFonts w:ascii="宋体" w:hAnsi="宋体" w:eastAsia="宋体" w:cs="宋体"/>
                <w:sz w:val="24"/>
                <w:szCs w:val="24"/>
                <w:bdr w:val="none" w:color="auto" w:sz="0" w:space="0"/>
              </w:rPr>
              <w:t>$59.2K</w:t>
            </w:r>
          </w:p>
        </w:tc>
        <w:tc>
          <w:tcPr>
            <w:tcW w:w="0" w:type="auto"/>
            <w:tcBorders>
              <w:top w:val="single" w:color="000000" w:sz="6" w:space="0"/>
              <w:left w:val="single" w:color="000000" w:sz="6" w:space="0"/>
              <w:bottom w:val="single" w:color="000000" w:sz="6" w:space="0"/>
              <w:right w:val="single" w:color="000000" w:sz="6" w:space="0"/>
            </w:tcBorders>
            <w:shd w:val="clear"/>
            <w:tcMar>
              <w:top w:w="30" w:type="dxa"/>
              <w:left w:w="90" w:type="dxa"/>
              <w:bottom w:w="30" w:type="dxa"/>
              <w:right w:w="90" w:type="dxa"/>
            </w:tcMar>
            <w:vAlign w:val="center"/>
          </w:tcPr>
          <w:p w14:paraId="4CF72983">
            <w:pPr>
              <w:keepNext w:val="0"/>
              <w:keepLines w:val="0"/>
              <w:widowControl/>
              <w:suppressLineNumbers w:val="0"/>
              <w:jc w:val="left"/>
            </w:pPr>
            <w:r>
              <w:rPr>
                <w:rFonts w:ascii="宋体" w:hAnsi="宋体" w:eastAsia="宋体" w:cs="宋体"/>
                <w:sz w:val="24"/>
                <w:szCs w:val="24"/>
                <w:bdr w:val="none" w:color="auto" w:sz="0" w:space="0"/>
              </w:rPr>
              <w:t>46.36%</w:t>
            </w:r>
          </w:p>
        </w:tc>
        <w:tc>
          <w:tcPr>
            <w:tcW w:w="0" w:type="auto"/>
            <w:tcBorders>
              <w:top w:val="single" w:color="000000" w:sz="6" w:space="0"/>
              <w:left w:val="single" w:color="000000" w:sz="6" w:space="0"/>
              <w:bottom w:val="single" w:color="000000" w:sz="6" w:space="0"/>
              <w:right w:val="single" w:color="000000" w:sz="6" w:space="0"/>
            </w:tcBorders>
            <w:shd w:val="clear"/>
            <w:tcMar>
              <w:top w:w="30" w:type="dxa"/>
              <w:left w:w="90" w:type="dxa"/>
              <w:bottom w:w="30" w:type="dxa"/>
              <w:right w:w="90" w:type="dxa"/>
            </w:tcMar>
            <w:vAlign w:val="center"/>
          </w:tcPr>
          <w:p w14:paraId="68A0CD7D">
            <w:pPr>
              <w:keepNext w:val="0"/>
              <w:keepLines w:val="0"/>
              <w:widowControl/>
              <w:suppressLineNumbers w:val="0"/>
              <w:jc w:val="left"/>
            </w:pPr>
            <w:r>
              <w:rPr>
                <w:rFonts w:ascii="宋体" w:hAnsi="宋体" w:eastAsia="宋体" w:cs="宋体"/>
                <w:sz w:val="24"/>
                <w:szCs w:val="24"/>
                <w:bdr w:val="none" w:color="auto" w:sz="0" w:space="0"/>
              </w:rPr>
              <w:t>19.2%</w:t>
            </w:r>
          </w:p>
        </w:tc>
      </w:tr>
      <w:tr w14:paraId="3B4642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shd w:val="clear"/>
            <w:tcMar>
              <w:top w:w="30" w:type="dxa"/>
              <w:left w:w="90" w:type="dxa"/>
              <w:bottom w:w="30" w:type="dxa"/>
              <w:right w:w="90" w:type="dxa"/>
            </w:tcMar>
            <w:vAlign w:val="center"/>
          </w:tcPr>
          <w:p w14:paraId="0647421F">
            <w:pPr>
              <w:keepNext w:val="0"/>
              <w:keepLines w:val="0"/>
              <w:widowControl/>
              <w:suppressLineNumbers w:val="0"/>
              <w:jc w:val="left"/>
            </w:pPr>
            <w:r>
              <w:rPr>
                <w:rFonts w:ascii="宋体" w:hAnsi="宋体" w:eastAsia="宋体" w:cs="宋体"/>
                <w:sz w:val="24"/>
                <w:szCs w:val="24"/>
                <w:bdr w:val="none" w:color="auto" w:sz="0" w:space="0"/>
              </w:rPr>
              <w:t>Serum</w:t>
            </w:r>
          </w:p>
        </w:tc>
        <w:tc>
          <w:tcPr>
            <w:tcW w:w="0" w:type="auto"/>
            <w:tcBorders>
              <w:top w:val="single" w:color="000000" w:sz="6" w:space="0"/>
              <w:left w:val="single" w:color="000000" w:sz="6" w:space="0"/>
              <w:bottom w:val="single" w:color="000000" w:sz="6" w:space="0"/>
              <w:right w:val="single" w:color="000000" w:sz="6" w:space="0"/>
            </w:tcBorders>
            <w:shd w:val="clear"/>
            <w:tcMar>
              <w:top w:w="30" w:type="dxa"/>
              <w:left w:w="90" w:type="dxa"/>
              <w:bottom w:w="30" w:type="dxa"/>
              <w:right w:w="90" w:type="dxa"/>
            </w:tcMar>
            <w:vAlign w:val="center"/>
          </w:tcPr>
          <w:p w14:paraId="060C0F79">
            <w:pPr>
              <w:keepNext w:val="0"/>
              <w:keepLines w:val="0"/>
              <w:widowControl/>
              <w:suppressLineNumbers w:val="0"/>
              <w:jc w:val="left"/>
            </w:pPr>
            <w:r>
              <w:rPr>
                <w:rFonts w:ascii="宋体" w:hAnsi="宋体" w:eastAsia="宋体" w:cs="宋体"/>
                <w:sz w:val="24"/>
                <w:szCs w:val="24"/>
                <w:bdr w:val="none" w:color="auto" w:sz="0" w:space="0"/>
              </w:rPr>
              <w:t>796</w:t>
            </w:r>
          </w:p>
        </w:tc>
        <w:tc>
          <w:tcPr>
            <w:tcW w:w="0" w:type="auto"/>
            <w:tcBorders>
              <w:top w:val="single" w:color="000000" w:sz="6" w:space="0"/>
              <w:left w:val="single" w:color="000000" w:sz="6" w:space="0"/>
              <w:bottom w:val="single" w:color="000000" w:sz="6" w:space="0"/>
              <w:right w:val="single" w:color="000000" w:sz="6" w:space="0"/>
            </w:tcBorders>
            <w:shd w:val="clear"/>
            <w:tcMar>
              <w:top w:w="30" w:type="dxa"/>
              <w:left w:w="90" w:type="dxa"/>
              <w:bottom w:w="30" w:type="dxa"/>
              <w:right w:w="90" w:type="dxa"/>
            </w:tcMar>
            <w:vAlign w:val="center"/>
          </w:tcPr>
          <w:p w14:paraId="197FD037">
            <w:pPr>
              <w:keepNext w:val="0"/>
              <w:keepLines w:val="0"/>
              <w:widowControl/>
              <w:suppressLineNumbers w:val="0"/>
              <w:jc w:val="left"/>
            </w:pPr>
            <w:r>
              <w:rPr>
                <w:rFonts w:ascii="宋体" w:hAnsi="宋体" w:eastAsia="宋体" w:cs="宋体"/>
                <w:sz w:val="24"/>
                <w:szCs w:val="24"/>
                <w:bdr w:val="none" w:color="auto" w:sz="0" w:space="0"/>
              </w:rPr>
              <w:t>$110.1K</w:t>
            </w:r>
          </w:p>
        </w:tc>
        <w:tc>
          <w:tcPr>
            <w:tcW w:w="0" w:type="auto"/>
            <w:tcBorders>
              <w:top w:val="single" w:color="000000" w:sz="6" w:space="0"/>
              <w:left w:val="single" w:color="000000" w:sz="6" w:space="0"/>
              <w:bottom w:val="single" w:color="000000" w:sz="6" w:space="0"/>
              <w:right w:val="single" w:color="000000" w:sz="6" w:space="0"/>
            </w:tcBorders>
            <w:shd w:val="clear"/>
            <w:tcMar>
              <w:top w:w="30" w:type="dxa"/>
              <w:left w:w="90" w:type="dxa"/>
              <w:bottom w:w="30" w:type="dxa"/>
              <w:right w:w="90" w:type="dxa"/>
            </w:tcMar>
            <w:vAlign w:val="center"/>
          </w:tcPr>
          <w:p w14:paraId="4F04FD42">
            <w:pPr>
              <w:keepNext w:val="0"/>
              <w:keepLines w:val="0"/>
              <w:widowControl/>
              <w:suppressLineNumbers w:val="0"/>
              <w:jc w:val="left"/>
            </w:pPr>
            <w:r>
              <w:rPr>
                <w:rFonts w:ascii="宋体" w:hAnsi="宋体" w:eastAsia="宋体" w:cs="宋体"/>
                <w:sz w:val="24"/>
                <w:szCs w:val="24"/>
                <w:bdr w:val="none" w:color="auto" w:sz="0" w:space="0"/>
              </w:rPr>
              <w:t>$64.2K</w:t>
            </w:r>
          </w:p>
        </w:tc>
        <w:tc>
          <w:tcPr>
            <w:tcW w:w="0" w:type="auto"/>
            <w:tcBorders>
              <w:top w:val="single" w:color="000000" w:sz="6" w:space="0"/>
              <w:left w:val="single" w:color="000000" w:sz="6" w:space="0"/>
              <w:bottom w:val="single" w:color="000000" w:sz="6" w:space="0"/>
              <w:right w:val="single" w:color="000000" w:sz="6" w:space="0"/>
            </w:tcBorders>
            <w:shd w:val="clear"/>
            <w:tcMar>
              <w:top w:w="30" w:type="dxa"/>
              <w:left w:w="90" w:type="dxa"/>
              <w:bottom w:w="30" w:type="dxa"/>
              <w:right w:w="90" w:type="dxa"/>
            </w:tcMar>
            <w:vAlign w:val="center"/>
          </w:tcPr>
          <w:p w14:paraId="5E03F52C">
            <w:pPr>
              <w:keepNext w:val="0"/>
              <w:keepLines w:val="0"/>
              <w:widowControl/>
              <w:suppressLineNumbers w:val="0"/>
              <w:jc w:val="left"/>
            </w:pPr>
            <w:r>
              <w:rPr>
                <w:rFonts w:ascii="宋体" w:hAnsi="宋体" w:eastAsia="宋体" w:cs="宋体"/>
                <w:sz w:val="24"/>
                <w:szCs w:val="24"/>
                <w:bdr w:val="none" w:color="auto" w:sz="0" w:space="0"/>
              </w:rPr>
              <w:t>58.26%</w:t>
            </w:r>
          </w:p>
        </w:tc>
        <w:tc>
          <w:tcPr>
            <w:tcW w:w="0" w:type="auto"/>
            <w:tcBorders>
              <w:top w:val="single" w:color="000000" w:sz="6" w:space="0"/>
              <w:left w:val="single" w:color="000000" w:sz="6" w:space="0"/>
              <w:bottom w:val="single" w:color="000000" w:sz="6" w:space="0"/>
              <w:right w:val="single" w:color="000000" w:sz="6" w:space="0"/>
            </w:tcBorders>
            <w:shd w:val="clear"/>
            <w:tcMar>
              <w:top w:w="30" w:type="dxa"/>
              <w:left w:w="90" w:type="dxa"/>
              <w:bottom w:w="30" w:type="dxa"/>
              <w:right w:w="90" w:type="dxa"/>
            </w:tcMar>
            <w:vAlign w:val="center"/>
          </w:tcPr>
          <w:p w14:paraId="0335C799">
            <w:pPr>
              <w:keepNext w:val="0"/>
              <w:keepLines w:val="0"/>
              <w:widowControl/>
              <w:suppressLineNumbers w:val="0"/>
              <w:jc w:val="left"/>
            </w:pPr>
            <w:r>
              <w:rPr>
                <w:rFonts w:ascii="宋体" w:hAnsi="宋体" w:eastAsia="宋体" w:cs="宋体"/>
                <w:sz w:val="24"/>
                <w:szCs w:val="24"/>
                <w:bdr w:val="none" w:color="auto" w:sz="0" w:space="0"/>
              </w:rPr>
              <w:t>19.7%</w:t>
            </w:r>
          </w:p>
        </w:tc>
      </w:tr>
    </w:tbl>
    <w:p w14:paraId="1797C3E1">
      <w:pPr>
        <w:pStyle w:val="4"/>
        <w:keepNext w:val="0"/>
        <w:keepLines w:val="0"/>
        <w:widowControl/>
        <w:suppressLineNumbers w:val="0"/>
      </w:pPr>
      <w:r>
        <w:rPr>
          <w:rStyle w:val="7"/>
        </w:rPr>
        <w:t>Findings</w:t>
      </w:r>
      <w:r>
        <w:t>:</w:t>
      </w:r>
    </w:p>
    <w:p w14:paraId="602FF719">
      <w:pPr>
        <w:keepNext w:val="0"/>
        <w:keepLines w:val="0"/>
        <w:widowControl/>
        <w:numPr>
          <w:ilvl w:val="0"/>
          <w:numId w:val="2"/>
        </w:numPr>
        <w:suppressLineNumbers w:val="0"/>
        <w:spacing w:before="0" w:beforeAutospacing="1" w:after="0" w:afterAutospacing="1"/>
        <w:ind w:left="720" w:hanging="360"/>
      </w:pPr>
      <w:r>
        <w:rPr>
          <w:rStyle w:val="7"/>
        </w:rPr>
        <w:t>Serum had the highest margin (58.26%), the most units and the most profit.</w:t>
      </w:r>
      <w:r>
        <w:t xml:space="preserve"> The plan positioned it as the traffic driver; it turned out to be the most profitable product as well. A winter skincare staple does not need a deep discount to sell.</w:t>
      </w:r>
    </w:p>
    <w:p w14:paraId="65BC9872">
      <w:pPr>
        <w:keepNext w:val="0"/>
        <w:keepLines w:val="0"/>
        <w:widowControl/>
        <w:numPr>
          <w:ilvl w:val="0"/>
          <w:numId w:val="2"/>
        </w:numPr>
        <w:suppressLineNumbers w:val="0"/>
        <w:spacing w:before="0" w:beforeAutospacing="1" w:after="0" w:afterAutospacing="1"/>
        <w:ind w:left="720" w:hanging="360"/>
      </w:pPr>
      <w:r>
        <w:rPr>
          <w:rStyle w:val="7"/>
        </w:rPr>
        <w:t>Sheet masks had the highest sales but the lowest margin (34.52%).</w:t>
      </w:r>
      <w:r>
        <w:t xml:space="preserve"> The "20% off two boxes" bundle drove volume and gave away most of the margin.</w:t>
      </w:r>
    </w:p>
    <w:p w14:paraId="0D38009C">
      <w:pPr>
        <w:keepNext w:val="0"/>
        <w:keepLines w:val="0"/>
        <w:widowControl/>
        <w:numPr>
          <w:ilvl w:val="0"/>
          <w:numId w:val="2"/>
        </w:numPr>
        <w:suppressLineNumbers w:val="0"/>
        <w:spacing w:before="0" w:beforeAutospacing="1" w:after="0" w:afterAutospacing="1"/>
        <w:ind w:left="720" w:hanging="360"/>
      </w:pPr>
      <w:r>
        <w:rPr>
          <w:rStyle w:val="7"/>
        </w:rPr>
        <w:t>Lipstick and serum came back at almost twice the return rate of sheet masks (about 19% vs 10%).</w:t>
      </w:r>
      <w:r>
        <w:t xml:space="preserve"> For lipstick this is probably shade mismatch; worth checking the return reasons before the next campaign.</w:t>
      </w:r>
    </w:p>
    <w:p w14:paraId="3EA74358">
      <w:pPr>
        <w:keepNext w:val="0"/>
        <w:keepLines w:val="0"/>
        <w:widowControl/>
        <w:numPr>
          <w:ilvl w:val="0"/>
          <w:numId w:val="2"/>
        </w:numPr>
        <w:suppressLineNumbers w:val="0"/>
        <w:spacing w:before="0" w:beforeAutospacing="1" w:after="0" w:afterAutospacing="1"/>
        <w:ind w:left="720" w:hanging="360"/>
      </w:pPr>
      <w:r>
        <w:rPr>
          <w:rStyle w:val="7"/>
        </w:rPr>
        <w:t>Operating cost was 3.5% over budget</w:t>
      </w:r>
      <w:r>
        <w:t>, the overrun the plan warned about ("ad placement bids usually rise during Black Friday"). It was small this time, but it points the same way as other seasonal campaigns.</w:t>
      </w:r>
    </w:p>
    <w:p w14:paraId="692952BC">
      <w:pPr>
        <w:pStyle w:val="3"/>
        <w:keepNext w:val="0"/>
        <w:keepLines w:val="0"/>
        <w:widowControl/>
        <w:suppressLineNumbers w:val="0"/>
      </w:pPr>
      <w:r>
        <w:t>Recommendations for Similar Campaigns</w:t>
      </w:r>
    </w:p>
    <w:p w14:paraId="384BF4C5">
      <w:pPr>
        <w:keepNext w:val="0"/>
        <w:keepLines w:val="0"/>
        <w:widowControl/>
        <w:numPr>
          <w:ilvl w:val="0"/>
          <w:numId w:val="3"/>
        </w:numPr>
        <w:suppressLineNumbers w:val="0"/>
        <w:spacing w:before="0" w:beforeAutospacing="1" w:after="0" w:afterAutospacing="1"/>
        <w:ind w:left="720" w:hanging="360"/>
      </w:pPr>
      <w:r>
        <w:t>Budget seasonal campaigns with a buffer based on the past overrun of actual over planned cost, instead of the ratio used for regular campaigns</w:t>
      </w:r>
    </w:p>
    <w:p w14:paraId="0A5AB605">
      <w:pPr>
        <w:keepNext w:val="0"/>
        <w:keepLines w:val="0"/>
        <w:widowControl/>
        <w:numPr>
          <w:ilvl w:val="0"/>
          <w:numId w:val="3"/>
        </w:numPr>
        <w:suppressLineNumbers w:val="0"/>
        <w:spacing w:before="0" w:beforeAutospacing="1" w:after="0" w:afterAutospacing="1"/>
        <w:ind w:left="720" w:hanging="360"/>
      </w:pPr>
      <w:r>
        <w:t>Keep serum as the hero product, and test a smaller bundle discount on sheet masks to win back margin</w:t>
      </w:r>
    </w:p>
    <w:p w14:paraId="3F7AA1B2">
      <w:pPr>
        <w:keepNext w:val="0"/>
        <w:keepLines w:val="0"/>
        <w:widowControl/>
        <w:numPr>
          <w:ilvl w:val="0"/>
          <w:numId w:val="3"/>
        </w:numPr>
        <w:suppressLineNumbers w:val="0"/>
        <w:spacing w:before="0" w:beforeAutospacing="1" w:after="0" w:afterAutospacing="1"/>
        <w:ind w:left="720" w:hanging="360"/>
      </w:pPr>
      <w:r>
        <w:t>Look into lipstick returns (shade guidance during the stream, swatch close-ups) before featuring it again</w:t>
      </w:r>
    </w:p>
    <w:p w14:paraId="1A5FCFC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EE7541"/>
    <w:multiLevelType w:val="multilevel"/>
    <w:tmpl w:val="A2EE754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EABCA247"/>
    <w:multiLevelType w:val="multilevel"/>
    <w:tmpl w:val="EABCA2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F580A5A3"/>
    <w:multiLevelType w:val="multilevel"/>
    <w:tmpl w:val="F580A5A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F902695"/>
    <w:rsid w:val="0F9026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TML Code"/>
    <w:basedOn w:val="6"/>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2026-10-30T00:34:00Z</dcterms:created>
  <dc:creator>Iris</dc:creator>
  <cp:lastModifiedBy>Iris</cp:lastModifiedBy>
  <dcterms:modified xsi:type="dcterms:W3CDTF">2026-10-30T00:34:22Z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2052-12.1.0.28485</vt:lpwstr>
  </property>
  <property fmtid="{D5CDD505-2E9C-101B-9397-08002B2CF9AE}" pid="3" name="ICV">
    <vt:lpwstr>F12D9E17C1A6433481A7CF3B9E906019_11</vt:lpwstr>
  </property>
</Properties>
</file>