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176EAC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主播签约与考核流程(3C 数码运营)</w:t>
      </w:r>
    </w:p>
    <w:p w14:paraId="017C54F2">
      <w:pPr>
        <w:pStyle w:val="3"/>
        <w:keepNext w:val="0"/>
        <w:keepLines w:val="0"/>
        <w:widowControl/>
        <w:suppressLineNumbers w:val="0"/>
      </w:pPr>
      <w:r>
        <w:t>适用场景</w:t>
      </w:r>
    </w:p>
    <w:p w14:paraId="21961F90">
      <w:pPr>
        <w:pStyle w:val="4"/>
        <w:keepNext w:val="0"/>
        <w:keepLines w:val="0"/>
        <w:widowControl/>
        <w:suppressLineNumbers w:val="0"/>
      </w:pPr>
      <w:r>
        <w:t>3C 数码运营部门新签约主播,或存量主播季度考核。</w:t>
      </w:r>
    </w:p>
    <w:p w14:paraId="205A93D5">
      <w:pPr>
        <w:pStyle w:val="3"/>
        <w:keepNext w:val="0"/>
        <w:keepLines w:val="0"/>
        <w:widowControl/>
        <w:suppressLineNumbers w:val="0"/>
      </w:pPr>
      <w:r>
        <w:t>处理步骤</w:t>
      </w:r>
    </w:p>
    <w:p w14:paraId="241BD6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背景审核</w:t>
      </w:r>
      <w:r>
        <w:t>:核实主播过往带货类目、粉丝画像是否与 3C 数码受众匹配,查历史违规记录。</w:t>
      </w:r>
    </w:p>
    <w:p w14:paraId="1BC428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试播考察</w:t>
      </w:r>
      <w:r>
        <w:t>:安排 1-2 场试播(非独立开播,搭配成熟主播),观察对产品参数的熟悉度、临场应变。</w:t>
      </w:r>
    </w:p>
    <w:p w14:paraId="66CF51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合同条款确认</w:t>
      </w:r>
      <w:r>
        <w:t>:坑位费/佣金比例、最低场次要求、考核周期,法务过一遍合同模板。</w:t>
      </w:r>
    </w:p>
    <w:p w14:paraId="0E0917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产品知识培训</w:t>
      </w:r>
      <w:r>
        <w:t>:数码类目专业性要求高,安排至少 4 小时的产品培训 + 笔试,不通过不能独立开播。</w:t>
      </w:r>
    </w:p>
    <w:p w14:paraId="5B29D4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首月保护期</w:t>
      </w:r>
      <w:r>
        <w:t>:前 4 场由资深运营陪场,复盘每场数据,发现问题及时纠正。</w:t>
      </w:r>
    </w:p>
    <w:p w14:paraId="72E8D6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季度考核</w:t>
      </w:r>
      <w:r>
        <w:t>:GMV、转化率、退货率、投诉率四项指标,对比部门平均水平,低于阈值触发"约谈 -&gt; 观察期 -&gt; 解约"三级处理。</w:t>
      </w:r>
    </w:p>
    <w:p w14:paraId="1A7078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考核结果归档</w:t>
      </w:r>
      <w:r>
        <w:t>:考核表存入主播档案,作为下次排期优先级的参考依据。</w:t>
      </w:r>
    </w:p>
    <w:p w14:paraId="50AA20CB">
      <w:pPr>
        <w:pStyle w:val="3"/>
        <w:keepNext w:val="0"/>
        <w:keepLines w:val="0"/>
        <w:widowControl/>
        <w:suppressLineNumbers w:val="0"/>
      </w:pPr>
      <w:r>
        <w:t>协同部门</w:t>
      </w:r>
    </w:p>
    <w:p w14:paraId="4EFCDF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法务</w:t>
      </w:r>
      <w:r>
        <w:t>:合同审核</w:t>
      </w:r>
    </w:p>
    <w:p w14:paraId="552A03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风控组</w:t>
      </w:r>
      <w:r>
        <w:t>:历史违规记录核查</w:t>
      </w:r>
    </w:p>
    <w:p w14:paraId="62AEBA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数据组</w:t>
      </w:r>
      <w:r>
        <w:t>:季度考核数据出具</w:t>
      </w:r>
    </w:p>
    <w:p w14:paraId="08D154A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40F05B"/>
    <w:multiLevelType w:val="multilevel"/>
    <w:tmpl w:val="3440F0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DE9B3BB"/>
    <w:multiLevelType w:val="multilevel"/>
    <w:tmpl w:val="7DE9B3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4E276D"/>
    <w:rsid w:val="414E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2026-10-28T22:11:00Z</dcterms:created>
  <dc:creator>Iris</dc:creator>
  <cp:lastModifiedBy>Iris</cp:lastModifiedBy>
  <dcterms:modified xsi:type="dcterms:W3CDTF">2026-10-28T22:11:05Z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2052-12.1.0.28485</vt:lpwstr>
  </property>
  <property fmtid="{D5CDD505-2E9C-101B-9397-08002B2CF9AE}" pid="3" name="ICV">
    <vt:lpwstr>D3FFFB1025CA4505A7431162880C224E_11</vt:lpwstr>
  </property>
</Properties>
</file>