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libri" w:cs="Calibri" w:eastAsia="Calibri" w:hAnsi="Calibri"/>
        </w:rPr>
      </w:pPr>
      <w:bookmarkStart w:colFirst="0" w:colLast="0" w:name="_csztjldv0iot" w:id="0"/>
      <w:bookmarkEnd w:id="0"/>
      <w:r w:rsidDel="00000000" w:rsidR="00000000" w:rsidRPr="00000000">
        <w:rPr>
          <w:rFonts w:ascii="Calibri" w:cs="Calibri" w:eastAsia="Calibri" w:hAnsi="Calibri"/>
          <w:rtl w:val="0"/>
        </w:rPr>
        <w:t xml:space="preserve">Automation of rule creation through Excel sheets</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Version: 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Date: </w:t>
      </w:r>
      <w:r w:rsidDel="00000000" w:rsidR="00000000" w:rsidRPr="00000000">
        <w:rPr>
          <w:rtl w:val="0"/>
        </w:rPr>
        <w:t xml:space="preserve">6</w:t>
      </w:r>
      <w:r w:rsidDel="00000000" w:rsidR="00000000" w:rsidRPr="00000000">
        <w:rPr>
          <w:rFonts w:ascii="Calibri" w:cs="Calibri" w:eastAsia="Calibri" w:hAnsi="Calibri"/>
          <w:rtl w:val="0"/>
        </w:rPr>
        <w:t xml:space="preserve">th </w:t>
      </w:r>
      <w:r w:rsidDel="00000000" w:rsidR="00000000" w:rsidRPr="00000000">
        <w:rPr>
          <w:rtl w:val="0"/>
        </w:rPr>
        <w:t xml:space="preserve">April</w:t>
      </w:r>
      <w:r w:rsidDel="00000000" w:rsidR="00000000" w:rsidRPr="00000000">
        <w:rPr>
          <w:rFonts w:ascii="Calibri" w:cs="Calibri" w:eastAsia="Calibri" w:hAnsi="Calibri"/>
          <w:rtl w:val="0"/>
        </w:rPr>
        <w:t xml:space="preserve"> 2020</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Written by: Security Department</w:t>
      </w:r>
    </w:p>
    <w:p w:rsidR="00000000" w:rsidDel="00000000" w:rsidP="00000000" w:rsidRDefault="00000000" w:rsidRPr="00000000" w14:paraId="00000005">
      <w:pPr>
        <w:jc w:val="both"/>
        <w:rPr/>
      </w:pPr>
      <w:r w:rsidDel="00000000" w:rsidR="00000000" w:rsidRPr="00000000">
        <w:rPr>
          <w:rtl w:val="0"/>
        </w:rPr>
        <w:t xml:space="preserve">CON-460</w:t>
      </w:r>
    </w:p>
    <w:p w:rsidR="00000000" w:rsidDel="00000000" w:rsidP="00000000" w:rsidRDefault="00000000" w:rsidRPr="00000000" w14:paraId="00000006">
      <w:pPr>
        <w:jc w:val="both"/>
        <w:rPr/>
      </w:pPr>
      <w:r w:rsidDel="00000000" w:rsidR="00000000" w:rsidRPr="00000000">
        <w:rPr>
          <w:rtl w:val="0"/>
        </w:rPr>
        <w:t xml:space="preserve">CON-456</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t xml:space="preserve">CON-459</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both"/>
        <w:rPr>
          <w:rFonts w:ascii="Calibri" w:cs="Calibri" w:eastAsia="Calibri" w:hAnsi="Calibri"/>
        </w:rPr>
      </w:pPr>
      <w:bookmarkStart w:colFirst="0" w:colLast="0" w:name="_j0xlm62g86fc" w:id="1"/>
      <w:bookmarkEnd w:id="1"/>
      <w:r w:rsidDel="00000000" w:rsidR="00000000" w:rsidRPr="00000000">
        <w:rPr>
          <w:rFonts w:ascii="Calibri" w:cs="Calibri" w:eastAsia="Calibri" w:hAnsi="Calibri"/>
          <w:rtl w:val="0"/>
        </w:rPr>
        <w:t xml:space="preserve">Rationale</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This document covers an analysis for creating an Excel document which will partially replace the IriusRisk rule editor, providing an easier way to create Drools files. This is because HSBC is looking for a way to automate rules creation with Excel without using the IriusRisk rule editor GUI.</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jc w:val="both"/>
        <w:rPr>
          <w:rFonts w:ascii="Calibri" w:cs="Calibri" w:eastAsia="Calibri" w:hAnsi="Calibri"/>
        </w:rPr>
      </w:pPr>
      <w:bookmarkStart w:colFirst="0" w:colLast="0" w:name="_mgbfs9pqqwu1" w:id="2"/>
      <w:bookmarkEnd w:id="2"/>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The Excel sheet must have the </w:t>
      </w:r>
      <w:r w:rsidDel="00000000" w:rsidR="00000000" w:rsidRPr="00000000">
        <w:rPr>
          <w:rtl w:val="0"/>
        </w:rPr>
        <w:t xml:space="preserve">ability</w:t>
      </w:r>
      <w:r w:rsidDel="00000000" w:rsidR="00000000" w:rsidRPr="00000000">
        <w:rPr>
          <w:rFonts w:ascii="Calibri" w:cs="Calibri" w:eastAsia="Calibri" w:hAnsi="Calibri"/>
          <w:rtl w:val="0"/>
        </w:rPr>
        <w:t xml:space="preserve"> to define the following attributes</w:t>
      </w:r>
    </w:p>
    <w:p w:rsidR="00000000" w:rsidDel="00000000" w:rsidP="00000000" w:rsidRDefault="00000000" w:rsidRPr="00000000" w14:paraId="0000000D">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Conditions</w:t>
      </w:r>
    </w:p>
    <w:p w:rsidR="00000000" w:rsidDel="00000000" w:rsidP="00000000" w:rsidRDefault="00000000" w:rsidRPr="00000000" w14:paraId="0000000E">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Component Definition</w:t>
      </w:r>
    </w:p>
    <w:p w:rsidR="00000000" w:rsidDel="00000000" w:rsidP="00000000" w:rsidRDefault="00000000" w:rsidRPr="00000000" w14:paraId="0000000F">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Question is answered</w:t>
      </w:r>
    </w:p>
    <w:p w:rsidR="00000000" w:rsidDel="00000000" w:rsidP="00000000" w:rsidRDefault="00000000" w:rsidRPr="00000000" w14:paraId="00000010">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Question Group exists</w:t>
      </w:r>
    </w:p>
    <w:p w:rsidR="00000000" w:rsidDel="00000000" w:rsidP="00000000" w:rsidRDefault="00000000" w:rsidRPr="00000000" w14:paraId="0000001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12">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Insert question group</w:t>
      </w:r>
    </w:p>
    <w:p w:rsidR="00000000" w:rsidDel="00000000" w:rsidP="00000000" w:rsidRDefault="00000000" w:rsidRPr="00000000" w14:paraId="00000013">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Insert question</w:t>
      </w:r>
    </w:p>
    <w:p w:rsidR="00000000" w:rsidDel="00000000" w:rsidP="00000000" w:rsidRDefault="00000000" w:rsidRPr="00000000" w14:paraId="00000014">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Import risk pattern</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t xml:space="preserve">These</w:t>
      </w:r>
      <w:r w:rsidDel="00000000" w:rsidR="00000000" w:rsidRPr="00000000">
        <w:rPr>
          <w:rFonts w:ascii="Calibri" w:cs="Calibri" w:eastAsia="Calibri" w:hAnsi="Calibri"/>
          <w:rtl w:val="0"/>
        </w:rPr>
        <w:t xml:space="preserve"> attributes </w:t>
      </w:r>
      <w:r w:rsidDel="00000000" w:rsidR="00000000" w:rsidRPr="00000000">
        <w:rPr>
          <w:rtl w:val="0"/>
        </w:rPr>
        <w:t xml:space="preserve">should</w:t>
      </w:r>
      <w:r w:rsidDel="00000000" w:rsidR="00000000" w:rsidRPr="00000000">
        <w:rPr>
          <w:rFonts w:ascii="Calibri" w:cs="Calibri" w:eastAsia="Calibri" w:hAnsi="Calibri"/>
          <w:rtl w:val="0"/>
        </w:rPr>
        <w:t xml:space="preserve"> be selectable from </w:t>
      </w:r>
      <w:r w:rsidDel="00000000" w:rsidR="00000000" w:rsidRPr="00000000">
        <w:rPr>
          <w:rFonts w:ascii="Calibri" w:cs="Calibri" w:eastAsia="Calibri" w:hAnsi="Calibri"/>
          <w:i w:val="1"/>
          <w:rtl w:val="0"/>
        </w:rPr>
        <w:t xml:space="preserve">combobox </w:t>
      </w:r>
      <w:r w:rsidDel="00000000" w:rsidR="00000000" w:rsidRPr="00000000">
        <w:rPr>
          <w:rFonts w:ascii="Calibri" w:cs="Calibri" w:eastAsia="Calibri" w:hAnsi="Calibri"/>
          <w:rtl w:val="0"/>
        </w:rPr>
        <w:t xml:space="preserve">components to provide consistency for</w:t>
      </w:r>
      <w:r w:rsidDel="00000000" w:rsidR="00000000" w:rsidRPr="00000000">
        <w:rPr>
          <w:rtl w:val="0"/>
        </w:rPr>
        <w:t xml:space="preserve"> the user</w:t>
      </w:r>
      <w:r w:rsidDel="00000000" w:rsidR="00000000" w:rsidRPr="00000000">
        <w:rPr>
          <w:rFonts w:ascii="Calibri" w:cs="Calibri" w:eastAsia="Calibri" w:hAnsi="Calibri"/>
          <w:rtl w:val="0"/>
        </w:rPr>
        <w:t xml:space="preserve">. After the sheet has been completed, a Python script will do the conversion to an IriusRisk XML rule library.</w:t>
      </w:r>
    </w:p>
    <w:p w:rsidR="00000000" w:rsidDel="00000000" w:rsidP="00000000" w:rsidRDefault="00000000" w:rsidRPr="00000000" w14:paraId="00000017">
      <w:pPr>
        <w:jc w:val="both"/>
        <w:rPr/>
      </w:pPr>
      <w:r w:rsidDel="00000000" w:rsidR="00000000" w:rsidRPr="00000000">
        <w:rPr>
          <w:rtl w:val="0"/>
        </w:rPr>
        <w:t xml:space="preserve">The conditions and actions listed above were specifically selected so that HSBC can easily perform the most common customisations:</w:t>
      </w:r>
    </w:p>
    <w:p w:rsidR="00000000" w:rsidDel="00000000" w:rsidP="00000000" w:rsidRDefault="00000000" w:rsidRPr="00000000" w14:paraId="00000018">
      <w:pPr>
        <w:numPr>
          <w:ilvl w:val="0"/>
          <w:numId w:val="9"/>
        </w:numPr>
        <w:ind w:left="720" w:hanging="360"/>
        <w:jc w:val="both"/>
        <w:rPr>
          <w:u w:val="none"/>
        </w:rPr>
      </w:pPr>
      <w:r w:rsidDel="00000000" w:rsidR="00000000" w:rsidRPr="00000000">
        <w:rPr>
          <w:rtl w:val="0"/>
        </w:rPr>
        <w:t xml:space="preserve">Check if the component is a specific one</w:t>
      </w:r>
    </w:p>
    <w:p w:rsidR="00000000" w:rsidDel="00000000" w:rsidP="00000000" w:rsidRDefault="00000000" w:rsidRPr="00000000" w14:paraId="00000019">
      <w:pPr>
        <w:numPr>
          <w:ilvl w:val="0"/>
          <w:numId w:val="9"/>
        </w:numPr>
        <w:ind w:left="720" w:hanging="360"/>
        <w:jc w:val="both"/>
        <w:rPr>
          <w:u w:val="none"/>
        </w:rPr>
      </w:pPr>
      <w:r w:rsidDel="00000000" w:rsidR="00000000" w:rsidRPr="00000000">
        <w:rPr>
          <w:rtl w:val="0"/>
        </w:rPr>
        <w:t xml:space="preserve">Add a new Question group to the questionnaire</w:t>
      </w:r>
    </w:p>
    <w:p w:rsidR="00000000" w:rsidDel="00000000" w:rsidP="00000000" w:rsidRDefault="00000000" w:rsidRPr="00000000" w14:paraId="0000001A">
      <w:pPr>
        <w:numPr>
          <w:ilvl w:val="0"/>
          <w:numId w:val="9"/>
        </w:numPr>
        <w:ind w:left="720" w:hanging="360"/>
        <w:jc w:val="both"/>
        <w:rPr>
          <w:u w:val="none"/>
        </w:rPr>
      </w:pPr>
      <w:r w:rsidDel="00000000" w:rsidR="00000000" w:rsidRPr="00000000">
        <w:rPr>
          <w:rtl w:val="0"/>
        </w:rPr>
        <w:t xml:space="preserve">Add new questions to the questionnaire</w:t>
      </w:r>
    </w:p>
    <w:p w:rsidR="00000000" w:rsidDel="00000000" w:rsidP="00000000" w:rsidRDefault="00000000" w:rsidRPr="00000000" w14:paraId="0000001B">
      <w:pPr>
        <w:numPr>
          <w:ilvl w:val="0"/>
          <w:numId w:val="9"/>
        </w:numPr>
        <w:ind w:left="720" w:hanging="360"/>
        <w:jc w:val="both"/>
        <w:rPr>
          <w:u w:val="none"/>
        </w:rPr>
      </w:pPr>
      <w:r w:rsidDel="00000000" w:rsidR="00000000" w:rsidRPr="00000000">
        <w:rPr>
          <w:rtl w:val="0"/>
        </w:rPr>
        <w:t xml:space="preserve">Cause a Risk Pattern to be imported based on a question answered in the questionnaire.</w:t>
      </w:r>
    </w:p>
    <w:p w:rsidR="00000000" w:rsidDel="00000000" w:rsidP="00000000" w:rsidRDefault="00000000" w:rsidRPr="00000000" w14:paraId="0000001C">
      <w:pPr>
        <w:ind w:left="0" w:firstLine="0"/>
        <w:jc w:val="both"/>
        <w:rPr/>
      </w:pPr>
      <w:r w:rsidDel="00000000" w:rsidR="00000000" w:rsidRPr="00000000">
        <w:rPr>
          <w:rtl w:val="0"/>
        </w:rPr>
        <w:t xml:space="preserve">The initial release of the excel will include only these conditions and will only allow use of the “component” module, not the dataflow module.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8qtl90ezmzhh" w:id="3"/>
      <w:bookmarkEnd w:id="3"/>
      <w:r w:rsidDel="00000000" w:rsidR="00000000" w:rsidRPr="00000000">
        <w:rPr>
          <w:rtl w:val="0"/>
        </w:rPr>
        <w:t xml:space="preserve">Sheet model</w:t>
      </w:r>
    </w:p>
    <w:p w:rsidR="00000000" w:rsidDel="00000000" w:rsidP="00000000" w:rsidRDefault="00000000" w:rsidRPr="00000000" w14:paraId="00000023">
      <w:pPr>
        <w:rPr/>
      </w:pPr>
      <w:r w:rsidDel="00000000" w:rsidR="00000000" w:rsidRPr="00000000">
        <w:rPr>
          <w:rtl w:val="0"/>
        </w:rPr>
        <w:t xml:space="preserve">We present an option to construct the Excel file based on three sheets.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Example:</w:t>
      </w:r>
    </w:p>
    <w:p w:rsidR="00000000" w:rsidDel="00000000" w:rsidP="00000000" w:rsidRDefault="00000000" w:rsidRPr="00000000" w14:paraId="00000026">
      <w:pPr>
        <w:rPr/>
      </w:pPr>
      <w:r w:rsidDel="00000000" w:rsidR="00000000" w:rsidRPr="00000000">
        <w:rPr>
          <w:rtl w:val="0"/>
        </w:rPr>
        <w:t xml:space="preserve">I want to create a new QuestionGroup:</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Goto Rules sheet, create new rule, select module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Goto Conditions sheet, select rule, select condition, provide condition options.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Goto Actions sheet, select rule, select action provide action options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b w:val="1"/>
          <w:u w:val="none"/>
        </w:rPr>
      </w:pPr>
      <w:r w:rsidDel="00000000" w:rsidR="00000000" w:rsidRPr="00000000">
        <w:rPr>
          <w:b w:val="1"/>
          <w:rtl w:val="0"/>
        </w:rPr>
        <w:t xml:space="preserve">Sheet 1: Rules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type (selectable)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question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Ask question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Import risk pattern depending on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b w:val="1"/>
          <w:u w:val="none"/>
        </w:rPr>
      </w:pPr>
      <w:r w:rsidDel="00000000" w:rsidR="00000000" w:rsidRPr="00000000">
        <w:rPr>
          <w:b w:val="1"/>
          <w:rtl w:val="0"/>
        </w:rPr>
        <w:t xml:space="preserve">Sheet 2: Conditions</w:t>
      </w: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2.078431372549"/>
        <w:gridCol w:w="1475.4901960784312"/>
        <w:gridCol w:w="1640.7450980392155"/>
        <w:gridCol w:w="1935.843137254902"/>
        <w:gridCol w:w="1935.843137254902"/>
        <w:tblGridChange w:id="0">
          <w:tblGrid>
            <w:gridCol w:w="2042.078431372549"/>
            <w:gridCol w:w="1475.4901960784312"/>
            <w:gridCol w:w="1640.7450980392155"/>
            <w:gridCol w:w="1935.843137254902"/>
            <w:gridCol w:w="1935.843137254902"/>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name (selectable)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 (selectable)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&lt;Question is answered Condition Value&gt;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&lt;Question Group exists Condition Value&gt;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&lt;Component Definition Condition value&gt;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Ask question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Question Group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QuestionGroupID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Import risk pattern depending on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Question Group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QuestionGroupID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Import risk pattern depending on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Question is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Import risk pattern depending on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Component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ComponentID</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Rule name is selectable from the Sheet 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u w:val="none"/>
        </w:rPr>
      </w:pPr>
      <w:r w:rsidDel="00000000" w:rsidR="00000000" w:rsidRPr="00000000">
        <w:rPr>
          <w:b w:val="1"/>
          <w:rtl w:val="0"/>
        </w:rPr>
        <w:t xml:space="preserve">Sheet 3: Actions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1"/>
          <w:numId w:val="7"/>
        </w:numPr>
        <w:ind w:left="1440" w:hanging="360"/>
        <w:rPr>
          <w:b w:val="1"/>
        </w:rPr>
      </w:pPr>
      <w:r w:rsidDel="00000000" w:rsidR="00000000" w:rsidRPr="00000000">
        <w:rPr>
          <w:b w:val="1"/>
          <w:rtl w:val="0"/>
        </w:rPr>
        <w:t xml:space="preserve">Sheet where actions options have one column per attribute and they are grouped under its action definition: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this case the number of columns can vary depending on the selected action.</w:t>
      </w:r>
    </w:p>
    <w:p w:rsidR="00000000" w:rsidDel="00000000" w:rsidP="00000000" w:rsidRDefault="00000000" w:rsidRPr="00000000" w14:paraId="00000059">
      <w:pPr>
        <w:rPr/>
      </w:pPr>
      <w:r w:rsidDel="00000000" w:rsidR="00000000" w:rsidRPr="00000000">
        <w:rPr>
          <w:rtl w:val="0"/>
        </w:rPr>
      </w:r>
    </w:p>
    <w:tbl>
      <w:tblPr>
        <w:tblStyle w:val="Table3"/>
        <w:tblW w:w="10696.25"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6.25"/>
        <w:gridCol w:w="1215"/>
        <w:gridCol w:w="1065"/>
        <w:gridCol w:w="1080"/>
        <w:gridCol w:w="1365"/>
        <w:gridCol w:w="1005"/>
        <w:gridCol w:w="1230"/>
        <w:gridCol w:w="840"/>
        <w:gridCol w:w="1230"/>
        <w:tblGridChange w:id="0">
          <w:tblGrid>
            <w:gridCol w:w="1666.25"/>
            <w:gridCol w:w="1215"/>
            <w:gridCol w:w="1065"/>
            <w:gridCol w:w="1080"/>
            <w:gridCol w:w="1365"/>
            <w:gridCol w:w="1005"/>
            <w:gridCol w:w="1230"/>
            <w:gridCol w:w="840"/>
            <w:gridCol w:w="1230"/>
          </w:tblGrid>
        </w:tblGridChange>
      </w:tblGrid>
      <w:tr>
        <w:trPr>
          <w:trHeight w:val="4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Question Options</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Question Group Options*</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Risk Pattern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QuestionOption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QuestionGroupID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RiskPatternID**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Create a question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Insert Question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QuestionGroupID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Ask question about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Insert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“Description of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Import risk pattern depending on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Risk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LibraryID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RiskPatternID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Rule name is selectable from the Sheet 1.</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*Insert Question Group Options has more attributes, this is just an example.</w:t>
      </w:r>
    </w:p>
    <w:p w:rsidR="00000000" w:rsidDel="00000000" w:rsidP="00000000" w:rsidRDefault="00000000" w:rsidRPr="00000000" w14:paraId="00000094">
      <w:pPr>
        <w:ind w:left="0" w:firstLine="0"/>
        <w:rPr/>
      </w:pPr>
      <w:r w:rsidDel="00000000" w:rsidR="00000000" w:rsidRPr="00000000">
        <w:rPr>
          <w:rtl w:val="0"/>
        </w:rPr>
        <w:t xml:space="preserve">**This attributes should be selectable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gx7l9ub6hphq" w:id="4"/>
      <w:bookmarkEnd w:id="4"/>
      <w:r w:rsidDel="00000000" w:rsidR="00000000" w:rsidRPr="00000000">
        <w:rPr>
          <w:rtl w:val="0"/>
        </w:rPr>
        <w:t xml:space="preserve">Selectable attributes</w:t>
      </w:r>
    </w:p>
    <w:p w:rsidR="00000000" w:rsidDel="00000000" w:rsidP="00000000" w:rsidRDefault="00000000" w:rsidRPr="00000000" w14:paraId="00000098">
      <w:pPr>
        <w:rPr/>
      </w:pPr>
      <w:r w:rsidDel="00000000" w:rsidR="00000000" w:rsidRPr="00000000">
        <w:rPr>
          <w:rtl w:val="0"/>
        </w:rPr>
        <w:t xml:space="preserve">Attributes that are selectable are defined in the Lists sheet and the Risk Patterns sheet.</w:t>
      </w:r>
    </w:p>
    <w:p w:rsidR="00000000" w:rsidDel="00000000" w:rsidP="00000000" w:rsidRDefault="00000000" w:rsidRPr="00000000" w14:paraId="00000099">
      <w:pPr>
        <w:pStyle w:val="Heading1"/>
        <w:rPr/>
      </w:pPr>
      <w:bookmarkStart w:colFirst="0" w:colLast="0" w:name="_2lsq0qn1414v" w:id="5"/>
      <w:bookmarkEnd w:id="5"/>
      <w:r w:rsidDel="00000000" w:rsidR="00000000" w:rsidRPr="00000000">
        <w:rPr>
          <w:rtl w:val="0"/>
        </w:rPr>
        <w:t xml:space="preserve">Practical Example: Defining rules in Excel</w:t>
      </w:r>
    </w:p>
    <w:p w:rsidR="00000000" w:rsidDel="00000000" w:rsidP="00000000" w:rsidRDefault="00000000" w:rsidRPr="00000000" w14:paraId="0000009A">
      <w:pPr>
        <w:rPr/>
      </w:pPr>
      <w:r w:rsidDel="00000000" w:rsidR="00000000" w:rsidRPr="00000000">
        <w:rPr>
          <w:rtl w:val="0"/>
        </w:rPr>
        <w:t xml:space="preserve">In the following section we’ll illustrate some examples about the different IriusRisk conditions and actions modeled (for the component module) using a first version of the Excel file to build IriusRisk rules.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First we need to specify the Library Name, Ref and Description for the library that will be created as a result of the conversion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4050" cy="2311400"/>
            <wp:effectExtent b="0" l="0" r="0" t="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Secondly, for each rule we need to set the “Rule Name” and the “module type” as “component” in “Rules” worksheet (we currently only support </w:t>
      </w:r>
      <w:r w:rsidDel="00000000" w:rsidR="00000000" w:rsidRPr="00000000">
        <w:rPr>
          <w:i w:val="1"/>
          <w:rtl w:val="0"/>
        </w:rPr>
        <w:t xml:space="preserve">component</w:t>
      </w:r>
      <w:r w:rsidDel="00000000" w:rsidR="00000000" w:rsidRPr="00000000">
        <w:rPr>
          <w:rtl w:val="0"/>
        </w:rPr>
        <w:t xml:space="preserve"> Rule module types):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4050" cy="25400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rPr/>
      </w:pPr>
      <w:bookmarkStart w:colFirst="0" w:colLast="0" w:name="_xq3cuanq01mt" w:id="6"/>
      <w:bookmarkEnd w:id="6"/>
      <w:r w:rsidDel="00000000" w:rsidR="00000000" w:rsidRPr="00000000">
        <w:rPr>
          <w:rtl w:val="0"/>
        </w:rPr>
        <w:t xml:space="preserve">Conditions</w:t>
      </w:r>
    </w:p>
    <w:p w:rsidR="00000000" w:rsidDel="00000000" w:rsidP="00000000" w:rsidRDefault="00000000" w:rsidRPr="00000000" w14:paraId="000000A4">
      <w:pPr>
        <w:pStyle w:val="Heading3"/>
        <w:numPr>
          <w:ilvl w:val="0"/>
          <w:numId w:val="8"/>
        </w:numPr>
        <w:ind w:left="720" w:hanging="360"/>
        <w:rPr>
          <w:u w:val="none"/>
        </w:rPr>
      </w:pPr>
      <w:bookmarkStart w:colFirst="0" w:colLast="0" w:name="_86j3a2i3l8ie" w:id="7"/>
      <w:bookmarkEnd w:id="7"/>
      <w:r w:rsidDel="00000000" w:rsidR="00000000" w:rsidRPr="00000000">
        <w:rPr>
          <w:rtl w:val="0"/>
        </w:rPr>
        <w:t xml:space="preserve">Component Definition</w:t>
      </w:r>
    </w:p>
    <w:p w:rsidR="00000000" w:rsidDel="00000000" w:rsidP="00000000" w:rsidRDefault="00000000" w:rsidRPr="00000000" w14:paraId="000000A5">
      <w:pPr>
        <w:rPr/>
      </w:pPr>
      <w:r w:rsidDel="00000000" w:rsidR="00000000" w:rsidRPr="00000000">
        <w:rPr>
          <w:rtl w:val="0"/>
        </w:rPr>
        <w:t xml:space="preserve">“Component definition” condition is illustrated with the following example in IriusRisk Rules Editor: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4050" cy="3238500"/>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equivalent condition modeled in the Excel view (“Conditions” worksheet) would be: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4050" cy="1270000"/>
            <wp:effectExtent b="0" l="0" r="0" t="0"/>
            <wp:docPr id="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numPr>
          <w:ilvl w:val="0"/>
          <w:numId w:val="8"/>
        </w:numPr>
        <w:ind w:left="720" w:hanging="360"/>
        <w:rPr>
          <w:u w:val="none"/>
        </w:rPr>
      </w:pPr>
      <w:bookmarkStart w:colFirst="0" w:colLast="0" w:name="_enzyo6h4dvhm" w:id="8"/>
      <w:bookmarkEnd w:id="8"/>
      <w:r w:rsidDel="00000000" w:rsidR="00000000" w:rsidRPr="00000000">
        <w:rPr>
          <w:rtl w:val="0"/>
        </w:rPr>
        <w:t xml:space="preserve">Question is answered</w:t>
      </w:r>
    </w:p>
    <w:p w:rsidR="00000000" w:rsidDel="00000000" w:rsidP="00000000" w:rsidRDefault="00000000" w:rsidRPr="00000000" w14:paraId="000000AF">
      <w:pPr>
        <w:rPr/>
      </w:pPr>
      <w:r w:rsidDel="00000000" w:rsidR="00000000" w:rsidRPr="00000000">
        <w:rPr>
          <w:rtl w:val="0"/>
        </w:rPr>
        <w:t xml:space="preserve">“Question is answered” condition is illustrated with the following example in IriusRisk Rules Editor: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4050" cy="33274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equivalent condition modeled in the Excel view (“Conditions” worksheet) would be: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734050" cy="1181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3"/>
        <w:numPr>
          <w:ilvl w:val="0"/>
          <w:numId w:val="8"/>
        </w:numPr>
        <w:ind w:left="720" w:hanging="360"/>
        <w:rPr>
          <w:u w:val="none"/>
        </w:rPr>
      </w:pPr>
      <w:bookmarkStart w:colFirst="0" w:colLast="0" w:name="_enzyo6h4dvhm" w:id="8"/>
      <w:bookmarkEnd w:id="8"/>
      <w:r w:rsidDel="00000000" w:rsidR="00000000" w:rsidRPr="00000000">
        <w:rPr>
          <w:rtl w:val="0"/>
        </w:rPr>
        <w:t xml:space="preserve">Question Group exists</w:t>
      </w:r>
    </w:p>
    <w:p w:rsidR="00000000" w:rsidDel="00000000" w:rsidP="00000000" w:rsidRDefault="00000000" w:rsidRPr="00000000" w14:paraId="000000B7">
      <w:pPr>
        <w:rPr/>
      </w:pPr>
      <w:r w:rsidDel="00000000" w:rsidR="00000000" w:rsidRPr="00000000">
        <w:rPr>
          <w:rtl w:val="0"/>
        </w:rPr>
        <w:t xml:space="preserve">“Question group exists” condition is illustrated with the following example in IriusRisk Rules Editor: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4050" cy="27813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equivalent condition modeled in the Excel view (“Conditions” worksheet) would be: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34050" cy="118110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rPr/>
      </w:pPr>
      <w:bookmarkStart w:colFirst="0" w:colLast="0" w:name="_mm8newei2a6a" w:id="9"/>
      <w:bookmarkEnd w:id="9"/>
      <w:r w:rsidDel="00000000" w:rsidR="00000000" w:rsidRPr="00000000">
        <w:rPr>
          <w:rtl w:val="0"/>
        </w:rPr>
        <w:t xml:space="preserve">Actions</w:t>
      </w:r>
    </w:p>
    <w:p w:rsidR="00000000" w:rsidDel="00000000" w:rsidP="00000000" w:rsidRDefault="00000000" w:rsidRPr="00000000" w14:paraId="000000BF">
      <w:pPr>
        <w:pStyle w:val="Heading3"/>
        <w:numPr>
          <w:ilvl w:val="0"/>
          <w:numId w:val="3"/>
        </w:numPr>
        <w:ind w:left="720" w:hanging="360"/>
        <w:rPr>
          <w:u w:val="none"/>
        </w:rPr>
      </w:pPr>
      <w:bookmarkStart w:colFirst="0" w:colLast="0" w:name="_mjsfa15oqle0" w:id="10"/>
      <w:bookmarkEnd w:id="10"/>
      <w:r w:rsidDel="00000000" w:rsidR="00000000" w:rsidRPr="00000000">
        <w:rPr>
          <w:rtl w:val="0"/>
        </w:rPr>
        <w:t xml:space="preserve">Insert question group</w:t>
      </w:r>
    </w:p>
    <w:p w:rsidR="00000000" w:rsidDel="00000000" w:rsidP="00000000" w:rsidRDefault="00000000" w:rsidRPr="00000000" w14:paraId="000000C0">
      <w:pPr>
        <w:rPr/>
      </w:pPr>
      <w:r w:rsidDel="00000000" w:rsidR="00000000" w:rsidRPr="00000000">
        <w:rPr>
          <w:rtl w:val="0"/>
        </w:rPr>
        <w:t xml:space="preserve">“Insert question group” action is illustrated with the following example in IriusRisk Rules Editor: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34050" cy="311150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equivalent action modeled in the Excel view (“Actions” worksheet) would be: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4050" cy="9779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0"/>
          <w:numId w:val="3"/>
        </w:numPr>
        <w:ind w:left="720" w:hanging="360"/>
        <w:rPr>
          <w:u w:val="none"/>
        </w:rPr>
      </w:pPr>
      <w:bookmarkStart w:colFirst="0" w:colLast="0" w:name="_mjsfa15oqle0" w:id="10"/>
      <w:bookmarkEnd w:id="10"/>
      <w:r w:rsidDel="00000000" w:rsidR="00000000" w:rsidRPr="00000000">
        <w:rPr>
          <w:rtl w:val="0"/>
        </w:rPr>
        <w:t xml:space="preserve">Insert question</w:t>
      </w:r>
    </w:p>
    <w:p w:rsidR="00000000" w:rsidDel="00000000" w:rsidP="00000000" w:rsidRDefault="00000000" w:rsidRPr="00000000" w14:paraId="000000C9">
      <w:pPr>
        <w:rPr/>
      </w:pPr>
      <w:r w:rsidDel="00000000" w:rsidR="00000000" w:rsidRPr="00000000">
        <w:rPr>
          <w:rtl w:val="0"/>
        </w:rPr>
        <w:t xml:space="preserve">“Insert question” action is illustrated with the following example in IriusRisk Rules Editor: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734050" cy="26797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equivalent action modeled in the Excel view (“Actions” worksheet) would be: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734050" cy="14097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NOTE: Questions can only be inserted if a question group is selected in the condition</w:t>
      </w:r>
    </w:p>
    <w:p w:rsidR="00000000" w:rsidDel="00000000" w:rsidP="00000000" w:rsidRDefault="00000000" w:rsidRPr="00000000" w14:paraId="000000D2">
      <w:pPr>
        <w:pStyle w:val="Heading3"/>
        <w:numPr>
          <w:ilvl w:val="0"/>
          <w:numId w:val="3"/>
        </w:numPr>
        <w:ind w:left="720" w:hanging="360"/>
        <w:rPr>
          <w:u w:val="none"/>
        </w:rPr>
      </w:pPr>
      <w:bookmarkStart w:colFirst="0" w:colLast="0" w:name="_mjsfa15oqle0" w:id="10"/>
      <w:bookmarkEnd w:id="10"/>
      <w:r w:rsidDel="00000000" w:rsidR="00000000" w:rsidRPr="00000000">
        <w:rPr>
          <w:rtl w:val="0"/>
        </w:rPr>
        <w:t xml:space="preserve">Import risk pattern</w:t>
      </w:r>
    </w:p>
    <w:p w:rsidR="00000000" w:rsidDel="00000000" w:rsidP="00000000" w:rsidRDefault="00000000" w:rsidRPr="00000000" w14:paraId="000000D3">
      <w:pPr>
        <w:rPr/>
      </w:pPr>
      <w:r w:rsidDel="00000000" w:rsidR="00000000" w:rsidRPr="00000000">
        <w:rPr>
          <w:rtl w:val="0"/>
        </w:rPr>
        <w:t xml:space="preserve">“Import risk pattern” action is illustrated with the following example in IriusRisk Rules Editor: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734050" cy="33782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equivalent action modeled in the Excel view (“Actions” worksheet) would involve first selecting the library (“LibraryID”) for the risk pattern we want to import: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734050" cy="1422400"/>
            <wp:effectExtent b="0" l="0" r="0" t="0"/>
            <wp:docPr id="1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And then select the Risk Pattern (“RiskPatternID”):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4050" cy="144780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ebasl11hglwi" w:id="11"/>
      <w:bookmarkEnd w:id="11"/>
      <w:r w:rsidDel="00000000" w:rsidR="00000000" w:rsidRPr="00000000">
        <w:rPr>
          <w:rtl w:val="0"/>
        </w:rPr>
        <w:t xml:space="preserve">Practical Example: Run the conversion script</w:t>
      </w:r>
    </w:p>
    <w:p w:rsidR="00000000" w:rsidDel="00000000" w:rsidP="00000000" w:rsidRDefault="00000000" w:rsidRPr="00000000" w14:paraId="000000DF">
      <w:pPr>
        <w:rPr/>
      </w:pPr>
      <w:r w:rsidDel="00000000" w:rsidR="00000000" w:rsidRPr="00000000">
        <w:rPr>
          <w:rtl w:val="0"/>
        </w:rPr>
        <w:t xml:space="preserve">Once we’ve defined the rules in the Excel file to build IriusRisk rules we can use IriusRiskToolKitUI to generate those rules in an XML format inside an IriusRisk library.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IriusRiskToolKitUI is a Python GUI client for working with several common tasks regarding security content management in IriusRisk platform.</w:t>
      </w:r>
    </w:p>
    <w:p w:rsidR="00000000" w:rsidDel="00000000" w:rsidP="00000000" w:rsidRDefault="00000000" w:rsidRPr="00000000" w14:paraId="000000E2">
      <w:pPr>
        <w:pStyle w:val="Heading2"/>
        <w:rPr/>
      </w:pPr>
      <w:bookmarkStart w:colFirst="0" w:colLast="0" w:name="_bf0cdzxsedkt" w:id="12"/>
      <w:bookmarkEnd w:id="12"/>
      <w:r w:rsidDel="00000000" w:rsidR="00000000" w:rsidRPr="00000000">
        <w:rPr>
          <w:rtl w:val="0"/>
        </w:rPr>
        <w:t xml:space="preserve">IriusRiskToolKitUI Installation</w:t>
      </w:r>
    </w:p>
    <w:p w:rsidR="00000000" w:rsidDel="00000000" w:rsidP="00000000" w:rsidRDefault="00000000" w:rsidRPr="00000000" w14:paraId="000000E3">
      <w:pPr>
        <w:rPr/>
      </w:pPr>
      <w:r w:rsidDel="00000000" w:rsidR="00000000" w:rsidRPr="00000000">
        <w:rPr>
          <w:rtl w:val="0"/>
        </w:rPr>
        <w:t xml:space="preserve">IriusRiskToolKitUI is tested in Python version 3.7.3. Python should have the dependencies for tcl/tk. You can test this requirement with the following command:</w:t>
      </w:r>
    </w:p>
    <w:p w:rsidR="00000000" w:rsidDel="00000000" w:rsidP="00000000" w:rsidRDefault="00000000" w:rsidRPr="00000000" w14:paraId="000000E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-m tkinter</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Use the package manager pip to install the needed dependencies for IriusRiskToolKitUI to run.</w:t>
      </w:r>
    </w:p>
    <w:p w:rsidR="00000000" w:rsidDel="00000000" w:rsidP="00000000" w:rsidRDefault="00000000" w:rsidRPr="00000000" w14:paraId="000000E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lxml</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xlrd</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openpyxl</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textile</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pyyaml</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requests-toolbelt</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PySimpleGUI</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dnk0inr6asbb" w:id="13"/>
      <w:bookmarkEnd w:id="13"/>
      <w:r w:rsidDel="00000000" w:rsidR="00000000" w:rsidRPr="00000000">
        <w:rPr>
          <w:rtl w:val="0"/>
        </w:rPr>
        <w:t xml:space="preserve">IriusRiskToolKitUI Usage</w:t>
      </w:r>
    </w:p>
    <w:p w:rsidR="00000000" w:rsidDel="00000000" w:rsidP="00000000" w:rsidRDefault="00000000" w:rsidRPr="00000000" w14:paraId="000000F4">
      <w:pPr>
        <w:rPr/>
      </w:pPr>
      <w:r w:rsidDel="00000000" w:rsidR="00000000" w:rsidRPr="00000000">
        <w:rPr>
          <w:rtl w:val="0"/>
        </w:rPr>
        <w:t xml:space="preserve">To launch the application you should run the following command: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python3 IriusRiskToolKitUI.py</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You’ll see the following interface: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734050" cy="4584700"/>
            <wp:effectExtent b="0" l="0" r="0" t="0"/>
            <wp:docPr id="1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rPr/>
      </w:pPr>
      <w:bookmarkStart w:colFirst="0" w:colLast="0" w:name="_djjt4olei5hw" w:id="14"/>
      <w:bookmarkEnd w:id="14"/>
      <w:r w:rsidDel="00000000" w:rsidR="00000000" w:rsidRPr="00000000">
        <w:rPr>
          <w:rtl w:val="0"/>
        </w:rPr>
        <w:t xml:space="preserve">Convert IriusRisk rules from Excel using IriusRiskToolKitUI</w:t>
      </w:r>
    </w:p>
    <w:p w:rsidR="00000000" w:rsidDel="00000000" w:rsidP="00000000" w:rsidRDefault="00000000" w:rsidRPr="00000000" w14:paraId="000000FD">
      <w:pPr>
        <w:rPr/>
      </w:pPr>
      <w:r w:rsidDel="00000000" w:rsidR="00000000" w:rsidRPr="00000000">
        <w:rPr>
          <w:rtl w:val="0"/>
        </w:rPr>
        <w:t xml:space="preserve">To start the process to convert the IriusRisk Rules Creator Worksheet to a IriusRisk XML library you should click on </w:t>
      </w:r>
      <w:r w:rsidDel="00000000" w:rsidR="00000000" w:rsidRPr="00000000">
        <w:rPr>
          <w:i w:val="1"/>
          <w:rtl w:val="0"/>
        </w:rPr>
        <w:t xml:space="preserve">14. Convert Rules from Excel file to XML file</w:t>
      </w:r>
      <w:r w:rsidDel="00000000" w:rsidR="00000000" w:rsidRPr="00000000">
        <w:rPr>
          <w:rtl w:val="0"/>
        </w:rPr>
        <w:t xml:space="preserve"> button.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734050" cy="4610100"/>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Then you’ll see the following dialog.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734050" cy="1028700"/>
            <wp:effectExtent b="0" l="0" r="0" t="0"/>
            <wp:docPr id="1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You should select the Excel file where the rules are stored and click on the </w:t>
      </w:r>
      <w:r w:rsidDel="00000000" w:rsidR="00000000" w:rsidRPr="00000000">
        <w:rPr>
          <w:i w:val="1"/>
          <w:rtl w:val="0"/>
        </w:rPr>
        <w:t xml:space="preserve">Submit</w:t>
      </w:r>
      <w:r w:rsidDel="00000000" w:rsidR="00000000" w:rsidRPr="00000000">
        <w:rPr>
          <w:rtl w:val="0"/>
        </w:rPr>
        <w:t xml:space="preserve"> button.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734050" cy="1028700"/>
            <wp:effectExtent b="0" l="0" r="0" t="0"/>
            <wp:docPr id="1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At the end of the process we should see the following window: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5734050" cy="4013200"/>
            <wp:effectExtent b="0" l="0" r="0" t="0"/>
            <wp:docPr id="1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created XML Library file should be in the path: </w:t>
      </w:r>
    </w:p>
    <w:p w:rsidR="00000000" w:rsidDel="00000000" w:rsidP="00000000" w:rsidRDefault="00000000" w:rsidRPr="00000000" w14:paraId="0000010E">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iriusrisktoolkitui/outFiles/outputLibs/[Library-Ref].xml</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logFile.log</w:t>
      </w:r>
      <w:r w:rsidDel="00000000" w:rsidR="00000000" w:rsidRPr="00000000">
        <w:rPr>
          <w:rtl w:val="0"/>
        </w:rPr>
        <w:t xml:space="preserve"> file you can see a summary of the process involved: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734050" cy="2882900"/>
            <wp:effectExtent b="0" l="0" r="0" 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19.png"/><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7.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21.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