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31C55" w14:textId="77777777" w:rsidR="00AC26F3" w:rsidRDefault="00AC26F3" w:rsidP="00155715">
      <w:pPr>
        <w:jc w:val="both"/>
        <w:rPr>
          <w:lang w:val="es-ES"/>
        </w:rPr>
      </w:pPr>
    </w:p>
    <w:p w14:paraId="5C029F20" w14:textId="77777777" w:rsidR="00AC26F3" w:rsidRDefault="00AC26F3" w:rsidP="00155715">
      <w:pPr>
        <w:jc w:val="both"/>
        <w:rPr>
          <w:lang w:val="es-ES"/>
        </w:rPr>
      </w:pPr>
    </w:p>
    <w:p w14:paraId="6B9F7BF1" w14:textId="77777777" w:rsidR="00AC26F3" w:rsidRDefault="00AC26F3" w:rsidP="00155715">
      <w:pPr>
        <w:jc w:val="both"/>
        <w:rPr>
          <w:lang w:val="es-ES"/>
        </w:rPr>
      </w:pPr>
    </w:p>
    <w:p w14:paraId="21C2F471" w14:textId="77777777" w:rsidR="00DC03F8" w:rsidRDefault="00DC03F8" w:rsidP="00155715">
      <w:pPr>
        <w:jc w:val="both"/>
        <w:rPr>
          <w:lang w:val="es-ES"/>
        </w:rPr>
      </w:pPr>
    </w:p>
    <w:p w14:paraId="585FCC9E" w14:textId="77777777" w:rsidR="00DC03F8" w:rsidRDefault="00DC03F8" w:rsidP="00155715">
      <w:pPr>
        <w:jc w:val="both"/>
        <w:rPr>
          <w:lang w:val="es-ES"/>
        </w:rPr>
      </w:pPr>
    </w:p>
    <w:p w14:paraId="35D33A57" w14:textId="77777777" w:rsidR="00DC03F8" w:rsidRDefault="00DC03F8" w:rsidP="00155715">
      <w:pPr>
        <w:jc w:val="both"/>
        <w:rPr>
          <w:lang w:val="es-ES"/>
        </w:rPr>
      </w:pPr>
    </w:p>
    <w:p w14:paraId="43BFC0A8" w14:textId="77777777" w:rsidR="00DC03F8" w:rsidRDefault="00DC03F8" w:rsidP="00155715">
      <w:pPr>
        <w:jc w:val="both"/>
        <w:rPr>
          <w:lang w:val="es-ES"/>
        </w:rPr>
      </w:pPr>
    </w:p>
    <w:p w14:paraId="217A904E" w14:textId="77777777" w:rsidR="00DC03F8" w:rsidRDefault="00DC03F8" w:rsidP="00155715">
      <w:pPr>
        <w:jc w:val="both"/>
        <w:rPr>
          <w:lang w:val="es-ES"/>
        </w:rPr>
      </w:pPr>
    </w:p>
    <w:p w14:paraId="47B23F52" w14:textId="77777777" w:rsidR="00DC03F8" w:rsidRDefault="00DC03F8" w:rsidP="00155715">
      <w:pPr>
        <w:jc w:val="both"/>
        <w:rPr>
          <w:lang w:val="es-ES"/>
        </w:rPr>
      </w:pPr>
    </w:p>
    <w:p w14:paraId="1265265F" w14:textId="77777777" w:rsidR="00DC03F8" w:rsidRDefault="00DC03F8" w:rsidP="00155715">
      <w:pPr>
        <w:jc w:val="both"/>
        <w:rPr>
          <w:lang w:val="es-ES"/>
        </w:rPr>
      </w:pPr>
    </w:p>
    <w:p w14:paraId="6CC31B02" w14:textId="77777777" w:rsidR="00DC03F8" w:rsidRDefault="00DC03F8" w:rsidP="00155715">
      <w:pPr>
        <w:jc w:val="both"/>
        <w:rPr>
          <w:lang w:val="es-ES"/>
        </w:rPr>
      </w:pPr>
    </w:p>
    <w:p w14:paraId="7DA5C89E" w14:textId="77777777" w:rsidR="00DC03F8" w:rsidRDefault="00DC03F8" w:rsidP="00155715">
      <w:pPr>
        <w:jc w:val="both"/>
        <w:rPr>
          <w:lang w:val="es-ES"/>
        </w:rPr>
      </w:pPr>
    </w:p>
    <w:p w14:paraId="2D166559" w14:textId="77777777" w:rsidR="00DC03F8" w:rsidRDefault="00DC03F8" w:rsidP="00155715">
      <w:pPr>
        <w:jc w:val="both"/>
        <w:rPr>
          <w:lang w:val="es-ES"/>
        </w:rPr>
      </w:pPr>
    </w:p>
    <w:p w14:paraId="6062CD47" w14:textId="77777777" w:rsidR="00AC26F3" w:rsidRDefault="00AC26F3" w:rsidP="00155715">
      <w:pPr>
        <w:jc w:val="both"/>
        <w:rPr>
          <w:lang w:val="es-ES"/>
        </w:rPr>
      </w:pPr>
    </w:p>
    <w:p w14:paraId="4969F908" w14:textId="77777777" w:rsidR="00AC26F3" w:rsidRDefault="00AC26F3" w:rsidP="00155715">
      <w:pPr>
        <w:jc w:val="both"/>
        <w:rPr>
          <w:lang w:val="es-ES"/>
        </w:rPr>
      </w:pPr>
    </w:p>
    <w:p w14:paraId="01837264" w14:textId="77777777" w:rsidR="00AC26F3" w:rsidRDefault="00AC26F3" w:rsidP="00155715">
      <w:pPr>
        <w:jc w:val="both"/>
        <w:rPr>
          <w:lang w:val="es-ES"/>
        </w:rPr>
      </w:pPr>
    </w:p>
    <w:p w14:paraId="2AC80892" w14:textId="77777777" w:rsidR="00AC26F3" w:rsidRDefault="00AC26F3" w:rsidP="00155715">
      <w:pPr>
        <w:jc w:val="both"/>
        <w:rPr>
          <w:lang w:val="es-ES"/>
        </w:rPr>
      </w:pPr>
    </w:p>
    <w:p w14:paraId="56FDA341" w14:textId="77777777" w:rsidR="00AC26F3" w:rsidRDefault="00AC26F3" w:rsidP="00155715">
      <w:pPr>
        <w:jc w:val="both"/>
        <w:rPr>
          <w:lang w:val="es-ES"/>
        </w:rPr>
      </w:pPr>
    </w:p>
    <w:p w14:paraId="5B6CCE43" w14:textId="77777777" w:rsidR="00AC26F3" w:rsidRPr="001558A1" w:rsidRDefault="00AC26F3" w:rsidP="00155715">
      <w:pPr>
        <w:jc w:val="both"/>
        <w:rPr>
          <w:lang w:val="es-ES"/>
        </w:rPr>
      </w:pPr>
    </w:p>
    <w:p w14:paraId="2B8BB12A" w14:textId="590E573A" w:rsidR="00AC26F3" w:rsidRPr="005F00D2" w:rsidRDefault="004641B3" w:rsidP="00155715">
      <w:pPr>
        <w:pStyle w:val="NoSpacing"/>
        <w:jc w:val="center"/>
        <w:rPr>
          <w:rFonts w:ascii="Times New Roman" w:hAnsi="Times New Roman" w:cs="Times New Roman"/>
          <w:b/>
          <w:bCs/>
          <w:lang w:val="es-ES"/>
        </w:rPr>
      </w:pPr>
      <w:r w:rsidRPr="005F00D2">
        <w:rPr>
          <w:rFonts w:ascii="Times New Roman" w:hAnsi="Times New Roman" w:cs="Times New Roman"/>
          <w:b/>
          <w:bCs/>
          <w:color w:val="202124"/>
          <w:shd w:val="clear" w:color="auto" w:fill="FFFFFF"/>
        </w:rPr>
        <w:t>Análisis</w:t>
      </w:r>
      <w:r w:rsidR="001200E9" w:rsidRPr="005F00D2">
        <w:rPr>
          <w:rFonts w:ascii="Times New Roman" w:hAnsi="Times New Roman" w:cs="Times New Roman"/>
          <w:b/>
          <w:bCs/>
          <w:color w:val="202124"/>
          <w:shd w:val="clear" w:color="auto" w:fill="FFFFFF"/>
        </w:rPr>
        <w:t xml:space="preserve"> y evaluación</w:t>
      </w:r>
      <w:r w:rsidRPr="005F00D2">
        <w:rPr>
          <w:rFonts w:ascii="Times New Roman" w:hAnsi="Times New Roman" w:cs="Times New Roman"/>
          <w:b/>
          <w:bCs/>
          <w:color w:val="202124"/>
          <w:shd w:val="clear" w:color="auto" w:fill="FFFFFF"/>
        </w:rPr>
        <w:t xml:space="preserve"> de impacto de los Acuerdos de Doble Tributación sobre los </w:t>
      </w:r>
      <w:r w:rsidR="00946D0C" w:rsidRPr="005F00D2">
        <w:rPr>
          <w:rFonts w:ascii="Times New Roman" w:hAnsi="Times New Roman" w:cs="Times New Roman"/>
          <w:b/>
          <w:bCs/>
          <w:color w:val="202124"/>
          <w:shd w:val="clear" w:color="auto" w:fill="FFFFFF"/>
        </w:rPr>
        <w:t>f</w:t>
      </w:r>
      <w:r w:rsidRPr="005F00D2">
        <w:rPr>
          <w:rFonts w:ascii="Times New Roman" w:hAnsi="Times New Roman" w:cs="Times New Roman"/>
          <w:b/>
          <w:bCs/>
          <w:color w:val="202124"/>
          <w:shd w:val="clear" w:color="auto" w:fill="FFFFFF"/>
        </w:rPr>
        <w:t>lujos de Inversión Extranjera Directa en Colombia</w:t>
      </w:r>
    </w:p>
    <w:p w14:paraId="29185061" w14:textId="77777777" w:rsidR="00AC26F3" w:rsidRPr="005F00D2" w:rsidRDefault="00AC26F3" w:rsidP="00155715">
      <w:pPr>
        <w:pStyle w:val="NoSpacing"/>
        <w:jc w:val="center"/>
        <w:rPr>
          <w:rFonts w:ascii="Times New Roman" w:hAnsi="Times New Roman" w:cs="Times New Roman"/>
          <w:lang w:val="es-ES"/>
        </w:rPr>
      </w:pPr>
    </w:p>
    <w:p w14:paraId="24D074F4" w14:textId="77777777" w:rsidR="00AC26F3" w:rsidRPr="005F00D2" w:rsidRDefault="00AC26F3" w:rsidP="00155715">
      <w:pPr>
        <w:pStyle w:val="NoSpacing"/>
        <w:jc w:val="center"/>
        <w:rPr>
          <w:rFonts w:ascii="Times New Roman" w:hAnsi="Times New Roman" w:cs="Times New Roman"/>
          <w:lang w:val="es-ES"/>
        </w:rPr>
      </w:pPr>
      <w:r w:rsidRPr="005F00D2">
        <w:rPr>
          <w:rFonts w:ascii="Times New Roman" w:hAnsi="Times New Roman" w:cs="Times New Roman"/>
          <w:lang w:val="es-ES"/>
        </w:rPr>
        <w:t>Trabajo de grado</w:t>
      </w:r>
    </w:p>
    <w:p w14:paraId="6C2374B4" w14:textId="77777777" w:rsidR="00AC26F3" w:rsidRPr="005F00D2" w:rsidRDefault="00AC26F3" w:rsidP="00155715">
      <w:pPr>
        <w:pStyle w:val="NoSpacing"/>
        <w:jc w:val="center"/>
        <w:rPr>
          <w:rFonts w:ascii="Times New Roman" w:hAnsi="Times New Roman" w:cs="Times New Roman"/>
          <w:b/>
          <w:bCs/>
          <w:lang w:val="es-ES"/>
        </w:rPr>
      </w:pPr>
      <w:r w:rsidRPr="005F00D2">
        <w:rPr>
          <w:rFonts w:ascii="Times New Roman" w:hAnsi="Times New Roman" w:cs="Times New Roman"/>
          <w:b/>
          <w:bCs/>
          <w:lang w:val="es-ES"/>
        </w:rPr>
        <w:t>Maestría en Economía Aplicada</w:t>
      </w:r>
    </w:p>
    <w:p w14:paraId="274102D8" w14:textId="77777777" w:rsidR="00AC26F3" w:rsidRPr="005F00D2" w:rsidRDefault="00AC26F3" w:rsidP="00155715">
      <w:pPr>
        <w:pStyle w:val="NoSpacing"/>
        <w:jc w:val="center"/>
        <w:rPr>
          <w:rFonts w:ascii="Times New Roman" w:hAnsi="Times New Roman" w:cs="Times New Roman"/>
          <w:lang w:val="es-ES"/>
        </w:rPr>
      </w:pPr>
      <w:r w:rsidRPr="005F00D2">
        <w:rPr>
          <w:rFonts w:ascii="Times New Roman" w:hAnsi="Times New Roman" w:cs="Times New Roman"/>
          <w:lang w:val="es-ES"/>
        </w:rPr>
        <w:t>Universidad de los Andes</w:t>
      </w:r>
    </w:p>
    <w:p w14:paraId="0416F037" w14:textId="77777777" w:rsidR="00AC26F3" w:rsidRPr="005F00D2" w:rsidRDefault="00AC26F3" w:rsidP="00155715">
      <w:pPr>
        <w:pStyle w:val="NoSpacing"/>
        <w:jc w:val="center"/>
        <w:rPr>
          <w:rFonts w:ascii="Times New Roman" w:hAnsi="Times New Roman" w:cs="Times New Roman"/>
          <w:lang w:val="es-ES"/>
        </w:rPr>
      </w:pPr>
    </w:p>
    <w:p w14:paraId="7F0A15FD" w14:textId="77777777" w:rsidR="00AC26F3" w:rsidRPr="005F00D2" w:rsidRDefault="00AC26F3" w:rsidP="00155715">
      <w:pPr>
        <w:pStyle w:val="NoSpacing"/>
        <w:jc w:val="center"/>
        <w:rPr>
          <w:rFonts w:ascii="Times New Roman" w:hAnsi="Times New Roman" w:cs="Times New Roman"/>
          <w:lang w:val="es-ES"/>
        </w:rPr>
      </w:pPr>
    </w:p>
    <w:p w14:paraId="40FA8AF6" w14:textId="77777777" w:rsidR="00AC26F3" w:rsidRPr="005F00D2" w:rsidRDefault="00AC26F3" w:rsidP="00155715">
      <w:pPr>
        <w:pStyle w:val="NoSpacing"/>
        <w:jc w:val="center"/>
        <w:rPr>
          <w:rFonts w:ascii="Times New Roman" w:hAnsi="Times New Roman" w:cs="Times New Roman"/>
          <w:lang w:val="es-ES"/>
        </w:rPr>
      </w:pPr>
      <w:r w:rsidRPr="005F00D2">
        <w:rPr>
          <w:rFonts w:ascii="Times New Roman" w:hAnsi="Times New Roman" w:cs="Times New Roman"/>
          <w:lang w:val="es-ES"/>
        </w:rPr>
        <w:t>Lucia Fillippo Aguillón</w:t>
      </w:r>
    </w:p>
    <w:p w14:paraId="66B1E98A" w14:textId="18619D96" w:rsidR="00AC26F3" w:rsidRPr="005F00D2" w:rsidRDefault="00AC26F3" w:rsidP="00155715">
      <w:pPr>
        <w:pStyle w:val="NoSpacing"/>
        <w:jc w:val="center"/>
        <w:rPr>
          <w:rFonts w:ascii="Times New Roman" w:hAnsi="Times New Roman" w:cs="Times New Roman"/>
          <w:lang w:val="es-ES"/>
        </w:rPr>
      </w:pPr>
      <w:r w:rsidRPr="005F00D2">
        <w:rPr>
          <w:rFonts w:ascii="Times New Roman" w:hAnsi="Times New Roman" w:cs="Times New Roman"/>
          <w:lang w:val="es-ES"/>
        </w:rPr>
        <w:t>Irina Vélez López</w:t>
      </w:r>
    </w:p>
    <w:p w14:paraId="52593BBB" w14:textId="77777777" w:rsidR="00AC26F3" w:rsidRPr="005F00D2" w:rsidRDefault="00AC26F3" w:rsidP="00155715">
      <w:pPr>
        <w:pStyle w:val="NoSpacing"/>
        <w:jc w:val="center"/>
        <w:rPr>
          <w:rFonts w:ascii="Times New Roman" w:hAnsi="Times New Roman" w:cs="Times New Roman"/>
          <w:lang w:val="es-ES"/>
        </w:rPr>
      </w:pPr>
      <w:r w:rsidRPr="005F00D2">
        <w:rPr>
          <w:rFonts w:ascii="Times New Roman" w:hAnsi="Times New Roman" w:cs="Times New Roman"/>
          <w:lang w:val="es-ES"/>
        </w:rPr>
        <w:t>Miguel Ángel Victoria Simbaqueva</w:t>
      </w:r>
    </w:p>
    <w:p w14:paraId="445564A7" w14:textId="77777777" w:rsidR="00AC26F3" w:rsidRPr="005513D8" w:rsidRDefault="00AC26F3" w:rsidP="00155715">
      <w:pPr>
        <w:pStyle w:val="NoSpacing"/>
        <w:jc w:val="both"/>
        <w:rPr>
          <w:rFonts w:ascii="Garamond" w:hAnsi="Garamond"/>
          <w:lang w:val="es-ES"/>
        </w:rPr>
      </w:pPr>
    </w:p>
    <w:p w14:paraId="1B032DD7" w14:textId="77777777" w:rsidR="00AC26F3" w:rsidRPr="005513D8" w:rsidRDefault="00AC26F3" w:rsidP="00155715">
      <w:pPr>
        <w:jc w:val="both"/>
        <w:rPr>
          <w:lang w:val="es-ES"/>
        </w:rPr>
      </w:pPr>
    </w:p>
    <w:p w14:paraId="64025C68" w14:textId="77777777" w:rsidR="00AC26F3" w:rsidRPr="005513D8" w:rsidRDefault="00AC26F3" w:rsidP="00155715">
      <w:pPr>
        <w:jc w:val="both"/>
        <w:rPr>
          <w:lang w:val="es-ES"/>
        </w:rPr>
      </w:pPr>
    </w:p>
    <w:p w14:paraId="499FF0AD" w14:textId="77777777" w:rsidR="00AC26F3" w:rsidRPr="005513D8" w:rsidRDefault="00AC26F3" w:rsidP="00155715">
      <w:pPr>
        <w:jc w:val="both"/>
        <w:rPr>
          <w:lang w:val="es-ES"/>
        </w:rPr>
      </w:pPr>
    </w:p>
    <w:p w14:paraId="17E0F019" w14:textId="77777777" w:rsidR="00AC26F3" w:rsidRPr="005513D8" w:rsidRDefault="00AC26F3" w:rsidP="00155715">
      <w:pPr>
        <w:jc w:val="both"/>
        <w:rPr>
          <w:lang w:val="es-ES"/>
        </w:rPr>
      </w:pPr>
    </w:p>
    <w:p w14:paraId="2B679AFE" w14:textId="77777777" w:rsidR="00AC26F3" w:rsidRPr="005513D8" w:rsidRDefault="00AC26F3" w:rsidP="00155715">
      <w:pPr>
        <w:jc w:val="both"/>
        <w:rPr>
          <w:lang w:val="es-ES"/>
        </w:rPr>
      </w:pPr>
    </w:p>
    <w:p w14:paraId="40B1C6AF" w14:textId="77777777" w:rsidR="00AC26F3" w:rsidRPr="005513D8" w:rsidRDefault="00AC26F3" w:rsidP="00155715">
      <w:pPr>
        <w:jc w:val="both"/>
        <w:rPr>
          <w:lang w:val="es-ES"/>
        </w:rPr>
      </w:pPr>
    </w:p>
    <w:p w14:paraId="7F1FFB31" w14:textId="77777777" w:rsidR="00AC26F3" w:rsidRPr="005513D8" w:rsidRDefault="00AC26F3" w:rsidP="00155715">
      <w:pPr>
        <w:jc w:val="both"/>
        <w:rPr>
          <w:lang w:val="es-ES"/>
        </w:rPr>
      </w:pPr>
    </w:p>
    <w:p w14:paraId="08F47BEB" w14:textId="77777777" w:rsidR="00AC26F3" w:rsidRPr="005513D8" w:rsidRDefault="00AC26F3" w:rsidP="00155715">
      <w:pPr>
        <w:jc w:val="both"/>
        <w:rPr>
          <w:lang w:val="es-ES"/>
        </w:rPr>
      </w:pPr>
    </w:p>
    <w:p w14:paraId="26429641" w14:textId="77777777" w:rsidR="00AC26F3" w:rsidRPr="005513D8" w:rsidRDefault="00AC26F3" w:rsidP="00155715">
      <w:pPr>
        <w:jc w:val="both"/>
        <w:rPr>
          <w:lang w:val="es-ES"/>
        </w:rPr>
      </w:pPr>
    </w:p>
    <w:p w14:paraId="638AF1B6" w14:textId="77777777" w:rsidR="00AC26F3" w:rsidRPr="005513D8" w:rsidRDefault="00AC26F3" w:rsidP="00155715">
      <w:pPr>
        <w:jc w:val="both"/>
        <w:rPr>
          <w:lang w:val="es-ES"/>
        </w:rPr>
      </w:pPr>
    </w:p>
    <w:p w14:paraId="6467B280" w14:textId="77777777" w:rsidR="00AC26F3" w:rsidRPr="005513D8" w:rsidRDefault="00AC26F3" w:rsidP="00155715">
      <w:pPr>
        <w:jc w:val="both"/>
        <w:rPr>
          <w:lang w:val="es-ES"/>
        </w:rPr>
      </w:pPr>
    </w:p>
    <w:p w14:paraId="5FFF7AAB" w14:textId="77777777" w:rsidR="003E1480" w:rsidRDefault="003E1480" w:rsidP="00155715">
      <w:pPr>
        <w:jc w:val="both"/>
        <w:rPr>
          <w:lang w:val="es-ES"/>
        </w:rPr>
      </w:pPr>
    </w:p>
    <w:p w14:paraId="7385EC92" w14:textId="77777777" w:rsidR="005E76EE" w:rsidRPr="00000A8A" w:rsidRDefault="005E76EE" w:rsidP="00155715">
      <w:pPr>
        <w:jc w:val="both"/>
        <w:rPr>
          <w:lang w:val="es-ES"/>
        </w:rPr>
      </w:pPr>
    </w:p>
    <w:p w14:paraId="5CC1EF81" w14:textId="77777777" w:rsidR="003E1480" w:rsidRPr="00000A8A" w:rsidRDefault="003E1480" w:rsidP="00155715">
      <w:pPr>
        <w:jc w:val="both"/>
        <w:rPr>
          <w:lang w:val="es-ES"/>
        </w:rPr>
      </w:pPr>
    </w:p>
    <w:p w14:paraId="12DC601B" w14:textId="77777777" w:rsidR="003E1480" w:rsidRPr="00000A8A" w:rsidRDefault="003E1480" w:rsidP="00155715">
      <w:pPr>
        <w:jc w:val="both"/>
        <w:rPr>
          <w:lang w:val="es-ES"/>
        </w:rPr>
      </w:pPr>
    </w:p>
    <w:p w14:paraId="13B6C0CB" w14:textId="67995787" w:rsidR="00AC26F3" w:rsidRPr="00000A8A" w:rsidRDefault="00AC26F3" w:rsidP="00155715">
      <w:pPr>
        <w:pStyle w:val="Heading2"/>
        <w:jc w:val="both"/>
        <w:rPr>
          <w:szCs w:val="24"/>
          <w:lang w:val="es-ES"/>
        </w:rPr>
      </w:pPr>
      <w:r w:rsidRPr="00000A8A">
        <w:rPr>
          <w:szCs w:val="24"/>
          <w:lang w:val="es-ES"/>
        </w:rPr>
        <w:lastRenderedPageBreak/>
        <w:t>Resumen</w:t>
      </w:r>
    </w:p>
    <w:p w14:paraId="650ED7CD" w14:textId="77777777" w:rsidR="00AC26F3" w:rsidRPr="005513D8" w:rsidRDefault="00AC26F3" w:rsidP="00155715">
      <w:pPr>
        <w:ind w:right="1041"/>
        <w:jc w:val="both"/>
        <w:rPr>
          <w:lang w:val="es-ES"/>
        </w:rPr>
      </w:pPr>
    </w:p>
    <w:p w14:paraId="0579CC30" w14:textId="5D1BDD48" w:rsidR="00AC26F3" w:rsidRPr="005513D8" w:rsidRDefault="00AC26F3" w:rsidP="00155715">
      <w:pPr>
        <w:ind w:right="49"/>
        <w:jc w:val="both"/>
        <w:rPr>
          <w:lang w:val="es-ES"/>
        </w:rPr>
      </w:pPr>
      <w:r w:rsidRPr="005513D8">
        <w:rPr>
          <w:lang w:val="es-ES"/>
        </w:rPr>
        <w:t xml:space="preserve">Los </w:t>
      </w:r>
      <w:r w:rsidR="007F2109" w:rsidRPr="005513D8">
        <w:rPr>
          <w:lang w:val="es-ES"/>
        </w:rPr>
        <w:t>a</w:t>
      </w:r>
      <w:r w:rsidRPr="005513D8">
        <w:rPr>
          <w:lang w:val="es-ES"/>
        </w:rPr>
        <w:t xml:space="preserve">cuerdos para </w:t>
      </w:r>
      <w:r w:rsidR="00756F4C" w:rsidRPr="005513D8">
        <w:rPr>
          <w:lang w:val="es-ES"/>
        </w:rPr>
        <w:t>evitar</w:t>
      </w:r>
      <w:r w:rsidRPr="005513D8">
        <w:rPr>
          <w:lang w:val="es-ES"/>
        </w:rPr>
        <w:t xml:space="preserve"> la </w:t>
      </w:r>
      <w:r w:rsidR="00853E6D" w:rsidRPr="005513D8">
        <w:rPr>
          <w:lang w:val="es-ES"/>
        </w:rPr>
        <w:t>Doble Tributación</w:t>
      </w:r>
      <w:r w:rsidRPr="005513D8">
        <w:rPr>
          <w:lang w:val="es-ES"/>
        </w:rPr>
        <w:t xml:space="preserve"> en el impuesto de renta (</w:t>
      </w:r>
      <w:r w:rsidR="00385EFA" w:rsidRPr="005513D8">
        <w:rPr>
          <w:lang w:val="es-ES"/>
        </w:rPr>
        <w:t>e</w:t>
      </w:r>
      <w:r w:rsidRPr="005513D8">
        <w:rPr>
          <w:lang w:val="es-ES"/>
        </w:rPr>
        <w:t xml:space="preserve">n adelante, acuerdos de doble tributación o </w:t>
      </w:r>
      <w:proofErr w:type="spellStart"/>
      <w:r w:rsidRPr="005513D8">
        <w:rPr>
          <w:lang w:val="es-ES"/>
        </w:rPr>
        <w:t>ADTs</w:t>
      </w:r>
      <w:proofErr w:type="spellEnd"/>
      <w:r w:rsidRPr="005513D8">
        <w:rPr>
          <w:lang w:val="es-ES"/>
        </w:rPr>
        <w:t xml:space="preserve">), han sido instrumentos de carácter </w:t>
      </w:r>
      <w:r w:rsidR="005B41CE" w:rsidRPr="005513D8">
        <w:rPr>
          <w:lang w:val="es-ES"/>
        </w:rPr>
        <w:t>comercial y tributario</w:t>
      </w:r>
      <w:r w:rsidRPr="005513D8">
        <w:rPr>
          <w:lang w:val="es-ES"/>
        </w:rPr>
        <w:t xml:space="preserve"> que ha suscrito Colombia con más de </w:t>
      </w:r>
      <w:r w:rsidR="00086F01">
        <w:rPr>
          <w:lang w:val="es-ES"/>
        </w:rPr>
        <w:t>quince</w:t>
      </w:r>
      <w:r w:rsidRPr="005513D8">
        <w:rPr>
          <w:lang w:val="es-ES"/>
        </w:rPr>
        <w:t xml:space="preserve"> países en los últimos </w:t>
      </w:r>
      <w:r w:rsidR="00177AC8">
        <w:rPr>
          <w:lang w:val="es-ES"/>
        </w:rPr>
        <w:t>dieciséis</w:t>
      </w:r>
      <w:r w:rsidR="005B41CE" w:rsidRPr="005513D8">
        <w:rPr>
          <w:lang w:val="es-ES"/>
        </w:rPr>
        <w:t xml:space="preserve"> años</w:t>
      </w:r>
      <w:r w:rsidRPr="005513D8">
        <w:rPr>
          <w:lang w:val="es-ES"/>
        </w:rPr>
        <w:t>. Esto, con el fin de</w:t>
      </w:r>
      <w:r w:rsidR="00D41C49" w:rsidRPr="005513D8">
        <w:rPr>
          <w:lang w:val="es-ES"/>
        </w:rPr>
        <w:t xml:space="preserve"> </w:t>
      </w:r>
      <w:r w:rsidR="00D21E77" w:rsidRPr="005513D8">
        <w:rPr>
          <w:lang w:val="es-ES"/>
        </w:rPr>
        <w:t>contribuir en la</w:t>
      </w:r>
      <w:r w:rsidRPr="005513D8">
        <w:rPr>
          <w:lang w:val="es-ES"/>
        </w:rPr>
        <w:t xml:space="preserve"> </w:t>
      </w:r>
      <w:r w:rsidR="00D21E77" w:rsidRPr="005513D8">
        <w:rPr>
          <w:lang w:val="es-ES"/>
        </w:rPr>
        <w:t xml:space="preserve">disminución del </w:t>
      </w:r>
      <w:r w:rsidRPr="005513D8">
        <w:rPr>
          <w:lang w:val="es-ES"/>
        </w:rPr>
        <w:t>riesgo al que se enfrenta un inversionista a la hora de invertir en el país</w:t>
      </w:r>
      <w:r w:rsidR="008862A2" w:rsidRPr="005513D8">
        <w:rPr>
          <w:lang w:val="es-ES"/>
        </w:rPr>
        <w:t>,</w:t>
      </w:r>
      <w:r w:rsidRPr="005513D8">
        <w:rPr>
          <w:lang w:val="es-ES"/>
        </w:rPr>
        <w:t xml:space="preserve"> </w:t>
      </w:r>
      <w:r w:rsidR="00191966" w:rsidRPr="005513D8">
        <w:rPr>
          <w:lang w:val="es-ES"/>
        </w:rPr>
        <w:t>brindando</w:t>
      </w:r>
      <w:r w:rsidR="006B5D66" w:rsidRPr="005513D8">
        <w:rPr>
          <w:lang w:val="es-ES"/>
        </w:rPr>
        <w:t xml:space="preserve"> una mejor e</w:t>
      </w:r>
      <w:r w:rsidRPr="005513D8">
        <w:rPr>
          <w:lang w:val="es-ES"/>
        </w:rPr>
        <w:t>stabilidad jurídica en materia fiscal</w:t>
      </w:r>
      <w:r w:rsidR="003965A6" w:rsidRPr="005513D8">
        <w:rPr>
          <w:lang w:val="es-ES"/>
        </w:rPr>
        <w:t xml:space="preserve"> por la propia naturaleza de evitar la doble imposición intrínseca a los </w:t>
      </w:r>
      <w:proofErr w:type="spellStart"/>
      <w:r w:rsidR="00991CF5" w:rsidRPr="005513D8">
        <w:rPr>
          <w:lang w:val="es-ES"/>
        </w:rPr>
        <w:t>ADTs</w:t>
      </w:r>
      <w:proofErr w:type="spellEnd"/>
      <w:r w:rsidR="00991CF5" w:rsidRPr="005513D8">
        <w:rPr>
          <w:lang w:val="es-ES"/>
        </w:rPr>
        <w:t>.</w:t>
      </w:r>
      <w:r w:rsidRPr="005513D8">
        <w:rPr>
          <w:lang w:val="es-ES"/>
        </w:rPr>
        <w:t xml:space="preserve"> De esta manera, estos acuerdos han sido instrumentos que hacen parte de la estrategia de promoción de inversión de los países.</w:t>
      </w:r>
    </w:p>
    <w:p w14:paraId="2C9AF274" w14:textId="77777777" w:rsidR="00AC26F3" w:rsidRPr="005513D8" w:rsidRDefault="00AC26F3" w:rsidP="00155715">
      <w:pPr>
        <w:ind w:right="49"/>
        <w:jc w:val="both"/>
        <w:rPr>
          <w:lang w:val="es-ES"/>
        </w:rPr>
      </w:pPr>
    </w:p>
    <w:p w14:paraId="4F541BA4" w14:textId="7578D5BB" w:rsidR="00AC26F3" w:rsidRDefault="00E22242" w:rsidP="00155715">
      <w:pPr>
        <w:ind w:right="49"/>
        <w:jc w:val="both"/>
        <w:rPr>
          <w:lang w:val="es-ES"/>
        </w:rPr>
      </w:pPr>
      <w:r w:rsidRPr="005513D8">
        <w:rPr>
          <w:lang w:val="es-ES"/>
        </w:rPr>
        <w:t>Este</w:t>
      </w:r>
      <w:r w:rsidR="00AC26F3" w:rsidRPr="005513D8">
        <w:rPr>
          <w:lang w:val="es-ES"/>
        </w:rPr>
        <w:t xml:space="preserve"> </w:t>
      </w:r>
      <w:r w:rsidR="00F7575A" w:rsidRPr="005513D8">
        <w:rPr>
          <w:lang w:val="es-ES"/>
        </w:rPr>
        <w:t>estudio</w:t>
      </w:r>
      <w:r w:rsidR="009B734D" w:rsidRPr="005513D8">
        <w:rPr>
          <w:lang w:val="es-ES"/>
        </w:rPr>
        <w:t>,</w:t>
      </w:r>
      <w:r w:rsidR="00667587" w:rsidRPr="005513D8">
        <w:rPr>
          <w:lang w:val="es-ES"/>
        </w:rPr>
        <w:t xml:space="preserve"> </w:t>
      </w:r>
      <w:r w:rsidR="00AC26F3" w:rsidRPr="005513D8">
        <w:rPr>
          <w:lang w:val="es-ES"/>
        </w:rPr>
        <w:t>busca evaluar el impacto de los acuerdos de doble tributación sobre los flujos entrantes de Inversión Extranjera en Colombia</w:t>
      </w:r>
      <w:r w:rsidR="00F03BF7" w:rsidRPr="005513D8">
        <w:rPr>
          <w:lang w:val="es-ES"/>
        </w:rPr>
        <w:t>,</w:t>
      </w:r>
      <w:r w:rsidR="009B734D" w:rsidRPr="005513D8">
        <w:rPr>
          <w:lang w:val="es-ES"/>
        </w:rPr>
        <w:t xml:space="preserve"> para el período comprendido entre 2007 y 2022</w:t>
      </w:r>
      <w:r w:rsidR="00AC26F3" w:rsidRPr="005513D8">
        <w:rPr>
          <w:lang w:val="es-ES"/>
        </w:rPr>
        <w:t xml:space="preserve">. </w:t>
      </w:r>
      <w:r w:rsidR="00667587" w:rsidRPr="005513D8">
        <w:rPr>
          <w:lang w:val="es-ES"/>
        </w:rPr>
        <w:t>Lo anterior</w:t>
      </w:r>
      <w:r w:rsidR="00D37ED1" w:rsidRPr="005513D8">
        <w:rPr>
          <w:lang w:val="es-ES"/>
        </w:rPr>
        <w:t>,</w:t>
      </w:r>
      <w:r w:rsidR="00AC26F3" w:rsidRPr="005513D8">
        <w:rPr>
          <w:lang w:val="es-ES"/>
        </w:rPr>
        <w:t xml:space="preserve"> a través de </w:t>
      </w:r>
      <w:r w:rsidR="00B547A9" w:rsidRPr="005513D8">
        <w:rPr>
          <w:lang w:val="es-ES"/>
        </w:rPr>
        <w:t xml:space="preserve">varias estrategias </w:t>
      </w:r>
      <w:r w:rsidR="00C06477" w:rsidRPr="005513D8">
        <w:rPr>
          <w:lang w:val="es-ES"/>
        </w:rPr>
        <w:t>econométricas</w:t>
      </w:r>
      <w:r w:rsidR="00B547A9" w:rsidRPr="005513D8">
        <w:rPr>
          <w:lang w:val="es-ES"/>
        </w:rPr>
        <w:t xml:space="preserve"> como</w:t>
      </w:r>
      <w:r w:rsidR="00C06477" w:rsidRPr="005513D8">
        <w:rPr>
          <w:lang w:val="es-ES"/>
        </w:rPr>
        <w:t>,</w:t>
      </w:r>
      <w:r w:rsidR="00B547A9" w:rsidRPr="005513D8">
        <w:rPr>
          <w:lang w:val="es-ES"/>
        </w:rPr>
        <w:t xml:space="preserve"> </w:t>
      </w:r>
      <w:r w:rsidR="00AC26F3" w:rsidRPr="005513D8">
        <w:rPr>
          <w:lang w:val="es-ES"/>
        </w:rPr>
        <w:t>diferencias en diferencias</w:t>
      </w:r>
      <w:r w:rsidR="00B547A9" w:rsidRPr="005513D8">
        <w:rPr>
          <w:lang w:val="es-ES"/>
        </w:rPr>
        <w:t xml:space="preserve"> y </w:t>
      </w:r>
      <w:r w:rsidR="00AE6BC2" w:rsidRPr="005513D8">
        <w:rPr>
          <w:lang w:val="es-ES"/>
        </w:rPr>
        <w:t>emparejamiento</w:t>
      </w:r>
      <w:r w:rsidR="00D07C05" w:rsidRPr="005513D8">
        <w:rPr>
          <w:lang w:val="es-ES"/>
        </w:rPr>
        <w:t xml:space="preserve"> por puntaje de propensión </w:t>
      </w:r>
      <w:r w:rsidR="00AB3B67">
        <w:rPr>
          <w:lang w:val="es-ES"/>
        </w:rPr>
        <w:t>(</w:t>
      </w:r>
      <w:proofErr w:type="spellStart"/>
      <w:r w:rsidR="005A3182" w:rsidRPr="005513D8">
        <w:rPr>
          <w:lang w:val="es-ES"/>
        </w:rPr>
        <w:t>P</w:t>
      </w:r>
      <w:r w:rsidR="00E1064D" w:rsidRPr="005513D8">
        <w:rPr>
          <w:lang w:val="es-ES"/>
        </w:rPr>
        <w:t>ropensity</w:t>
      </w:r>
      <w:proofErr w:type="spellEnd"/>
      <w:r w:rsidR="00E1064D" w:rsidRPr="005513D8">
        <w:rPr>
          <w:lang w:val="es-ES"/>
        </w:rPr>
        <w:t xml:space="preserve"> </w:t>
      </w:r>
      <w:r w:rsidR="005A3182" w:rsidRPr="005513D8">
        <w:rPr>
          <w:lang w:val="es-ES"/>
        </w:rPr>
        <w:t>S</w:t>
      </w:r>
      <w:r w:rsidR="00E1064D" w:rsidRPr="005513D8">
        <w:rPr>
          <w:lang w:val="es-ES"/>
        </w:rPr>
        <w:t xml:space="preserve">core </w:t>
      </w:r>
      <w:proofErr w:type="spellStart"/>
      <w:r w:rsidR="005A3182" w:rsidRPr="005513D8">
        <w:rPr>
          <w:lang w:val="es-ES"/>
        </w:rPr>
        <w:t>M</w:t>
      </w:r>
      <w:r w:rsidR="00E1064D" w:rsidRPr="005513D8">
        <w:rPr>
          <w:lang w:val="es-ES"/>
        </w:rPr>
        <w:t>atch</w:t>
      </w:r>
      <w:r w:rsidR="00C06477" w:rsidRPr="005513D8">
        <w:rPr>
          <w:lang w:val="es-ES"/>
        </w:rPr>
        <w:t>ing</w:t>
      </w:r>
      <w:proofErr w:type="spellEnd"/>
      <w:r w:rsidR="00D07C05" w:rsidRPr="005513D8">
        <w:rPr>
          <w:lang w:val="es-ES"/>
        </w:rPr>
        <w:t xml:space="preserve"> en inglés</w:t>
      </w:r>
      <w:r w:rsidR="00AB3B67">
        <w:rPr>
          <w:lang w:val="es-ES"/>
        </w:rPr>
        <w:t>)</w:t>
      </w:r>
      <w:r w:rsidR="00CF4BC0">
        <w:rPr>
          <w:lang w:val="es-ES"/>
        </w:rPr>
        <w:t>. En este análisis, los países con los cuales Colombia ha</w:t>
      </w:r>
      <w:r w:rsidR="00AB0F8E" w:rsidRPr="005513D8">
        <w:rPr>
          <w:lang w:val="es-ES"/>
        </w:rPr>
        <w:t xml:space="preserve"> suscrito acuerdos</w:t>
      </w:r>
      <w:r w:rsidR="00CF4BC0">
        <w:rPr>
          <w:lang w:val="es-ES"/>
        </w:rPr>
        <w:t xml:space="preserve"> de doble tributación</w:t>
      </w:r>
      <w:r w:rsidR="00332374">
        <w:rPr>
          <w:lang w:val="es-ES"/>
        </w:rPr>
        <w:t xml:space="preserve"> serán tratados como el grupo de tratamiento</w:t>
      </w:r>
      <w:r w:rsidR="00AB0F8E" w:rsidRPr="005513D8">
        <w:rPr>
          <w:lang w:val="es-ES"/>
        </w:rPr>
        <w:t xml:space="preserve">, considerando </w:t>
      </w:r>
      <w:r w:rsidR="00A113E8" w:rsidRPr="005513D8">
        <w:rPr>
          <w:lang w:val="es-ES"/>
        </w:rPr>
        <w:t>la</w:t>
      </w:r>
      <w:r w:rsidR="00AC26F3" w:rsidRPr="005513D8">
        <w:rPr>
          <w:lang w:val="es-ES"/>
        </w:rPr>
        <w:t xml:space="preserve"> </w:t>
      </w:r>
      <w:r w:rsidR="00332374">
        <w:rPr>
          <w:lang w:val="es-ES"/>
        </w:rPr>
        <w:t xml:space="preserve">fecha de </w:t>
      </w:r>
      <w:proofErr w:type="gramStart"/>
      <w:r w:rsidR="00AC26F3" w:rsidRPr="005513D8">
        <w:rPr>
          <w:lang w:val="es-ES"/>
        </w:rPr>
        <w:t>entrada en vigencia</w:t>
      </w:r>
      <w:proofErr w:type="gramEnd"/>
      <w:r w:rsidR="00332374">
        <w:rPr>
          <w:lang w:val="es-ES"/>
        </w:rPr>
        <w:t xml:space="preserve"> de dichos acuerdos.</w:t>
      </w:r>
    </w:p>
    <w:p w14:paraId="68B531B3" w14:textId="77777777" w:rsidR="00AC26F3" w:rsidRDefault="00AC26F3" w:rsidP="00155715">
      <w:pPr>
        <w:ind w:right="49"/>
        <w:jc w:val="both"/>
        <w:rPr>
          <w:lang w:val="es-ES"/>
        </w:rPr>
      </w:pPr>
    </w:p>
    <w:p w14:paraId="5C18FA38" w14:textId="77777777" w:rsidR="006E4DA6" w:rsidRPr="005513D8" w:rsidRDefault="006E4DA6" w:rsidP="00155715">
      <w:pPr>
        <w:ind w:right="49"/>
        <w:jc w:val="both"/>
        <w:rPr>
          <w:lang w:val="es-ES"/>
        </w:rPr>
      </w:pPr>
    </w:p>
    <w:p w14:paraId="0A40990A" w14:textId="77777777" w:rsidR="00AC26F3" w:rsidRPr="005513D8" w:rsidRDefault="00AC26F3" w:rsidP="00155715">
      <w:pPr>
        <w:ind w:right="49"/>
        <w:jc w:val="both"/>
        <w:rPr>
          <w:b/>
          <w:bCs/>
          <w:lang w:val="es-ES"/>
        </w:rPr>
      </w:pPr>
      <w:r w:rsidRPr="005513D8">
        <w:rPr>
          <w:b/>
          <w:bCs/>
          <w:lang w:val="es-ES"/>
        </w:rPr>
        <w:t>Palabras clave</w:t>
      </w:r>
    </w:p>
    <w:p w14:paraId="6B3BD585" w14:textId="77777777" w:rsidR="00AC26F3" w:rsidRPr="005513D8" w:rsidRDefault="00AC26F3" w:rsidP="00155715">
      <w:pPr>
        <w:ind w:right="49"/>
        <w:jc w:val="both"/>
        <w:rPr>
          <w:lang w:val="es-ES"/>
        </w:rPr>
      </w:pPr>
      <w:r w:rsidRPr="005513D8">
        <w:rPr>
          <w:lang w:val="es-ES"/>
        </w:rPr>
        <w:t>Inversión extranjera. Acuerdos de doble tributación. Competitividad fiscal.</w:t>
      </w:r>
    </w:p>
    <w:p w14:paraId="717B34B1" w14:textId="77777777" w:rsidR="00AC26F3" w:rsidRPr="005513D8" w:rsidRDefault="00AC26F3" w:rsidP="00155715">
      <w:pPr>
        <w:pStyle w:val="NoSpacing"/>
        <w:jc w:val="both"/>
        <w:rPr>
          <w:rFonts w:ascii="Garamond" w:hAnsi="Garamond"/>
          <w:lang w:val="es-ES"/>
        </w:rPr>
      </w:pPr>
    </w:p>
    <w:p w14:paraId="488BD10A" w14:textId="77777777" w:rsidR="000B223E" w:rsidRPr="005513D8" w:rsidRDefault="000B223E" w:rsidP="00155715">
      <w:pPr>
        <w:jc w:val="both"/>
        <w:rPr>
          <w:lang w:val="es-ES"/>
        </w:rPr>
      </w:pPr>
    </w:p>
    <w:p w14:paraId="4D56C39E" w14:textId="77777777" w:rsidR="00131717" w:rsidRPr="005513D8" w:rsidRDefault="00131717" w:rsidP="00155715">
      <w:pPr>
        <w:jc w:val="both"/>
        <w:rPr>
          <w:lang w:val="es-ES"/>
        </w:rPr>
      </w:pPr>
    </w:p>
    <w:p w14:paraId="2B0772F7" w14:textId="77777777" w:rsidR="00131717" w:rsidRPr="005513D8" w:rsidRDefault="00131717" w:rsidP="00155715">
      <w:pPr>
        <w:jc w:val="both"/>
        <w:rPr>
          <w:lang w:val="es-ES"/>
        </w:rPr>
      </w:pPr>
    </w:p>
    <w:p w14:paraId="394FBADE" w14:textId="77777777" w:rsidR="00131717" w:rsidRPr="005513D8" w:rsidRDefault="00131717" w:rsidP="00155715">
      <w:pPr>
        <w:jc w:val="both"/>
        <w:rPr>
          <w:lang w:val="es-ES"/>
        </w:rPr>
      </w:pPr>
    </w:p>
    <w:p w14:paraId="731795E9" w14:textId="77777777" w:rsidR="00131717" w:rsidRPr="005513D8" w:rsidRDefault="00131717" w:rsidP="00155715">
      <w:pPr>
        <w:jc w:val="both"/>
        <w:rPr>
          <w:lang w:val="es-ES"/>
        </w:rPr>
      </w:pPr>
    </w:p>
    <w:p w14:paraId="079D2F30" w14:textId="77777777" w:rsidR="00131717" w:rsidRPr="005513D8" w:rsidRDefault="00131717" w:rsidP="00155715">
      <w:pPr>
        <w:jc w:val="both"/>
        <w:rPr>
          <w:lang w:val="es-ES"/>
        </w:rPr>
      </w:pPr>
    </w:p>
    <w:p w14:paraId="7EE84073" w14:textId="77777777" w:rsidR="00131717" w:rsidRPr="005513D8" w:rsidRDefault="00131717" w:rsidP="00155715">
      <w:pPr>
        <w:jc w:val="both"/>
        <w:rPr>
          <w:lang w:val="es-ES"/>
        </w:rPr>
      </w:pPr>
    </w:p>
    <w:p w14:paraId="4BE0B112" w14:textId="77777777" w:rsidR="00131717" w:rsidRPr="005513D8" w:rsidRDefault="00131717" w:rsidP="00155715">
      <w:pPr>
        <w:jc w:val="both"/>
        <w:rPr>
          <w:lang w:val="es-ES"/>
        </w:rPr>
      </w:pPr>
    </w:p>
    <w:p w14:paraId="4405CB62" w14:textId="77777777" w:rsidR="00131717" w:rsidRPr="005513D8" w:rsidRDefault="00131717" w:rsidP="00155715">
      <w:pPr>
        <w:jc w:val="both"/>
        <w:rPr>
          <w:lang w:val="es-ES"/>
        </w:rPr>
      </w:pPr>
    </w:p>
    <w:p w14:paraId="30303998" w14:textId="77777777" w:rsidR="00131717" w:rsidRPr="005513D8" w:rsidRDefault="00131717" w:rsidP="00155715">
      <w:pPr>
        <w:jc w:val="both"/>
        <w:rPr>
          <w:lang w:val="es-ES"/>
        </w:rPr>
      </w:pPr>
    </w:p>
    <w:p w14:paraId="34829588" w14:textId="77777777" w:rsidR="00131717" w:rsidRPr="005513D8" w:rsidRDefault="00131717" w:rsidP="00155715">
      <w:pPr>
        <w:jc w:val="both"/>
        <w:rPr>
          <w:lang w:val="es-ES"/>
        </w:rPr>
      </w:pPr>
    </w:p>
    <w:p w14:paraId="31D495AC" w14:textId="77777777" w:rsidR="00131717" w:rsidRPr="005513D8" w:rsidRDefault="00131717" w:rsidP="00155715">
      <w:pPr>
        <w:jc w:val="both"/>
        <w:rPr>
          <w:lang w:val="es-ES"/>
        </w:rPr>
      </w:pPr>
    </w:p>
    <w:p w14:paraId="703305AD" w14:textId="77777777" w:rsidR="00131717" w:rsidRPr="005513D8" w:rsidRDefault="00131717" w:rsidP="00155715">
      <w:pPr>
        <w:jc w:val="both"/>
        <w:rPr>
          <w:lang w:val="es-ES"/>
        </w:rPr>
      </w:pPr>
    </w:p>
    <w:p w14:paraId="3B4C3F7A" w14:textId="77777777" w:rsidR="00131717" w:rsidRPr="005513D8" w:rsidRDefault="00131717" w:rsidP="00155715">
      <w:pPr>
        <w:jc w:val="both"/>
        <w:rPr>
          <w:lang w:val="es-ES"/>
        </w:rPr>
      </w:pPr>
    </w:p>
    <w:p w14:paraId="6BEEE8AC" w14:textId="77777777" w:rsidR="00131717" w:rsidRDefault="00131717" w:rsidP="00155715">
      <w:pPr>
        <w:jc w:val="both"/>
        <w:rPr>
          <w:lang w:val="es-ES"/>
        </w:rPr>
      </w:pPr>
    </w:p>
    <w:p w14:paraId="491D4134" w14:textId="77777777" w:rsidR="005E76EE" w:rsidRDefault="005E76EE" w:rsidP="00155715">
      <w:pPr>
        <w:jc w:val="both"/>
        <w:rPr>
          <w:lang w:val="es-ES"/>
        </w:rPr>
      </w:pPr>
    </w:p>
    <w:p w14:paraId="041D5BC7" w14:textId="77777777" w:rsidR="005E76EE" w:rsidRDefault="005E76EE" w:rsidP="00155715">
      <w:pPr>
        <w:jc w:val="both"/>
        <w:rPr>
          <w:lang w:val="es-ES"/>
        </w:rPr>
      </w:pPr>
    </w:p>
    <w:p w14:paraId="17ACDA2F" w14:textId="77777777" w:rsidR="005E76EE" w:rsidRDefault="005E76EE" w:rsidP="00155715">
      <w:pPr>
        <w:jc w:val="both"/>
        <w:rPr>
          <w:lang w:val="es-ES"/>
        </w:rPr>
      </w:pPr>
    </w:p>
    <w:p w14:paraId="3C783CE0" w14:textId="77777777" w:rsidR="005E76EE" w:rsidRDefault="005E76EE" w:rsidP="00155715">
      <w:pPr>
        <w:jc w:val="both"/>
        <w:rPr>
          <w:lang w:val="es-ES"/>
        </w:rPr>
      </w:pPr>
    </w:p>
    <w:p w14:paraId="5E1D31F7" w14:textId="77777777" w:rsidR="005E76EE" w:rsidRDefault="005E76EE" w:rsidP="00155715">
      <w:pPr>
        <w:jc w:val="both"/>
        <w:rPr>
          <w:lang w:val="es-ES"/>
        </w:rPr>
      </w:pPr>
    </w:p>
    <w:p w14:paraId="67DB0A08" w14:textId="77777777" w:rsidR="005E76EE" w:rsidRDefault="005E76EE" w:rsidP="00155715">
      <w:pPr>
        <w:jc w:val="both"/>
        <w:rPr>
          <w:lang w:val="es-ES"/>
        </w:rPr>
      </w:pPr>
    </w:p>
    <w:p w14:paraId="40502202" w14:textId="77777777" w:rsidR="005E76EE" w:rsidRDefault="005E76EE" w:rsidP="00155715">
      <w:pPr>
        <w:jc w:val="both"/>
        <w:rPr>
          <w:lang w:val="es-ES"/>
        </w:rPr>
      </w:pPr>
    </w:p>
    <w:p w14:paraId="705AFD98" w14:textId="77777777" w:rsidR="005E76EE" w:rsidRPr="005513D8" w:rsidRDefault="005E76EE" w:rsidP="00155715">
      <w:pPr>
        <w:jc w:val="both"/>
        <w:rPr>
          <w:lang w:val="es-ES"/>
        </w:rPr>
      </w:pPr>
    </w:p>
    <w:p w14:paraId="77C859CD" w14:textId="77777777" w:rsidR="00131717" w:rsidRPr="005513D8" w:rsidRDefault="00131717" w:rsidP="00155715">
      <w:pPr>
        <w:jc w:val="both"/>
        <w:rPr>
          <w:lang w:val="es-ES"/>
        </w:rPr>
      </w:pPr>
    </w:p>
    <w:p w14:paraId="1EA1615D" w14:textId="25979B67" w:rsidR="00B45A0E" w:rsidRPr="00000A8A" w:rsidRDefault="00F30CB7" w:rsidP="00155715">
      <w:pPr>
        <w:pStyle w:val="Heading2"/>
        <w:jc w:val="both"/>
        <w:rPr>
          <w:szCs w:val="24"/>
          <w:lang w:val="es-ES"/>
        </w:rPr>
      </w:pPr>
      <w:r w:rsidRPr="00000A8A">
        <w:rPr>
          <w:szCs w:val="24"/>
          <w:lang w:val="es-ES"/>
        </w:rPr>
        <w:lastRenderedPageBreak/>
        <w:t>Introducción</w:t>
      </w:r>
    </w:p>
    <w:p w14:paraId="29272263" w14:textId="42E182DF" w:rsidR="00634441" w:rsidRPr="00D82C51" w:rsidRDefault="00B45A0E" w:rsidP="00155715">
      <w:pPr>
        <w:pStyle w:val="BodyText"/>
        <w:spacing w:before="202"/>
        <w:ind w:right="114"/>
        <w:jc w:val="both"/>
        <w:rPr>
          <w:rFonts w:ascii="Times New Roman" w:hAnsi="Times New Roman" w:cs="Times New Roman"/>
        </w:rPr>
      </w:pPr>
      <w:r w:rsidRPr="00D82C51">
        <w:rPr>
          <w:rFonts w:ascii="Times New Roman" w:hAnsi="Times New Roman" w:cs="Times New Roman"/>
        </w:rPr>
        <w:t>Uno</w:t>
      </w:r>
      <w:r w:rsidRPr="00D82C51">
        <w:rPr>
          <w:rFonts w:ascii="Times New Roman" w:hAnsi="Times New Roman" w:cs="Times New Roman"/>
          <w:spacing w:val="-6"/>
        </w:rPr>
        <w:t xml:space="preserve"> </w:t>
      </w:r>
      <w:r w:rsidRPr="00D82C51">
        <w:rPr>
          <w:rFonts w:ascii="Times New Roman" w:hAnsi="Times New Roman" w:cs="Times New Roman"/>
        </w:rPr>
        <w:t>de</w:t>
      </w:r>
      <w:r w:rsidRPr="00D82C51">
        <w:rPr>
          <w:rFonts w:ascii="Times New Roman" w:hAnsi="Times New Roman" w:cs="Times New Roman"/>
          <w:spacing w:val="-5"/>
        </w:rPr>
        <w:t xml:space="preserve"> </w:t>
      </w:r>
      <w:r w:rsidRPr="00D82C51">
        <w:rPr>
          <w:rFonts w:ascii="Times New Roman" w:hAnsi="Times New Roman" w:cs="Times New Roman"/>
        </w:rPr>
        <w:t>los</w:t>
      </w:r>
      <w:r w:rsidRPr="00D82C51">
        <w:rPr>
          <w:rFonts w:ascii="Times New Roman" w:hAnsi="Times New Roman" w:cs="Times New Roman"/>
          <w:spacing w:val="-6"/>
        </w:rPr>
        <w:t xml:space="preserve"> </w:t>
      </w:r>
      <w:r w:rsidRPr="00D82C51">
        <w:rPr>
          <w:rFonts w:ascii="Times New Roman" w:hAnsi="Times New Roman" w:cs="Times New Roman"/>
        </w:rPr>
        <w:t>elementos</w:t>
      </w:r>
      <w:r w:rsidRPr="00D82C51">
        <w:rPr>
          <w:rFonts w:ascii="Times New Roman" w:hAnsi="Times New Roman" w:cs="Times New Roman"/>
          <w:spacing w:val="-6"/>
        </w:rPr>
        <w:t xml:space="preserve"> </w:t>
      </w:r>
      <w:r w:rsidRPr="00D82C51">
        <w:rPr>
          <w:rFonts w:ascii="Times New Roman" w:hAnsi="Times New Roman" w:cs="Times New Roman"/>
        </w:rPr>
        <w:t>claves</w:t>
      </w:r>
      <w:r w:rsidRPr="00D82C51">
        <w:rPr>
          <w:rFonts w:ascii="Times New Roman" w:hAnsi="Times New Roman" w:cs="Times New Roman"/>
          <w:spacing w:val="-6"/>
        </w:rPr>
        <w:t xml:space="preserve"> </w:t>
      </w:r>
      <w:r w:rsidRPr="00D82C51">
        <w:rPr>
          <w:rFonts w:ascii="Times New Roman" w:hAnsi="Times New Roman" w:cs="Times New Roman"/>
        </w:rPr>
        <w:t>que</w:t>
      </w:r>
      <w:r w:rsidRPr="00D82C51">
        <w:rPr>
          <w:rFonts w:ascii="Times New Roman" w:hAnsi="Times New Roman" w:cs="Times New Roman"/>
          <w:spacing w:val="-6"/>
        </w:rPr>
        <w:t xml:space="preserve"> </w:t>
      </w:r>
      <w:r w:rsidRPr="00D82C51">
        <w:rPr>
          <w:rFonts w:ascii="Times New Roman" w:hAnsi="Times New Roman" w:cs="Times New Roman"/>
        </w:rPr>
        <w:t>los</w:t>
      </w:r>
      <w:r w:rsidRPr="00D82C51">
        <w:rPr>
          <w:rFonts w:ascii="Times New Roman" w:hAnsi="Times New Roman" w:cs="Times New Roman"/>
          <w:spacing w:val="-5"/>
        </w:rPr>
        <w:t xml:space="preserve"> </w:t>
      </w:r>
      <w:r w:rsidRPr="00D82C51">
        <w:rPr>
          <w:rFonts w:ascii="Times New Roman" w:hAnsi="Times New Roman" w:cs="Times New Roman"/>
        </w:rPr>
        <w:t>inversionistas</w:t>
      </w:r>
      <w:r w:rsidRPr="00D82C51">
        <w:rPr>
          <w:rFonts w:ascii="Times New Roman" w:hAnsi="Times New Roman" w:cs="Times New Roman"/>
          <w:spacing w:val="-6"/>
        </w:rPr>
        <w:t xml:space="preserve"> </w:t>
      </w:r>
      <w:r w:rsidRPr="00D82C51">
        <w:rPr>
          <w:rFonts w:ascii="Times New Roman" w:hAnsi="Times New Roman" w:cs="Times New Roman"/>
        </w:rPr>
        <w:t>evalúan</w:t>
      </w:r>
      <w:r w:rsidRPr="00D82C51">
        <w:rPr>
          <w:rFonts w:ascii="Times New Roman" w:hAnsi="Times New Roman" w:cs="Times New Roman"/>
          <w:spacing w:val="-5"/>
        </w:rPr>
        <w:t xml:space="preserve"> </w:t>
      </w:r>
      <w:r w:rsidRPr="00D82C51">
        <w:rPr>
          <w:rFonts w:ascii="Times New Roman" w:hAnsi="Times New Roman" w:cs="Times New Roman"/>
        </w:rPr>
        <w:t>para</w:t>
      </w:r>
      <w:r w:rsidRPr="00D82C51">
        <w:rPr>
          <w:rFonts w:ascii="Times New Roman" w:hAnsi="Times New Roman" w:cs="Times New Roman"/>
          <w:spacing w:val="-6"/>
        </w:rPr>
        <w:t xml:space="preserve"> </w:t>
      </w:r>
      <w:r w:rsidRPr="00D82C51">
        <w:rPr>
          <w:rFonts w:ascii="Times New Roman" w:hAnsi="Times New Roman" w:cs="Times New Roman"/>
        </w:rPr>
        <w:t>determinar</w:t>
      </w:r>
      <w:r w:rsidRPr="00D82C51">
        <w:rPr>
          <w:rFonts w:ascii="Times New Roman" w:hAnsi="Times New Roman" w:cs="Times New Roman"/>
          <w:spacing w:val="-6"/>
        </w:rPr>
        <w:t xml:space="preserve"> </w:t>
      </w:r>
      <w:r w:rsidRPr="00D82C51">
        <w:rPr>
          <w:rFonts w:ascii="Times New Roman" w:hAnsi="Times New Roman" w:cs="Times New Roman"/>
        </w:rPr>
        <w:t>si</w:t>
      </w:r>
      <w:r w:rsidRPr="00D82C51">
        <w:rPr>
          <w:rFonts w:ascii="Times New Roman" w:hAnsi="Times New Roman" w:cs="Times New Roman"/>
          <w:spacing w:val="-5"/>
        </w:rPr>
        <w:t xml:space="preserve"> </w:t>
      </w:r>
      <w:r w:rsidRPr="00D82C51">
        <w:rPr>
          <w:rFonts w:ascii="Times New Roman" w:hAnsi="Times New Roman" w:cs="Times New Roman"/>
        </w:rPr>
        <w:t>invertir</w:t>
      </w:r>
      <w:r w:rsidRPr="00D82C51">
        <w:rPr>
          <w:rFonts w:ascii="Times New Roman" w:hAnsi="Times New Roman" w:cs="Times New Roman"/>
          <w:spacing w:val="-6"/>
        </w:rPr>
        <w:t xml:space="preserve"> </w:t>
      </w:r>
      <w:r w:rsidRPr="00D82C51">
        <w:rPr>
          <w:rFonts w:ascii="Times New Roman" w:hAnsi="Times New Roman" w:cs="Times New Roman"/>
        </w:rPr>
        <w:t>o</w:t>
      </w:r>
      <w:r w:rsidRPr="00D82C51">
        <w:rPr>
          <w:rFonts w:ascii="Times New Roman" w:hAnsi="Times New Roman" w:cs="Times New Roman"/>
          <w:spacing w:val="-11"/>
        </w:rPr>
        <w:t xml:space="preserve"> </w:t>
      </w:r>
      <w:r w:rsidRPr="00D82C51">
        <w:rPr>
          <w:rFonts w:ascii="Times New Roman" w:hAnsi="Times New Roman" w:cs="Times New Roman"/>
        </w:rPr>
        <w:t>no</w:t>
      </w:r>
      <w:r w:rsidRPr="00D82C51">
        <w:rPr>
          <w:rFonts w:ascii="Times New Roman" w:hAnsi="Times New Roman" w:cs="Times New Roman"/>
          <w:spacing w:val="-11"/>
        </w:rPr>
        <w:t xml:space="preserve"> </w:t>
      </w:r>
      <w:r w:rsidRPr="00D82C51">
        <w:rPr>
          <w:rFonts w:ascii="Times New Roman" w:hAnsi="Times New Roman" w:cs="Times New Roman"/>
        </w:rPr>
        <w:t>en</w:t>
      </w:r>
      <w:r w:rsidRPr="00D82C51">
        <w:rPr>
          <w:rFonts w:ascii="Times New Roman" w:hAnsi="Times New Roman" w:cs="Times New Roman"/>
          <w:spacing w:val="-11"/>
        </w:rPr>
        <w:t xml:space="preserve"> </w:t>
      </w:r>
      <w:r w:rsidRPr="00D82C51">
        <w:rPr>
          <w:rFonts w:ascii="Times New Roman" w:hAnsi="Times New Roman" w:cs="Times New Roman"/>
        </w:rPr>
        <w:t>un</w:t>
      </w:r>
      <w:r w:rsidRPr="00D82C51">
        <w:rPr>
          <w:rFonts w:ascii="Times New Roman" w:hAnsi="Times New Roman" w:cs="Times New Roman"/>
          <w:spacing w:val="-11"/>
        </w:rPr>
        <w:t xml:space="preserve"> </w:t>
      </w:r>
      <w:r w:rsidRPr="00D82C51">
        <w:rPr>
          <w:rFonts w:ascii="Times New Roman" w:hAnsi="Times New Roman" w:cs="Times New Roman"/>
        </w:rPr>
        <w:t>país,</w:t>
      </w:r>
      <w:r w:rsidRPr="00D82C51">
        <w:rPr>
          <w:rFonts w:ascii="Times New Roman" w:hAnsi="Times New Roman" w:cs="Times New Roman"/>
          <w:spacing w:val="-11"/>
        </w:rPr>
        <w:t xml:space="preserve"> </w:t>
      </w:r>
      <w:r w:rsidRPr="00D82C51">
        <w:rPr>
          <w:rFonts w:ascii="Times New Roman" w:hAnsi="Times New Roman" w:cs="Times New Roman"/>
        </w:rPr>
        <w:t>está</w:t>
      </w:r>
      <w:r w:rsidRPr="00D82C51">
        <w:rPr>
          <w:rFonts w:ascii="Times New Roman" w:hAnsi="Times New Roman" w:cs="Times New Roman"/>
          <w:spacing w:val="-11"/>
        </w:rPr>
        <w:t xml:space="preserve"> </w:t>
      </w:r>
      <w:r w:rsidRPr="00D82C51">
        <w:rPr>
          <w:rFonts w:ascii="Times New Roman" w:hAnsi="Times New Roman" w:cs="Times New Roman"/>
        </w:rPr>
        <w:t>relacionado</w:t>
      </w:r>
      <w:r w:rsidRPr="00D82C51">
        <w:rPr>
          <w:rFonts w:ascii="Times New Roman" w:hAnsi="Times New Roman" w:cs="Times New Roman"/>
          <w:spacing w:val="-11"/>
        </w:rPr>
        <w:t xml:space="preserve"> </w:t>
      </w:r>
      <w:r w:rsidRPr="00D82C51">
        <w:rPr>
          <w:rFonts w:ascii="Times New Roman" w:hAnsi="Times New Roman" w:cs="Times New Roman"/>
        </w:rPr>
        <w:t>con</w:t>
      </w:r>
      <w:r w:rsidRPr="00D82C51">
        <w:rPr>
          <w:rFonts w:ascii="Times New Roman" w:hAnsi="Times New Roman" w:cs="Times New Roman"/>
          <w:spacing w:val="-12"/>
        </w:rPr>
        <w:t xml:space="preserve"> </w:t>
      </w:r>
      <w:r w:rsidRPr="00D82C51">
        <w:rPr>
          <w:rFonts w:ascii="Times New Roman" w:hAnsi="Times New Roman" w:cs="Times New Roman"/>
        </w:rPr>
        <w:t>la</w:t>
      </w:r>
      <w:r w:rsidRPr="00D82C51">
        <w:rPr>
          <w:rFonts w:ascii="Times New Roman" w:hAnsi="Times New Roman" w:cs="Times New Roman"/>
          <w:spacing w:val="-11"/>
        </w:rPr>
        <w:t xml:space="preserve"> </w:t>
      </w:r>
      <w:r w:rsidRPr="00D82C51">
        <w:rPr>
          <w:rFonts w:ascii="Times New Roman" w:hAnsi="Times New Roman" w:cs="Times New Roman"/>
        </w:rPr>
        <w:t>carga</w:t>
      </w:r>
      <w:r w:rsidRPr="00D82C51">
        <w:rPr>
          <w:rFonts w:ascii="Times New Roman" w:hAnsi="Times New Roman" w:cs="Times New Roman"/>
          <w:spacing w:val="-11"/>
        </w:rPr>
        <w:t xml:space="preserve"> </w:t>
      </w:r>
      <w:r w:rsidRPr="00D82C51">
        <w:rPr>
          <w:rFonts w:ascii="Times New Roman" w:hAnsi="Times New Roman" w:cs="Times New Roman"/>
        </w:rPr>
        <w:t>impositiva</w:t>
      </w:r>
      <w:r w:rsidRPr="00D82C51">
        <w:rPr>
          <w:rFonts w:ascii="Times New Roman" w:hAnsi="Times New Roman" w:cs="Times New Roman"/>
          <w:spacing w:val="-11"/>
        </w:rPr>
        <w:t xml:space="preserve"> </w:t>
      </w:r>
      <w:r w:rsidRPr="00D82C51">
        <w:rPr>
          <w:rFonts w:ascii="Times New Roman" w:hAnsi="Times New Roman" w:cs="Times New Roman"/>
        </w:rPr>
        <w:t>en</w:t>
      </w:r>
      <w:r w:rsidRPr="00D82C51">
        <w:rPr>
          <w:rFonts w:ascii="Times New Roman" w:hAnsi="Times New Roman" w:cs="Times New Roman"/>
          <w:spacing w:val="-11"/>
        </w:rPr>
        <w:t xml:space="preserve"> </w:t>
      </w:r>
      <w:r w:rsidRPr="00D82C51">
        <w:rPr>
          <w:rFonts w:ascii="Times New Roman" w:hAnsi="Times New Roman" w:cs="Times New Roman"/>
        </w:rPr>
        <w:t>dos</w:t>
      </w:r>
      <w:r w:rsidRPr="00D82C51">
        <w:rPr>
          <w:rFonts w:ascii="Times New Roman" w:hAnsi="Times New Roman" w:cs="Times New Roman"/>
          <w:spacing w:val="-11"/>
        </w:rPr>
        <w:t xml:space="preserve"> </w:t>
      </w:r>
      <w:r w:rsidRPr="00D82C51">
        <w:rPr>
          <w:rFonts w:ascii="Times New Roman" w:hAnsi="Times New Roman" w:cs="Times New Roman"/>
        </w:rPr>
        <w:t>tributos</w:t>
      </w:r>
      <w:r w:rsidRPr="00D82C51">
        <w:rPr>
          <w:rFonts w:ascii="Times New Roman" w:hAnsi="Times New Roman" w:cs="Times New Roman"/>
          <w:spacing w:val="-11"/>
        </w:rPr>
        <w:t xml:space="preserve"> </w:t>
      </w:r>
      <w:r w:rsidRPr="00D82C51">
        <w:rPr>
          <w:rFonts w:ascii="Times New Roman" w:hAnsi="Times New Roman" w:cs="Times New Roman"/>
        </w:rPr>
        <w:t>principalmente: Impuesto</w:t>
      </w:r>
      <w:r w:rsidRPr="00D82C51">
        <w:rPr>
          <w:rFonts w:ascii="Times New Roman" w:hAnsi="Times New Roman" w:cs="Times New Roman"/>
          <w:spacing w:val="-2"/>
        </w:rPr>
        <w:t xml:space="preserve"> </w:t>
      </w:r>
      <w:r w:rsidRPr="00D82C51">
        <w:rPr>
          <w:rFonts w:ascii="Times New Roman" w:hAnsi="Times New Roman" w:cs="Times New Roman"/>
        </w:rPr>
        <w:t>al</w:t>
      </w:r>
      <w:r w:rsidRPr="00D82C51">
        <w:rPr>
          <w:rFonts w:ascii="Times New Roman" w:hAnsi="Times New Roman" w:cs="Times New Roman"/>
          <w:spacing w:val="-2"/>
        </w:rPr>
        <w:t xml:space="preserve"> </w:t>
      </w:r>
      <w:r w:rsidRPr="00D82C51">
        <w:rPr>
          <w:rFonts w:ascii="Times New Roman" w:hAnsi="Times New Roman" w:cs="Times New Roman"/>
        </w:rPr>
        <w:t>Valor</w:t>
      </w:r>
      <w:r w:rsidRPr="00D82C51">
        <w:rPr>
          <w:rFonts w:ascii="Times New Roman" w:hAnsi="Times New Roman" w:cs="Times New Roman"/>
          <w:spacing w:val="-2"/>
        </w:rPr>
        <w:t xml:space="preserve"> </w:t>
      </w:r>
      <w:r w:rsidRPr="00D82C51">
        <w:rPr>
          <w:rFonts w:ascii="Times New Roman" w:hAnsi="Times New Roman" w:cs="Times New Roman"/>
        </w:rPr>
        <w:t>Agregado</w:t>
      </w:r>
      <w:r w:rsidRPr="00D82C51">
        <w:rPr>
          <w:rFonts w:ascii="Times New Roman" w:hAnsi="Times New Roman" w:cs="Times New Roman"/>
          <w:spacing w:val="-2"/>
        </w:rPr>
        <w:t xml:space="preserve"> </w:t>
      </w:r>
      <w:r w:rsidRPr="00D82C51">
        <w:rPr>
          <w:rFonts w:ascii="Times New Roman" w:hAnsi="Times New Roman" w:cs="Times New Roman"/>
        </w:rPr>
        <w:t>(IVA)</w:t>
      </w:r>
      <w:r w:rsidRPr="00D82C51">
        <w:rPr>
          <w:rFonts w:ascii="Times New Roman" w:hAnsi="Times New Roman" w:cs="Times New Roman"/>
          <w:spacing w:val="-2"/>
        </w:rPr>
        <w:t xml:space="preserve"> </w:t>
      </w:r>
      <w:r w:rsidRPr="00D82C51">
        <w:rPr>
          <w:rFonts w:ascii="Times New Roman" w:hAnsi="Times New Roman" w:cs="Times New Roman"/>
        </w:rPr>
        <w:t>e</w:t>
      </w:r>
      <w:r w:rsidRPr="00D82C51">
        <w:rPr>
          <w:rFonts w:ascii="Times New Roman" w:hAnsi="Times New Roman" w:cs="Times New Roman"/>
          <w:spacing w:val="-2"/>
        </w:rPr>
        <w:t xml:space="preserve"> </w:t>
      </w:r>
      <w:r w:rsidRPr="00D82C51">
        <w:rPr>
          <w:rFonts w:ascii="Times New Roman" w:hAnsi="Times New Roman" w:cs="Times New Roman"/>
        </w:rPr>
        <w:t>impuesto</w:t>
      </w:r>
      <w:r w:rsidRPr="00D82C51">
        <w:rPr>
          <w:rFonts w:ascii="Times New Roman" w:hAnsi="Times New Roman" w:cs="Times New Roman"/>
          <w:spacing w:val="-2"/>
        </w:rPr>
        <w:t xml:space="preserve"> </w:t>
      </w:r>
      <w:r w:rsidRPr="00D82C51">
        <w:rPr>
          <w:rFonts w:ascii="Times New Roman" w:hAnsi="Times New Roman" w:cs="Times New Roman"/>
        </w:rPr>
        <w:t>de</w:t>
      </w:r>
      <w:r w:rsidRPr="00D82C51">
        <w:rPr>
          <w:rFonts w:ascii="Times New Roman" w:hAnsi="Times New Roman" w:cs="Times New Roman"/>
          <w:spacing w:val="-2"/>
        </w:rPr>
        <w:t xml:space="preserve"> </w:t>
      </w:r>
      <w:r w:rsidRPr="00D82C51">
        <w:rPr>
          <w:rFonts w:ascii="Times New Roman" w:hAnsi="Times New Roman" w:cs="Times New Roman"/>
        </w:rPr>
        <w:t>renta.</w:t>
      </w:r>
      <w:r w:rsidRPr="00D82C51">
        <w:rPr>
          <w:rFonts w:ascii="Times New Roman" w:hAnsi="Times New Roman" w:cs="Times New Roman"/>
          <w:spacing w:val="-2"/>
        </w:rPr>
        <w:t xml:space="preserve"> </w:t>
      </w:r>
      <w:r w:rsidR="00504061" w:rsidRPr="00D82C51">
        <w:rPr>
          <w:rFonts w:ascii="Times New Roman" w:hAnsi="Times New Roman" w:cs="Times New Roman"/>
        </w:rPr>
        <w:t xml:space="preserve">Desde </w:t>
      </w:r>
      <w:r w:rsidR="004A0735" w:rsidRPr="00D82C51">
        <w:rPr>
          <w:rFonts w:ascii="Times New Roman" w:hAnsi="Times New Roman" w:cs="Times New Roman"/>
        </w:rPr>
        <w:t>los inicios de la globalización tras la creación del GATT</w:t>
      </w:r>
      <w:r w:rsidR="00175BD8" w:rsidRPr="00D82C51">
        <w:rPr>
          <w:rStyle w:val="FootnoteReference"/>
          <w:rFonts w:ascii="Times New Roman" w:hAnsi="Times New Roman" w:cs="Times New Roman"/>
        </w:rPr>
        <w:footnoteReference w:id="2"/>
      </w:r>
      <w:r w:rsidR="004A0735" w:rsidRPr="00D82C51">
        <w:rPr>
          <w:rFonts w:ascii="Times New Roman" w:hAnsi="Times New Roman" w:cs="Times New Roman"/>
        </w:rPr>
        <w:t xml:space="preserve"> </w:t>
      </w:r>
      <w:r w:rsidR="002D157A" w:rsidRPr="00D82C51">
        <w:rPr>
          <w:rFonts w:ascii="Times New Roman" w:hAnsi="Times New Roman" w:cs="Times New Roman"/>
        </w:rPr>
        <w:t xml:space="preserve">(Acuerdo </w:t>
      </w:r>
      <w:r w:rsidR="008D1652" w:rsidRPr="00D82C51">
        <w:rPr>
          <w:rFonts w:ascii="Times New Roman" w:hAnsi="Times New Roman" w:cs="Times New Roman"/>
        </w:rPr>
        <w:t xml:space="preserve">General sobre Aranceles Aduaneros y Comercio) </w:t>
      </w:r>
      <w:r w:rsidR="004A0735" w:rsidRPr="00D82C51">
        <w:rPr>
          <w:rFonts w:ascii="Times New Roman" w:hAnsi="Times New Roman" w:cs="Times New Roman"/>
        </w:rPr>
        <w:t>y las Naciones Unidas en 1945</w:t>
      </w:r>
      <w:r w:rsidR="00504061" w:rsidRPr="00D82C51">
        <w:rPr>
          <w:rFonts w:ascii="Times New Roman" w:hAnsi="Times New Roman" w:cs="Times New Roman"/>
        </w:rPr>
        <w:t xml:space="preserve"> hasta el presente, </w:t>
      </w:r>
      <w:r w:rsidR="00F47733" w:rsidRPr="00D82C51">
        <w:rPr>
          <w:rFonts w:ascii="Times New Roman" w:hAnsi="Times New Roman" w:cs="Times New Roman"/>
        </w:rPr>
        <w:t xml:space="preserve">las autoridades fiscales y de comercio de los países, han buscado estrategias para integrarse en grados considerables, aumentar su comercio y sus flujos de inversión. En este escenario, los Acuerdos de Doble Tributación cobran especial relevancia en materia de competitividad fiscal </w:t>
      </w:r>
      <w:r w:rsidR="002B196E" w:rsidRPr="00D82C51">
        <w:rPr>
          <w:rFonts w:ascii="Times New Roman" w:hAnsi="Times New Roman" w:cs="Times New Roman"/>
        </w:rPr>
        <w:t xml:space="preserve">y atracción de inversión extranjera, </w:t>
      </w:r>
      <w:r w:rsidR="00F47733" w:rsidRPr="00D82C51">
        <w:rPr>
          <w:rFonts w:ascii="Times New Roman" w:hAnsi="Times New Roman" w:cs="Times New Roman"/>
        </w:rPr>
        <w:t>debido a que como su nombre lo indica, evitan la doble imposición</w:t>
      </w:r>
      <w:r w:rsidR="002B196E" w:rsidRPr="00D82C51">
        <w:rPr>
          <w:rFonts w:ascii="Times New Roman" w:hAnsi="Times New Roman" w:cs="Times New Roman"/>
        </w:rPr>
        <w:t xml:space="preserve"> en determinados tributos. </w:t>
      </w:r>
    </w:p>
    <w:p w14:paraId="4901EC0F" w14:textId="1CDA0E93" w:rsidR="00F86A9C" w:rsidRPr="00D82C51" w:rsidRDefault="00B04FDE" w:rsidP="00155715">
      <w:pPr>
        <w:pStyle w:val="BodyText"/>
        <w:spacing w:before="202"/>
        <w:ind w:right="114"/>
        <w:jc w:val="both"/>
        <w:rPr>
          <w:rFonts w:ascii="Times New Roman" w:hAnsi="Times New Roman" w:cs="Times New Roman"/>
        </w:rPr>
      </w:pPr>
      <w:r w:rsidRPr="00D82C51">
        <w:rPr>
          <w:rFonts w:ascii="Times New Roman" w:hAnsi="Times New Roman" w:cs="Times New Roman"/>
        </w:rPr>
        <w:t xml:space="preserve">Estos </w:t>
      </w:r>
      <w:r w:rsidR="00D47EDD" w:rsidRPr="00D82C51">
        <w:rPr>
          <w:rFonts w:ascii="Times New Roman" w:hAnsi="Times New Roman" w:cs="Times New Roman"/>
        </w:rPr>
        <w:t xml:space="preserve">acuerdos </w:t>
      </w:r>
      <w:r w:rsidR="008A69C7" w:rsidRPr="00D82C51">
        <w:rPr>
          <w:rFonts w:ascii="Times New Roman" w:hAnsi="Times New Roman" w:cs="Times New Roman"/>
        </w:rPr>
        <w:t>tributarios</w:t>
      </w:r>
      <w:r w:rsidR="00CC7F06" w:rsidRPr="00D82C51">
        <w:rPr>
          <w:rFonts w:ascii="Times New Roman" w:hAnsi="Times New Roman" w:cs="Times New Roman"/>
        </w:rPr>
        <w:t xml:space="preserve">, junto con otros </w:t>
      </w:r>
      <w:r w:rsidR="008A69C7" w:rsidRPr="00D82C51">
        <w:rPr>
          <w:rFonts w:ascii="Times New Roman" w:hAnsi="Times New Roman" w:cs="Times New Roman"/>
        </w:rPr>
        <w:t>instrumentos</w:t>
      </w:r>
      <w:r w:rsidR="007F7D81" w:rsidRPr="00D82C51">
        <w:rPr>
          <w:rFonts w:ascii="Times New Roman" w:hAnsi="Times New Roman" w:cs="Times New Roman"/>
        </w:rPr>
        <w:t xml:space="preserve"> </w:t>
      </w:r>
      <w:r w:rsidR="00292A02" w:rsidRPr="00D82C51">
        <w:rPr>
          <w:rFonts w:ascii="Times New Roman" w:hAnsi="Times New Roman" w:cs="Times New Roman"/>
        </w:rPr>
        <w:t>como los acuerdos de protección de inversión</w:t>
      </w:r>
      <w:r w:rsidR="00FF2816" w:rsidRPr="00D82C51">
        <w:rPr>
          <w:rFonts w:ascii="Times New Roman" w:hAnsi="Times New Roman" w:cs="Times New Roman"/>
        </w:rPr>
        <w:t xml:space="preserve"> y los acuerdos </w:t>
      </w:r>
      <w:r w:rsidR="007B5CDD" w:rsidRPr="00D82C51">
        <w:rPr>
          <w:rFonts w:ascii="Times New Roman" w:hAnsi="Times New Roman" w:cs="Times New Roman"/>
        </w:rPr>
        <w:t>de liberalización de comercio</w:t>
      </w:r>
      <w:r w:rsidR="00B2577E" w:rsidRPr="00D82C51">
        <w:rPr>
          <w:rFonts w:ascii="Times New Roman" w:hAnsi="Times New Roman" w:cs="Times New Roman"/>
        </w:rPr>
        <w:t xml:space="preserve">, forman parte de las </w:t>
      </w:r>
      <w:r w:rsidR="00EC3CFE" w:rsidRPr="00D82C51">
        <w:rPr>
          <w:rFonts w:ascii="Times New Roman" w:hAnsi="Times New Roman" w:cs="Times New Roman"/>
        </w:rPr>
        <w:t>estrategias</w:t>
      </w:r>
      <w:r w:rsidR="00B2577E" w:rsidRPr="00D82C51">
        <w:rPr>
          <w:rFonts w:ascii="Times New Roman" w:hAnsi="Times New Roman" w:cs="Times New Roman"/>
        </w:rPr>
        <w:t xml:space="preserve"> de un país para</w:t>
      </w:r>
      <w:r w:rsidR="00AB371F" w:rsidRPr="00D82C51">
        <w:rPr>
          <w:rFonts w:ascii="Times New Roman" w:hAnsi="Times New Roman" w:cs="Times New Roman"/>
        </w:rPr>
        <w:t xml:space="preserve"> crear un entorno favorable </w:t>
      </w:r>
      <w:r w:rsidR="00EC3CFE" w:rsidRPr="00D82C51">
        <w:rPr>
          <w:rFonts w:ascii="Times New Roman" w:hAnsi="Times New Roman" w:cs="Times New Roman"/>
        </w:rPr>
        <w:t xml:space="preserve">para la </w:t>
      </w:r>
      <w:r w:rsidR="003F58A6" w:rsidRPr="00D82C51">
        <w:rPr>
          <w:rFonts w:ascii="Times New Roman" w:hAnsi="Times New Roman" w:cs="Times New Roman"/>
        </w:rPr>
        <w:t>atracción de inversión</w:t>
      </w:r>
      <w:r w:rsidR="00EC3CFE" w:rsidRPr="00D82C51">
        <w:rPr>
          <w:rFonts w:ascii="Times New Roman" w:hAnsi="Times New Roman" w:cs="Times New Roman"/>
        </w:rPr>
        <w:t>,</w:t>
      </w:r>
      <w:r w:rsidR="003F58A6" w:rsidRPr="00D82C51">
        <w:rPr>
          <w:rFonts w:ascii="Times New Roman" w:hAnsi="Times New Roman" w:cs="Times New Roman"/>
        </w:rPr>
        <w:t xml:space="preserve"> a través de</w:t>
      </w:r>
      <w:r w:rsidR="00371167" w:rsidRPr="00D82C51">
        <w:rPr>
          <w:rFonts w:ascii="Times New Roman" w:hAnsi="Times New Roman" w:cs="Times New Roman"/>
        </w:rPr>
        <w:t xml:space="preserve"> la adhesión a </w:t>
      </w:r>
      <w:r w:rsidR="00842B1A" w:rsidRPr="00D82C51">
        <w:rPr>
          <w:rFonts w:ascii="Times New Roman" w:hAnsi="Times New Roman" w:cs="Times New Roman"/>
        </w:rPr>
        <w:t>estándares internacionales de comercio y prácticas de inversión.</w:t>
      </w:r>
    </w:p>
    <w:p w14:paraId="580C4A9F" w14:textId="20CF1B27" w:rsidR="008C6D86" w:rsidRPr="00D82C51" w:rsidRDefault="00B06D62" w:rsidP="00155715">
      <w:pPr>
        <w:pStyle w:val="NormalWeb"/>
        <w:jc w:val="both"/>
        <w:rPr>
          <w:lang w:val="es-ES"/>
        </w:rPr>
      </w:pPr>
      <w:r w:rsidRPr="00D82C51">
        <w:rPr>
          <w:lang w:val="es-ES"/>
        </w:rPr>
        <w:t xml:space="preserve">A partir de lo </w:t>
      </w:r>
      <w:r w:rsidR="00450701" w:rsidRPr="00D82C51">
        <w:rPr>
          <w:lang w:val="es-ES"/>
        </w:rPr>
        <w:t>anterior</w:t>
      </w:r>
      <w:r w:rsidRPr="00D82C51">
        <w:rPr>
          <w:lang w:val="es-ES"/>
        </w:rPr>
        <w:t xml:space="preserve">, la pregunta de investigación que este </w:t>
      </w:r>
      <w:r w:rsidR="001E225E" w:rsidRPr="00D82C51">
        <w:rPr>
          <w:lang w:val="es-ES"/>
        </w:rPr>
        <w:t>estudio</w:t>
      </w:r>
      <w:r w:rsidRPr="00D82C51">
        <w:rPr>
          <w:lang w:val="es-ES"/>
        </w:rPr>
        <w:t xml:space="preserve"> pretende responder es: ¿En </w:t>
      </w:r>
      <w:r w:rsidR="00953D5A" w:rsidRPr="00D82C51">
        <w:rPr>
          <w:lang w:val="es-ES"/>
        </w:rPr>
        <w:t>qué</w:t>
      </w:r>
      <w:r w:rsidRPr="00D82C51">
        <w:rPr>
          <w:lang w:val="es-ES"/>
        </w:rPr>
        <w:t>́ medida, los acuerdos de doble tributación del impuesto sobre la renta, han impactado los flujos entrantes de inversión extranjera directa (IED) desde el mundo hacia Colombia?</w:t>
      </w:r>
    </w:p>
    <w:p w14:paraId="52A759AC" w14:textId="5E1A98DB" w:rsidR="00CA21BF" w:rsidRPr="00D82C51" w:rsidRDefault="00CA21BF" w:rsidP="00155715">
      <w:pPr>
        <w:pStyle w:val="NormalWeb"/>
        <w:jc w:val="both"/>
        <w:rPr>
          <w:lang w:val="es-ES"/>
        </w:rPr>
      </w:pPr>
      <w:r w:rsidRPr="00D82C51">
        <w:rPr>
          <w:lang w:val="es-ES"/>
        </w:rPr>
        <w:t xml:space="preserve">Esta pregunta se contestará a partir de </w:t>
      </w:r>
      <w:r w:rsidR="0037305D" w:rsidRPr="00D82C51">
        <w:rPr>
          <w:lang w:val="es-ES"/>
        </w:rPr>
        <w:t>l</w:t>
      </w:r>
      <w:r w:rsidR="00BD4065" w:rsidRPr="00D82C51">
        <w:rPr>
          <w:lang w:val="es-ES"/>
        </w:rPr>
        <w:t xml:space="preserve">a siguiente aproximación: </w:t>
      </w:r>
      <w:r w:rsidR="00DD435F" w:rsidRPr="00D82C51">
        <w:rPr>
          <w:lang w:val="es-ES"/>
        </w:rPr>
        <w:t>Primero</w:t>
      </w:r>
      <w:r w:rsidR="00BD4065" w:rsidRPr="00D82C51">
        <w:rPr>
          <w:lang w:val="es-ES"/>
        </w:rPr>
        <w:t xml:space="preserve">, se </w:t>
      </w:r>
      <w:r w:rsidR="000C356F" w:rsidRPr="00D82C51">
        <w:rPr>
          <w:lang w:val="es-ES"/>
        </w:rPr>
        <w:t>brinda</w:t>
      </w:r>
      <w:r w:rsidR="00BD4065" w:rsidRPr="00D82C51">
        <w:rPr>
          <w:lang w:val="es-ES"/>
        </w:rPr>
        <w:t xml:space="preserve"> un contexto sobre qué son los Acuerdos de Doble Tributación y cuál es el aporte de política pública y debate que pretendemos realizar en el contexto de los </w:t>
      </w:r>
      <w:proofErr w:type="spellStart"/>
      <w:r w:rsidR="00BD4065" w:rsidRPr="00D82C51">
        <w:rPr>
          <w:lang w:val="es-ES"/>
        </w:rPr>
        <w:t>ADTs</w:t>
      </w:r>
      <w:proofErr w:type="spellEnd"/>
      <w:r w:rsidR="00BD4065" w:rsidRPr="00D82C51">
        <w:rPr>
          <w:lang w:val="es-ES"/>
        </w:rPr>
        <w:t xml:space="preserve"> para la atracción de inversión en Colombia. Luego, se realiza una revisión de literatura donde se analizan dos </w:t>
      </w:r>
      <w:proofErr w:type="spellStart"/>
      <w:r w:rsidR="00BD4065" w:rsidRPr="00D82C51">
        <w:rPr>
          <w:lang w:val="es-ES"/>
        </w:rPr>
        <w:t>papers</w:t>
      </w:r>
      <w:proofErr w:type="spellEnd"/>
      <w:r w:rsidR="00BD4065" w:rsidRPr="00D82C51">
        <w:rPr>
          <w:lang w:val="es-ES"/>
        </w:rPr>
        <w:t xml:space="preserve"> de donde se extraen ideas y debates para la estructuración de la metodología</w:t>
      </w:r>
      <w:r w:rsidR="00E65B08" w:rsidRPr="00D82C51">
        <w:rPr>
          <w:lang w:val="es-ES"/>
        </w:rPr>
        <w:t xml:space="preserve"> de inferencia causal</w:t>
      </w:r>
      <w:r w:rsidR="00B76FD7" w:rsidRPr="00D82C51">
        <w:rPr>
          <w:lang w:val="es-ES"/>
        </w:rPr>
        <w:t>. Posterio</w:t>
      </w:r>
      <w:r w:rsidR="004208F9" w:rsidRPr="00D82C51">
        <w:rPr>
          <w:lang w:val="es-ES"/>
        </w:rPr>
        <w:t xml:space="preserve">rmente, se esboza la metodología y la </w:t>
      </w:r>
      <w:r w:rsidR="00864E27" w:rsidRPr="00D82C51">
        <w:rPr>
          <w:lang w:val="es-ES"/>
        </w:rPr>
        <w:t xml:space="preserve">identificación funcional para los tres modelos: Modelo POLS, modelo de diferencias en diferencias (DID) y modelo de DID con </w:t>
      </w:r>
      <w:proofErr w:type="spellStart"/>
      <w:r w:rsidR="00864E27" w:rsidRPr="00D82C51">
        <w:rPr>
          <w:lang w:val="es-ES"/>
        </w:rPr>
        <w:t>Propensity</w:t>
      </w:r>
      <w:proofErr w:type="spellEnd"/>
      <w:r w:rsidR="00864E27" w:rsidRPr="00D82C51">
        <w:rPr>
          <w:lang w:val="es-ES"/>
        </w:rPr>
        <w:t xml:space="preserve"> Score </w:t>
      </w:r>
      <w:proofErr w:type="spellStart"/>
      <w:r w:rsidR="00864E27" w:rsidRPr="00D82C51">
        <w:rPr>
          <w:lang w:val="es-ES"/>
        </w:rPr>
        <w:t>Matching</w:t>
      </w:r>
      <w:proofErr w:type="spellEnd"/>
      <w:r w:rsidR="00864E27" w:rsidRPr="00D82C51">
        <w:rPr>
          <w:lang w:val="es-ES"/>
        </w:rPr>
        <w:t xml:space="preserve"> (PSM). Finalmente, se </w:t>
      </w:r>
      <w:r w:rsidR="00687506" w:rsidRPr="00D82C51">
        <w:rPr>
          <w:lang w:val="es-ES"/>
        </w:rPr>
        <w:t>enmarcan los resultados en una discusión</w:t>
      </w:r>
      <w:r w:rsidR="00D305F6" w:rsidRPr="00D82C51">
        <w:rPr>
          <w:lang w:val="es-ES"/>
        </w:rPr>
        <w:t xml:space="preserve"> de política pública </w:t>
      </w:r>
      <w:r w:rsidR="000A0890" w:rsidRPr="00D82C51">
        <w:rPr>
          <w:lang w:val="es-ES"/>
        </w:rPr>
        <w:t xml:space="preserve">sobre </w:t>
      </w:r>
      <w:r w:rsidR="00114D69" w:rsidRPr="00D82C51">
        <w:rPr>
          <w:lang w:val="es-ES"/>
        </w:rPr>
        <w:t xml:space="preserve">el impacto de los </w:t>
      </w:r>
      <w:proofErr w:type="spellStart"/>
      <w:r w:rsidR="00114D69" w:rsidRPr="00D82C51">
        <w:rPr>
          <w:lang w:val="es-ES"/>
        </w:rPr>
        <w:t>ADTs</w:t>
      </w:r>
      <w:proofErr w:type="spellEnd"/>
      <w:r w:rsidR="00114D69" w:rsidRPr="00D82C51">
        <w:rPr>
          <w:lang w:val="es-ES"/>
        </w:rPr>
        <w:t xml:space="preserve"> como herramientas de atracción de inversión </w:t>
      </w:r>
      <w:r w:rsidR="006D2B63" w:rsidRPr="00D82C51">
        <w:rPr>
          <w:lang w:val="es-ES"/>
        </w:rPr>
        <w:t>en el contexto de Colombia</w:t>
      </w:r>
      <w:r w:rsidR="00114D69" w:rsidRPr="00D82C51">
        <w:rPr>
          <w:lang w:val="es-ES"/>
        </w:rPr>
        <w:t xml:space="preserve"> y se presentan las conclusiones.</w:t>
      </w:r>
      <w:r w:rsidR="000A0890" w:rsidRPr="00D82C51">
        <w:rPr>
          <w:lang w:val="es-ES"/>
        </w:rPr>
        <w:t xml:space="preserve"> </w:t>
      </w:r>
    </w:p>
    <w:p w14:paraId="5A10A7DE" w14:textId="38136E0E" w:rsidR="006C3509" w:rsidRPr="00000A8A" w:rsidRDefault="00DD05A7" w:rsidP="00155715">
      <w:pPr>
        <w:pStyle w:val="Heading2"/>
        <w:jc w:val="both"/>
        <w:rPr>
          <w:szCs w:val="24"/>
          <w:lang w:val="es-ES"/>
        </w:rPr>
      </w:pPr>
      <w:r w:rsidRPr="00000A8A">
        <w:rPr>
          <w:szCs w:val="24"/>
          <w:lang w:val="es-ES"/>
        </w:rPr>
        <w:t>¿</w:t>
      </w:r>
      <w:r w:rsidR="00911884" w:rsidRPr="00000A8A">
        <w:rPr>
          <w:szCs w:val="24"/>
          <w:lang w:val="es-ES"/>
        </w:rPr>
        <w:t>Qué son los Acuerdos de Doble Tributación?</w:t>
      </w:r>
    </w:p>
    <w:p w14:paraId="7BE5D25E" w14:textId="306697F2" w:rsidR="00B45A0E" w:rsidRPr="00FB73EA" w:rsidRDefault="00B838F7" w:rsidP="00155715">
      <w:pPr>
        <w:pStyle w:val="BodyText"/>
        <w:spacing w:before="196"/>
        <w:ind w:right="114"/>
        <w:jc w:val="both"/>
        <w:rPr>
          <w:rFonts w:ascii="Times New Roman" w:hAnsi="Times New Roman" w:cs="Times New Roman"/>
        </w:rPr>
      </w:pPr>
      <w:r w:rsidRPr="00FB73EA">
        <w:rPr>
          <w:rFonts w:ascii="Times New Roman" w:hAnsi="Times New Roman" w:cs="Times New Roman"/>
        </w:rPr>
        <w:t xml:space="preserve">En el </w:t>
      </w:r>
      <w:r w:rsidR="00FA64ED" w:rsidRPr="00FB73EA">
        <w:rPr>
          <w:rFonts w:ascii="Times New Roman" w:hAnsi="Times New Roman" w:cs="Times New Roman"/>
        </w:rPr>
        <w:t>contexto</w:t>
      </w:r>
      <w:r w:rsidRPr="00FB73EA">
        <w:rPr>
          <w:rFonts w:ascii="Times New Roman" w:hAnsi="Times New Roman" w:cs="Times New Roman"/>
        </w:rPr>
        <w:t xml:space="preserve"> de</w:t>
      </w:r>
      <w:r w:rsidR="00D917E6" w:rsidRPr="00FB73EA">
        <w:rPr>
          <w:rFonts w:ascii="Times New Roman" w:hAnsi="Times New Roman" w:cs="Times New Roman"/>
        </w:rPr>
        <w:t xml:space="preserve"> la globalización</w:t>
      </w:r>
      <w:r w:rsidR="00DD05A7" w:rsidRPr="00FB73EA">
        <w:rPr>
          <w:rFonts w:ascii="Times New Roman" w:hAnsi="Times New Roman" w:cs="Times New Roman"/>
        </w:rPr>
        <w:t>, la liberalización del comercio y la</w:t>
      </w:r>
      <w:r w:rsidR="00FA64ED" w:rsidRPr="00FB73EA">
        <w:rPr>
          <w:rFonts w:ascii="Times New Roman" w:hAnsi="Times New Roman" w:cs="Times New Roman"/>
        </w:rPr>
        <w:t xml:space="preserve"> creciente</w:t>
      </w:r>
      <w:r w:rsidR="00DD05A7" w:rsidRPr="00FB73EA">
        <w:rPr>
          <w:rFonts w:ascii="Times New Roman" w:hAnsi="Times New Roman" w:cs="Times New Roman"/>
        </w:rPr>
        <w:t xml:space="preserve"> interdependencia</w:t>
      </w:r>
      <w:r w:rsidR="00923FE6" w:rsidRPr="00FB73EA">
        <w:rPr>
          <w:rFonts w:ascii="Times New Roman" w:hAnsi="Times New Roman" w:cs="Times New Roman"/>
        </w:rPr>
        <w:t xml:space="preserve"> económica entre</w:t>
      </w:r>
      <w:r w:rsidR="00DD05A7" w:rsidRPr="00FB73EA">
        <w:rPr>
          <w:rFonts w:ascii="Times New Roman" w:hAnsi="Times New Roman" w:cs="Times New Roman"/>
        </w:rPr>
        <w:t xml:space="preserve"> los países</w:t>
      </w:r>
      <w:r w:rsidR="00923FE6" w:rsidRPr="00FB73EA">
        <w:rPr>
          <w:rFonts w:ascii="Times New Roman" w:hAnsi="Times New Roman" w:cs="Times New Roman"/>
        </w:rPr>
        <w:t>, que se inició</w:t>
      </w:r>
      <w:r w:rsidR="00DD05A7" w:rsidRPr="00FB73EA">
        <w:rPr>
          <w:rFonts w:ascii="Times New Roman" w:hAnsi="Times New Roman" w:cs="Times New Roman"/>
        </w:rPr>
        <w:t xml:space="preserve"> en 1945 tras la creación de la Organización de las Naciones Unidas (ONU) y </w:t>
      </w:r>
      <w:r w:rsidR="00DE4FE8" w:rsidRPr="00FB73EA">
        <w:rPr>
          <w:rFonts w:ascii="Times New Roman" w:hAnsi="Times New Roman" w:cs="Times New Roman"/>
        </w:rPr>
        <w:t xml:space="preserve">que </w:t>
      </w:r>
      <w:r w:rsidR="007E388D" w:rsidRPr="00FB73EA">
        <w:rPr>
          <w:rFonts w:ascii="Times New Roman" w:hAnsi="Times New Roman" w:cs="Times New Roman"/>
        </w:rPr>
        <w:t xml:space="preserve">se </w:t>
      </w:r>
      <w:r w:rsidR="00DD05A7" w:rsidRPr="00FB73EA">
        <w:rPr>
          <w:rFonts w:ascii="Times New Roman" w:hAnsi="Times New Roman" w:cs="Times New Roman"/>
        </w:rPr>
        <w:t>a</w:t>
      </w:r>
      <w:r w:rsidR="00406B0F" w:rsidRPr="00FB73EA">
        <w:rPr>
          <w:rFonts w:ascii="Times New Roman" w:hAnsi="Times New Roman" w:cs="Times New Roman"/>
        </w:rPr>
        <w:t>celer</w:t>
      </w:r>
      <w:r w:rsidR="007E388D" w:rsidRPr="00FB73EA">
        <w:rPr>
          <w:rFonts w:ascii="Times New Roman" w:hAnsi="Times New Roman" w:cs="Times New Roman"/>
        </w:rPr>
        <w:t>ó</w:t>
      </w:r>
      <w:r w:rsidR="00406B0F" w:rsidRPr="00FB73EA">
        <w:rPr>
          <w:rFonts w:ascii="Times New Roman" w:hAnsi="Times New Roman" w:cs="Times New Roman"/>
        </w:rPr>
        <w:t xml:space="preserve"> en los 90s con la evolución del GATT a la Organización Mundial del Comercio (OMC),</w:t>
      </w:r>
      <w:r w:rsidR="00B45A0E" w:rsidRPr="00FB73EA">
        <w:rPr>
          <w:rFonts w:ascii="Times New Roman" w:hAnsi="Times New Roman" w:cs="Times New Roman"/>
        </w:rPr>
        <w:t xml:space="preserve"> los convenios de doble tributación que suscribe un Estado son </w:t>
      </w:r>
      <w:r w:rsidR="00893F18" w:rsidRPr="00FB73EA">
        <w:rPr>
          <w:rFonts w:ascii="Times New Roman" w:hAnsi="Times New Roman" w:cs="Times New Roman"/>
        </w:rPr>
        <w:t>especialmente atractivos</w:t>
      </w:r>
      <w:r w:rsidR="00915729" w:rsidRPr="00FB73EA">
        <w:rPr>
          <w:rFonts w:ascii="Times New Roman" w:hAnsi="Times New Roman" w:cs="Times New Roman"/>
        </w:rPr>
        <w:t>. Esto,</w:t>
      </w:r>
      <w:r w:rsidR="00B45A0E" w:rsidRPr="00FB73EA">
        <w:rPr>
          <w:rFonts w:ascii="Times New Roman" w:hAnsi="Times New Roman" w:cs="Times New Roman"/>
        </w:rPr>
        <w:t xml:space="preserve"> en la medida que busca</w:t>
      </w:r>
      <w:r w:rsidR="00915729" w:rsidRPr="00FB73EA">
        <w:rPr>
          <w:rFonts w:ascii="Times New Roman" w:hAnsi="Times New Roman" w:cs="Times New Roman"/>
        </w:rPr>
        <w:t>n</w:t>
      </w:r>
      <w:r w:rsidR="00B45A0E" w:rsidRPr="00FB73EA">
        <w:rPr>
          <w:rFonts w:ascii="Times New Roman" w:hAnsi="Times New Roman" w:cs="Times New Roman"/>
        </w:rPr>
        <w:t xml:space="preserve"> </w:t>
      </w:r>
      <w:r w:rsidR="00E8331D" w:rsidRPr="00FB73EA">
        <w:rPr>
          <w:rFonts w:ascii="Times New Roman" w:hAnsi="Times New Roman" w:cs="Times New Roman"/>
        </w:rPr>
        <w:t>evitar</w:t>
      </w:r>
      <w:r w:rsidR="00B45A0E" w:rsidRPr="00FB73EA">
        <w:rPr>
          <w:rFonts w:ascii="Times New Roman" w:hAnsi="Times New Roman" w:cs="Times New Roman"/>
        </w:rPr>
        <w:t xml:space="preserve"> </w:t>
      </w:r>
      <w:r w:rsidR="00D27A38" w:rsidRPr="00FB73EA">
        <w:rPr>
          <w:rFonts w:ascii="Times New Roman" w:hAnsi="Times New Roman" w:cs="Times New Roman"/>
        </w:rPr>
        <w:t xml:space="preserve">de manera directa la </w:t>
      </w:r>
      <w:r w:rsidR="00B45A0E" w:rsidRPr="00FB73EA">
        <w:rPr>
          <w:rFonts w:ascii="Times New Roman" w:hAnsi="Times New Roman" w:cs="Times New Roman"/>
        </w:rPr>
        <w:t>doble tributación a través de diferentes métodos, a saber</w:t>
      </w:r>
      <w:r w:rsidR="00B45A0E" w:rsidRPr="00FB73EA">
        <w:rPr>
          <w:rStyle w:val="FootnoteReference"/>
          <w:rFonts w:ascii="Times New Roman" w:hAnsi="Times New Roman" w:cs="Times New Roman"/>
        </w:rPr>
        <w:footnoteReference w:id="3"/>
      </w:r>
      <w:r w:rsidR="00B45A0E" w:rsidRPr="00FB73EA">
        <w:rPr>
          <w:rFonts w:ascii="Times New Roman" w:hAnsi="Times New Roman" w:cs="Times New Roman"/>
        </w:rPr>
        <w:t>:</w:t>
      </w:r>
    </w:p>
    <w:p w14:paraId="3AC44946" w14:textId="44AA0CAE" w:rsidR="00B45A0E" w:rsidRPr="006808CC" w:rsidRDefault="00B45A0E" w:rsidP="00155715">
      <w:pPr>
        <w:pStyle w:val="BodyText"/>
        <w:numPr>
          <w:ilvl w:val="0"/>
          <w:numId w:val="2"/>
        </w:numPr>
        <w:spacing w:before="196"/>
        <w:ind w:right="114"/>
        <w:jc w:val="both"/>
        <w:rPr>
          <w:rFonts w:ascii="Times New Roman" w:hAnsi="Times New Roman" w:cs="Times New Roman"/>
          <w:lang w:val="es-CO"/>
        </w:rPr>
      </w:pPr>
      <w:r w:rsidRPr="006808CC">
        <w:rPr>
          <w:rFonts w:ascii="Times New Roman" w:hAnsi="Times New Roman" w:cs="Times New Roman"/>
          <w:b/>
          <w:bCs/>
          <w:lang w:val="es-CO"/>
        </w:rPr>
        <w:t xml:space="preserve">Exención: </w:t>
      </w:r>
      <w:r w:rsidRPr="006808CC">
        <w:rPr>
          <w:rFonts w:ascii="Times New Roman" w:hAnsi="Times New Roman" w:cs="Times New Roman"/>
          <w:lang w:val="es-CO"/>
        </w:rPr>
        <w:t xml:space="preserve"> Un país </w:t>
      </w:r>
      <w:r w:rsidR="0026416E" w:rsidRPr="006808CC">
        <w:rPr>
          <w:rFonts w:ascii="Times New Roman" w:hAnsi="Times New Roman" w:cs="Times New Roman"/>
          <w:lang w:val="es-CO"/>
        </w:rPr>
        <w:t xml:space="preserve">que es </w:t>
      </w:r>
      <w:r w:rsidRPr="006808CC">
        <w:rPr>
          <w:rFonts w:ascii="Times New Roman" w:hAnsi="Times New Roman" w:cs="Times New Roman"/>
          <w:lang w:val="es-CO"/>
        </w:rPr>
        <w:t xml:space="preserve">parte del acuerdo, renuncia al derecho de gravar ciertos </w:t>
      </w:r>
      <w:r w:rsidRPr="006808CC">
        <w:rPr>
          <w:rFonts w:ascii="Times New Roman" w:hAnsi="Times New Roman" w:cs="Times New Roman"/>
          <w:lang w:val="es-CO"/>
        </w:rPr>
        <w:lastRenderedPageBreak/>
        <w:t>ingresos que ya han sido gravados en otro país. Por ejemplo, si un país aplica el método de exención a los dividendos, los dividendos recibidos por un residente fiscal en el extranjero no estarán sujetos a impuestos en el país de residencia.</w:t>
      </w:r>
    </w:p>
    <w:p w14:paraId="173BD647" w14:textId="702713F8" w:rsidR="00B45A0E" w:rsidRPr="006808CC" w:rsidRDefault="00B45A0E" w:rsidP="00155715">
      <w:pPr>
        <w:pStyle w:val="BodyText"/>
        <w:numPr>
          <w:ilvl w:val="0"/>
          <w:numId w:val="2"/>
        </w:numPr>
        <w:spacing w:before="196"/>
        <w:ind w:right="114"/>
        <w:jc w:val="both"/>
        <w:rPr>
          <w:rFonts w:ascii="Times New Roman" w:hAnsi="Times New Roman" w:cs="Times New Roman"/>
          <w:lang w:val="es-CO"/>
        </w:rPr>
      </w:pPr>
      <w:r w:rsidRPr="006808CC">
        <w:rPr>
          <w:rFonts w:ascii="Times New Roman" w:hAnsi="Times New Roman" w:cs="Times New Roman"/>
          <w:b/>
          <w:bCs/>
          <w:lang w:val="es-CO"/>
        </w:rPr>
        <w:t>Deducción:</w:t>
      </w:r>
      <w:r w:rsidRPr="006808CC">
        <w:rPr>
          <w:rFonts w:ascii="Times New Roman" w:hAnsi="Times New Roman" w:cs="Times New Roman"/>
          <w:lang w:val="es-CO"/>
        </w:rPr>
        <w:t xml:space="preserve"> Mediante el método de deducción, un país permite que los contribuyentes deduzcan el impuesto pagado en el extranjero de su impuesto nacional. Por ejemplo, si un contribuyente paga impuestos en el extranjero, puede deducir ese impuesto del impuesto adeudado en su país de residencia.</w:t>
      </w:r>
    </w:p>
    <w:p w14:paraId="7FED58CB" w14:textId="3DF7B737" w:rsidR="00B45A0E" w:rsidRPr="006808CC" w:rsidRDefault="00B45A0E" w:rsidP="00D82C51">
      <w:pPr>
        <w:pStyle w:val="BodyText"/>
        <w:numPr>
          <w:ilvl w:val="0"/>
          <w:numId w:val="2"/>
        </w:numPr>
        <w:spacing w:before="196"/>
        <w:ind w:right="114"/>
        <w:jc w:val="both"/>
        <w:rPr>
          <w:rFonts w:ascii="Times New Roman" w:hAnsi="Times New Roman" w:cs="Times New Roman"/>
          <w:lang w:val="es-CO"/>
        </w:rPr>
      </w:pPr>
      <w:r w:rsidRPr="006808CC">
        <w:rPr>
          <w:rFonts w:ascii="Times New Roman" w:hAnsi="Times New Roman" w:cs="Times New Roman"/>
          <w:b/>
          <w:bCs/>
          <w:lang w:val="es-CO"/>
        </w:rPr>
        <w:t>Crédito fiscal:</w:t>
      </w:r>
      <w:r w:rsidRPr="006808CC">
        <w:rPr>
          <w:rFonts w:ascii="Times New Roman" w:hAnsi="Times New Roman" w:cs="Times New Roman"/>
          <w:lang w:val="es-CO"/>
        </w:rPr>
        <w:t xml:space="preserve"> El método del crédito fiscal permite a los contribuyentes compensar el impuesto pagado en el extranjero con su impuesto nacional. Si un contribuyente paga impuestos sobre dividendos en el extranjero, puede utilizar ese impuesto como crédito para reducir su impuesto nacional. Si el impuesto pagado en el extranjero es mayor que el impuesto nacional adeudado, el inversionista tiene la posibilidad de solicitar un reembolso o un crédito a favor para futuros pagos de impuestos.</w:t>
      </w:r>
    </w:p>
    <w:p w14:paraId="4F7460CD" w14:textId="0B6EB27A" w:rsidR="00B45A0E" w:rsidRPr="006808CC" w:rsidRDefault="00B45A0E" w:rsidP="00155715">
      <w:pPr>
        <w:pStyle w:val="BodyText"/>
        <w:spacing w:before="196"/>
        <w:ind w:right="114"/>
        <w:jc w:val="both"/>
        <w:rPr>
          <w:rFonts w:ascii="Times New Roman" w:hAnsi="Times New Roman" w:cs="Times New Roman"/>
        </w:rPr>
      </w:pPr>
      <w:r w:rsidRPr="006808CC">
        <w:rPr>
          <w:rFonts w:ascii="Times New Roman" w:hAnsi="Times New Roman" w:cs="Times New Roman"/>
        </w:rPr>
        <w:t>Adicionalmente, a continuación</w:t>
      </w:r>
      <w:r w:rsidR="00CD0151" w:rsidRPr="006808CC">
        <w:rPr>
          <w:rFonts w:ascii="Times New Roman" w:hAnsi="Times New Roman" w:cs="Times New Roman"/>
        </w:rPr>
        <w:t>, se describen</w:t>
      </w:r>
      <w:r w:rsidRPr="006808CC">
        <w:rPr>
          <w:rFonts w:ascii="Times New Roman" w:hAnsi="Times New Roman" w:cs="Times New Roman"/>
        </w:rPr>
        <w:t xml:space="preserve"> algunos elementos básicos que tienen la gran mayoría de </w:t>
      </w:r>
      <w:proofErr w:type="spellStart"/>
      <w:r w:rsidRPr="006808CC">
        <w:rPr>
          <w:rFonts w:ascii="Times New Roman" w:hAnsi="Times New Roman" w:cs="Times New Roman"/>
        </w:rPr>
        <w:t>ADTs</w:t>
      </w:r>
      <w:proofErr w:type="spellEnd"/>
      <w:r w:rsidRPr="006808CC">
        <w:rPr>
          <w:rFonts w:ascii="Times New Roman" w:hAnsi="Times New Roman" w:cs="Times New Roman"/>
        </w:rPr>
        <w:t xml:space="preserve"> a nivel mundial</w:t>
      </w:r>
      <w:r w:rsidRPr="006808CC">
        <w:rPr>
          <w:rStyle w:val="FootnoteReference"/>
          <w:rFonts w:ascii="Times New Roman" w:hAnsi="Times New Roman" w:cs="Times New Roman"/>
        </w:rPr>
        <w:footnoteReference w:id="4"/>
      </w:r>
    </w:p>
    <w:p w14:paraId="3EB27875" w14:textId="1DD8B74C" w:rsidR="00B45A0E" w:rsidRPr="006808CC" w:rsidRDefault="00B45A0E" w:rsidP="00155715">
      <w:pPr>
        <w:pStyle w:val="BodyText"/>
        <w:numPr>
          <w:ilvl w:val="0"/>
          <w:numId w:val="1"/>
        </w:numPr>
        <w:spacing w:before="196"/>
        <w:ind w:right="114"/>
        <w:jc w:val="both"/>
        <w:rPr>
          <w:rFonts w:ascii="Times New Roman" w:hAnsi="Times New Roman" w:cs="Times New Roman"/>
          <w:lang w:val="es-CO"/>
        </w:rPr>
      </w:pPr>
      <w:r w:rsidRPr="006808CC">
        <w:rPr>
          <w:rFonts w:ascii="Times New Roman" w:hAnsi="Times New Roman" w:cs="Times New Roman"/>
          <w:b/>
          <w:bCs/>
          <w:lang w:val="es-CO"/>
        </w:rPr>
        <w:t>Residencia fiscal:</w:t>
      </w:r>
      <w:r w:rsidRPr="006808CC">
        <w:rPr>
          <w:rFonts w:ascii="Times New Roman" w:hAnsi="Times New Roman" w:cs="Times New Roman"/>
          <w:lang w:val="es-CO"/>
        </w:rPr>
        <w:t xml:space="preserve"> La residencia fiscal es</w:t>
      </w:r>
      <w:r w:rsidR="000E7ABC" w:rsidRPr="006808CC">
        <w:rPr>
          <w:rFonts w:ascii="Times New Roman" w:hAnsi="Times New Roman" w:cs="Times New Roman"/>
          <w:lang w:val="es-CO"/>
        </w:rPr>
        <w:t xml:space="preserve"> </w:t>
      </w:r>
      <w:r w:rsidRPr="006808CC">
        <w:rPr>
          <w:rFonts w:ascii="Times New Roman" w:hAnsi="Times New Roman" w:cs="Times New Roman"/>
          <w:lang w:val="es-CO"/>
        </w:rPr>
        <w:t xml:space="preserve">un concepto utilizado en la legislación tributaria internacional para definir en que jurisdicción una persona o empresa es considerada contribuyente y es sujeto gravable. En ese sentido, </w:t>
      </w:r>
      <w:r w:rsidR="00C44C37" w:rsidRPr="006808CC">
        <w:rPr>
          <w:rFonts w:ascii="Times New Roman" w:hAnsi="Times New Roman" w:cs="Times New Roman"/>
          <w:lang w:val="es-CO"/>
        </w:rPr>
        <w:t xml:space="preserve"> </w:t>
      </w:r>
      <w:r w:rsidRPr="006808CC">
        <w:rPr>
          <w:rFonts w:ascii="Times New Roman" w:hAnsi="Times New Roman" w:cs="Times New Roman"/>
          <w:lang w:val="es-CO"/>
        </w:rPr>
        <w:t xml:space="preserve">los </w:t>
      </w:r>
      <w:proofErr w:type="spellStart"/>
      <w:r w:rsidRPr="006808CC">
        <w:rPr>
          <w:rFonts w:ascii="Times New Roman" w:hAnsi="Times New Roman" w:cs="Times New Roman"/>
          <w:lang w:val="es-CO"/>
        </w:rPr>
        <w:t>ADTs</w:t>
      </w:r>
      <w:proofErr w:type="spellEnd"/>
      <w:r w:rsidRPr="006808CC">
        <w:rPr>
          <w:rFonts w:ascii="Times New Roman" w:hAnsi="Times New Roman" w:cs="Times New Roman"/>
          <w:lang w:val="es-CO"/>
        </w:rPr>
        <w:t xml:space="preserve"> definen cómo se determina la residencia fiscal de una persona o empresa. </w:t>
      </w:r>
    </w:p>
    <w:p w14:paraId="5FC3EE21" w14:textId="0F6FE31A" w:rsidR="00B45A0E" w:rsidRPr="006808CC" w:rsidRDefault="00B45A0E" w:rsidP="00155715">
      <w:pPr>
        <w:pStyle w:val="BodyText"/>
        <w:numPr>
          <w:ilvl w:val="0"/>
          <w:numId w:val="1"/>
        </w:numPr>
        <w:spacing w:before="196"/>
        <w:ind w:right="114"/>
        <w:jc w:val="both"/>
        <w:rPr>
          <w:rFonts w:ascii="Times New Roman" w:hAnsi="Times New Roman" w:cs="Times New Roman"/>
          <w:lang w:val="es-CO"/>
        </w:rPr>
      </w:pPr>
      <w:r w:rsidRPr="006808CC">
        <w:rPr>
          <w:rFonts w:ascii="Times New Roman" w:hAnsi="Times New Roman" w:cs="Times New Roman"/>
          <w:b/>
          <w:bCs/>
          <w:lang w:val="es-CO"/>
        </w:rPr>
        <w:t xml:space="preserve">Determinación de </w:t>
      </w:r>
      <w:r w:rsidR="00913E1E" w:rsidRPr="006808CC">
        <w:rPr>
          <w:rFonts w:ascii="Times New Roman" w:hAnsi="Times New Roman" w:cs="Times New Roman"/>
          <w:b/>
          <w:bCs/>
          <w:lang w:val="es-CO"/>
        </w:rPr>
        <w:t>los</w:t>
      </w:r>
      <w:r w:rsidRPr="006808CC">
        <w:rPr>
          <w:rFonts w:ascii="Times New Roman" w:hAnsi="Times New Roman" w:cs="Times New Roman"/>
          <w:b/>
          <w:bCs/>
          <w:lang w:val="es-CO"/>
        </w:rPr>
        <w:t xml:space="preserve"> impuestos sujetos al acuerdo:</w:t>
      </w:r>
      <w:r w:rsidRPr="006808CC">
        <w:rPr>
          <w:rFonts w:ascii="Times New Roman" w:hAnsi="Times New Roman" w:cs="Times New Roman"/>
          <w:lang w:val="es-CO"/>
        </w:rPr>
        <w:t xml:space="preserve"> Los ADTs establecen reglas claras sobre los impuestos que se consideran sujetos al acuerdo entre ambos países. </w:t>
      </w:r>
    </w:p>
    <w:p w14:paraId="7A9348B8" w14:textId="5C594C05" w:rsidR="00B45A0E" w:rsidRPr="006808CC" w:rsidRDefault="00B45A0E" w:rsidP="00155715">
      <w:pPr>
        <w:pStyle w:val="BodyText"/>
        <w:numPr>
          <w:ilvl w:val="0"/>
          <w:numId w:val="1"/>
        </w:numPr>
        <w:spacing w:before="196"/>
        <w:ind w:right="114"/>
        <w:jc w:val="both"/>
        <w:rPr>
          <w:rFonts w:ascii="Times New Roman" w:hAnsi="Times New Roman" w:cs="Times New Roman"/>
          <w:lang w:val="es-CO"/>
        </w:rPr>
      </w:pPr>
      <w:r w:rsidRPr="006808CC">
        <w:rPr>
          <w:rFonts w:ascii="Times New Roman" w:hAnsi="Times New Roman" w:cs="Times New Roman"/>
          <w:b/>
          <w:bCs/>
          <w:lang w:val="es-CO"/>
        </w:rPr>
        <w:t>Mecanismos para la eliminación de la doble imposición</w:t>
      </w:r>
      <w:r w:rsidRPr="006808CC">
        <w:rPr>
          <w:rFonts w:ascii="Times New Roman" w:hAnsi="Times New Roman" w:cs="Times New Roman"/>
          <w:lang w:val="es-CO"/>
        </w:rPr>
        <w:t xml:space="preserve">: Exención, deducción o crédito fiscal como se </w:t>
      </w:r>
      <w:r w:rsidR="00C44C37" w:rsidRPr="006808CC">
        <w:rPr>
          <w:rFonts w:ascii="Times New Roman" w:hAnsi="Times New Roman" w:cs="Times New Roman"/>
          <w:lang w:val="es-CO"/>
        </w:rPr>
        <w:t>mencionó</w:t>
      </w:r>
      <w:r w:rsidRPr="006808CC">
        <w:rPr>
          <w:rFonts w:ascii="Times New Roman" w:hAnsi="Times New Roman" w:cs="Times New Roman"/>
          <w:lang w:val="es-CO"/>
        </w:rPr>
        <w:t xml:space="preserve"> anteriormente</w:t>
      </w:r>
      <w:r w:rsidR="00C44C37" w:rsidRPr="006808CC">
        <w:rPr>
          <w:rFonts w:ascii="Times New Roman" w:hAnsi="Times New Roman" w:cs="Times New Roman"/>
          <w:lang w:val="es-CO"/>
        </w:rPr>
        <w:t>.</w:t>
      </w:r>
    </w:p>
    <w:p w14:paraId="7F59A7C9" w14:textId="77777777" w:rsidR="00B45A0E" w:rsidRPr="006808CC" w:rsidRDefault="00B45A0E" w:rsidP="00155715">
      <w:pPr>
        <w:pStyle w:val="BodyText"/>
        <w:numPr>
          <w:ilvl w:val="0"/>
          <w:numId w:val="1"/>
        </w:numPr>
        <w:spacing w:before="196"/>
        <w:ind w:right="114"/>
        <w:jc w:val="both"/>
        <w:rPr>
          <w:rFonts w:ascii="Times New Roman" w:hAnsi="Times New Roman" w:cs="Times New Roman"/>
          <w:lang w:val="es-CO"/>
        </w:rPr>
      </w:pPr>
      <w:r w:rsidRPr="006808CC">
        <w:rPr>
          <w:rFonts w:ascii="Times New Roman" w:hAnsi="Times New Roman" w:cs="Times New Roman"/>
          <w:b/>
          <w:bCs/>
          <w:lang w:val="es-CO"/>
        </w:rPr>
        <w:t>Resolución de disputas</w:t>
      </w:r>
      <w:r w:rsidRPr="006808CC">
        <w:rPr>
          <w:rFonts w:ascii="Times New Roman" w:hAnsi="Times New Roman" w:cs="Times New Roman"/>
          <w:lang w:val="es-CO"/>
        </w:rPr>
        <w:t>: Los ADT también incluyen mecanismos para resolver las disputas que puedan surgir entre los países en cuanto a la interpretación o aplicación del acuerdo. Estos mecanismos suelen incluir procedimientos de negociación y, en algunos casos, la posibilidad de recurrir a arbitraje internacional para resolver las disputas.</w:t>
      </w:r>
    </w:p>
    <w:p w14:paraId="1D62D598" w14:textId="71A6BEC6" w:rsidR="00486B33" w:rsidRDefault="00915729" w:rsidP="00155715">
      <w:pPr>
        <w:pStyle w:val="BodyText"/>
        <w:spacing w:before="196"/>
        <w:ind w:right="114"/>
        <w:jc w:val="both"/>
        <w:rPr>
          <w:rFonts w:ascii="Times New Roman" w:hAnsi="Times New Roman" w:cs="Times New Roman"/>
          <w:lang w:val="es-CO"/>
        </w:rPr>
      </w:pPr>
      <w:r w:rsidRPr="006808CC">
        <w:rPr>
          <w:rFonts w:ascii="Times New Roman" w:hAnsi="Times New Roman" w:cs="Times New Roman"/>
          <w:lang w:val="es-CO"/>
        </w:rPr>
        <w:t>Concerniente a su evolución</w:t>
      </w:r>
      <w:r w:rsidR="005D42C1">
        <w:rPr>
          <w:rFonts w:ascii="Times New Roman" w:hAnsi="Times New Roman" w:cs="Times New Roman"/>
          <w:lang w:val="es-CO"/>
        </w:rPr>
        <w:t>, los</w:t>
      </w:r>
      <w:r w:rsidR="008D6F5B" w:rsidRPr="006808CC">
        <w:rPr>
          <w:rFonts w:ascii="Times New Roman" w:hAnsi="Times New Roman" w:cs="Times New Roman"/>
          <w:lang w:val="es-CO"/>
        </w:rPr>
        <w:t xml:space="preserve"> Acuerdos de Doble Tributación ha</w:t>
      </w:r>
      <w:r w:rsidR="00C32850" w:rsidRPr="006808CC">
        <w:rPr>
          <w:rFonts w:ascii="Times New Roman" w:hAnsi="Times New Roman" w:cs="Times New Roman"/>
          <w:lang w:val="es-CO"/>
        </w:rPr>
        <w:t xml:space="preserve">n ganado vigencia </w:t>
      </w:r>
      <w:r w:rsidR="00AF0006" w:rsidRPr="006808CC">
        <w:rPr>
          <w:rFonts w:ascii="Times New Roman" w:hAnsi="Times New Roman" w:cs="Times New Roman"/>
          <w:lang w:val="es-CO"/>
        </w:rPr>
        <w:t>a lo largo de su historia. Esto, considerando el aumento que ha tenido el número de acuerdos desde 19</w:t>
      </w:r>
      <w:r w:rsidR="00431606" w:rsidRPr="006808CC">
        <w:rPr>
          <w:rFonts w:ascii="Times New Roman" w:hAnsi="Times New Roman" w:cs="Times New Roman"/>
          <w:lang w:val="es-CO"/>
        </w:rPr>
        <w:t>51 en donde Reino Unido suscribió el primer ADT en la historia con Myanmar, hasta el presente</w:t>
      </w:r>
      <w:r w:rsidR="007C1576" w:rsidRPr="006808CC">
        <w:rPr>
          <w:rFonts w:ascii="Times New Roman" w:hAnsi="Times New Roman" w:cs="Times New Roman"/>
          <w:lang w:val="es-CO"/>
        </w:rPr>
        <w:t xml:space="preserve">, 2023. </w:t>
      </w:r>
    </w:p>
    <w:p w14:paraId="3DD6DD54" w14:textId="2FACEDD3" w:rsidR="00C109E2" w:rsidRPr="00C109E2" w:rsidRDefault="00C109E2" w:rsidP="00C109E2">
      <w:pPr>
        <w:pStyle w:val="BodyText"/>
        <w:spacing w:before="196"/>
        <w:ind w:right="114"/>
        <w:jc w:val="both"/>
        <w:rPr>
          <w:rFonts w:ascii="Times New Roman" w:hAnsi="Times New Roman" w:cs="Times New Roman"/>
          <w:lang w:val="es-CO"/>
        </w:rPr>
      </w:pPr>
      <w:r w:rsidRPr="00C109E2">
        <w:rPr>
          <w:rFonts w:ascii="Times New Roman" w:hAnsi="Times New Roman" w:cs="Times New Roman"/>
          <w:lang w:val="es-CO"/>
        </w:rPr>
        <w:t>Nótese como en la evaluación de periodos decenales</w:t>
      </w:r>
      <w:r>
        <w:rPr>
          <w:rFonts w:ascii="Times New Roman" w:hAnsi="Times New Roman" w:cs="Times New Roman"/>
          <w:lang w:val="es-CO"/>
        </w:rPr>
        <w:t xml:space="preserve"> </w:t>
      </w:r>
      <w:r w:rsidR="00714D0B">
        <w:rPr>
          <w:rFonts w:ascii="Times New Roman" w:hAnsi="Times New Roman" w:cs="Times New Roman"/>
          <w:lang w:val="es-CO"/>
        </w:rPr>
        <w:t>presentados en la Gráfica 1</w:t>
      </w:r>
      <w:r w:rsidRPr="00C109E2">
        <w:rPr>
          <w:rFonts w:ascii="Times New Roman" w:hAnsi="Times New Roman" w:cs="Times New Roman"/>
          <w:lang w:val="es-CO"/>
        </w:rPr>
        <w:t xml:space="preserve">, el crecimiento promedio del número de </w:t>
      </w:r>
      <w:proofErr w:type="spellStart"/>
      <w:r w:rsidRPr="00C109E2">
        <w:rPr>
          <w:rFonts w:ascii="Times New Roman" w:hAnsi="Times New Roman" w:cs="Times New Roman"/>
          <w:lang w:val="es-CO"/>
        </w:rPr>
        <w:t>ADTs</w:t>
      </w:r>
      <w:proofErr w:type="spellEnd"/>
      <w:r w:rsidRPr="00C109E2">
        <w:rPr>
          <w:rFonts w:ascii="Times New Roman" w:hAnsi="Times New Roman" w:cs="Times New Roman"/>
          <w:lang w:val="es-CO"/>
        </w:rPr>
        <w:t xml:space="preserve"> suscritos es de 157%. Finalmente, a 2023, existen 1897 acuerdos de doble tributación ya que no se han suscrito nuevos acuerdos entre 2021 y 2023. </w:t>
      </w:r>
    </w:p>
    <w:p w14:paraId="7961F3E7" w14:textId="77777777" w:rsidR="00C109E2" w:rsidRPr="006808CC" w:rsidRDefault="00C109E2" w:rsidP="00155715">
      <w:pPr>
        <w:pStyle w:val="BodyText"/>
        <w:spacing w:before="196"/>
        <w:ind w:right="114"/>
        <w:jc w:val="both"/>
        <w:rPr>
          <w:rFonts w:ascii="Times New Roman" w:hAnsi="Times New Roman" w:cs="Times New Roman"/>
          <w:lang w:val="es-CO"/>
        </w:rPr>
      </w:pPr>
    </w:p>
    <w:p w14:paraId="6EC352E6" w14:textId="77777777" w:rsidR="00E775BD" w:rsidRDefault="00F80070" w:rsidP="00E775BD">
      <w:pPr>
        <w:pStyle w:val="BodyText"/>
        <w:keepNext/>
        <w:spacing w:before="196"/>
        <w:ind w:right="114"/>
        <w:jc w:val="center"/>
      </w:pPr>
      <w:r w:rsidRPr="005513D8">
        <w:rPr>
          <w:rFonts w:ascii="Garamond" w:hAnsi="Garamond"/>
          <w:noProof/>
        </w:rPr>
        <w:lastRenderedPageBreak/>
        <w:drawing>
          <wp:inline distT="0" distB="0" distL="0" distR="0" wp14:anchorId="18103628" wp14:editId="6568EDAB">
            <wp:extent cx="5433060" cy="2046157"/>
            <wp:effectExtent l="0" t="0" r="15240" b="11430"/>
            <wp:docPr id="171622177" name="Gráfico 1">
              <a:extLst xmlns:a="http://schemas.openxmlformats.org/drawingml/2006/main">
                <a:ext uri="{FF2B5EF4-FFF2-40B4-BE49-F238E27FC236}">
                  <a16:creationId xmlns:a16="http://schemas.microsoft.com/office/drawing/2014/main" id="{DBABB0D4-AA83-CB94-8D94-8AAE57A965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E51A233" w14:textId="21B451C8" w:rsidR="00714D0B" w:rsidRDefault="00E775BD" w:rsidP="00714D0B">
      <w:pPr>
        <w:pStyle w:val="Caption"/>
        <w:jc w:val="center"/>
        <w:rPr>
          <w:rFonts w:ascii="Garamond" w:hAnsi="Garamond"/>
          <w:color w:val="262626" w:themeColor="text1" w:themeTint="D9"/>
          <w:sz w:val="22"/>
          <w:szCs w:val="22"/>
          <w:lang w:val="es-ES"/>
        </w:rPr>
      </w:pPr>
      <w:r w:rsidRPr="00714D0B">
        <w:rPr>
          <w:rFonts w:ascii="Garamond" w:hAnsi="Garamond"/>
          <w:color w:val="262626" w:themeColor="text1" w:themeTint="D9"/>
          <w:sz w:val="22"/>
          <w:szCs w:val="22"/>
          <w:lang w:val="es-ES"/>
        </w:rPr>
        <w:t xml:space="preserve">Gráfica </w:t>
      </w:r>
      <w:r w:rsidRPr="00714D0B">
        <w:rPr>
          <w:rFonts w:ascii="Garamond" w:hAnsi="Garamond"/>
          <w:color w:val="262626" w:themeColor="text1" w:themeTint="D9"/>
          <w:sz w:val="22"/>
          <w:szCs w:val="22"/>
        </w:rPr>
        <w:fldChar w:fldCharType="begin"/>
      </w:r>
      <w:r w:rsidRPr="00714D0B">
        <w:rPr>
          <w:rFonts w:ascii="Garamond" w:hAnsi="Garamond"/>
          <w:color w:val="262626" w:themeColor="text1" w:themeTint="D9"/>
          <w:sz w:val="22"/>
          <w:szCs w:val="22"/>
          <w:lang w:val="es-ES"/>
        </w:rPr>
        <w:instrText xml:space="preserve"> SEQ Gráfica \* ARABIC </w:instrText>
      </w:r>
      <w:r w:rsidRPr="00714D0B">
        <w:rPr>
          <w:rFonts w:ascii="Garamond" w:hAnsi="Garamond"/>
          <w:color w:val="262626" w:themeColor="text1" w:themeTint="D9"/>
          <w:sz w:val="22"/>
          <w:szCs w:val="22"/>
        </w:rPr>
        <w:fldChar w:fldCharType="separate"/>
      </w:r>
      <w:r w:rsidR="00470EC2">
        <w:rPr>
          <w:rFonts w:ascii="Garamond" w:hAnsi="Garamond"/>
          <w:noProof/>
          <w:color w:val="262626" w:themeColor="text1" w:themeTint="D9"/>
          <w:sz w:val="22"/>
          <w:szCs w:val="22"/>
          <w:lang w:val="es-ES"/>
        </w:rPr>
        <w:t>1</w:t>
      </w:r>
      <w:r w:rsidRPr="00714D0B">
        <w:rPr>
          <w:rFonts w:ascii="Garamond" w:hAnsi="Garamond"/>
          <w:color w:val="262626" w:themeColor="text1" w:themeTint="D9"/>
          <w:sz w:val="22"/>
          <w:szCs w:val="22"/>
        </w:rPr>
        <w:fldChar w:fldCharType="end"/>
      </w:r>
      <w:r w:rsidRPr="00714D0B">
        <w:rPr>
          <w:rFonts w:ascii="Garamond" w:hAnsi="Garamond"/>
          <w:color w:val="262626" w:themeColor="text1" w:themeTint="D9"/>
          <w:sz w:val="22"/>
          <w:szCs w:val="22"/>
          <w:lang w:val="es-ES"/>
        </w:rPr>
        <w:t xml:space="preserve">. </w:t>
      </w:r>
      <w:r w:rsidR="00CD6119" w:rsidRPr="00714D0B">
        <w:rPr>
          <w:rFonts w:ascii="Garamond" w:hAnsi="Garamond"/>
          <w:color w:val="262626" w:themeColor="text1" w:themeTint="D9"/>
          <w:sz w:val="22"/>
          <w:szCs w:val="22"/>
          <w:lang w:val="es-ES"/>
        </w:rPr>
        <w:t>Número de acuerdos de doble tributación suscritos entre 1951 y 2023</w:t>
      </w:r>
      <w:r w:rsidR="00CD6119" w:rsidRPr="00714D0B">
        <w:rPr>
          <w:rStyle w:val="FootnoteReference"/>
          <w:rFonts w:ascii="Garamond" w:hAnsi="Garamond"/>
          <w:color w:val="262626" w:themeColor="text1" w:themeTint="D9"/>
          <w:sz w:val="22"/>
          <w:szCs w:val="22"/>
          <w:lang w:val="es-ES"/>
        </w:rPr>
        <w:footnoteReference w:id="5"/>
      </w:r>
    </w:p>
    <w:p w14:paraId="7BA64362" w14:textId="1805708D" w:rsidR="00714D0B" w:rsidRPr="008E7519" w:rsidRDefault="00714D0B" w:rsidP="008E7519">
      <w:pPr>
        <w:pStyle w:val="BodyText"/>
        <w:spacing w:before="196"/>
        <w:ind w:right="114"/>
        <w:jc w:val="both"/>
        <w:rPr>
          <w:rFonts w:ascii="Times New Roman" w:hAnsi="Times New Roman" w:cs="Times New Roman"/>
          <w:lang w:val="es-CO"/>
        </w:rPr>
      </w:pPr>
      <w:r w:rsidRPr="00714D0B">
        <w:rPr>
          <w:rFonts w:ascii="Times New Roman" w:hAnsi="Times New Roman" w:cs="Times New Roman"/>
          <w:lang w:val="es-CO"/>
        </w:rPr>
        <w:t xml:space="preserve">También, observando el número de acuerdos de doble tributación suscritos año a año para el mismo periodo de análisis, </w:t>
      </w:r>
      <w:r w:rsidR="00EE1BFE">
        <w:rPr>
          <w:rFonts w:ascii="Times New Roman" w:hAnsi="Times New Roman" w:cs="Times New Roman"/>
          <w:lang w:val="es-CO"/>
        </w:rPr>
        <w:t xml:space="preserve">en la Gráfica 2 </w:t>
      </w:r>
      <w:r w:rsidRPr="00714D0B">
        <w:rPr>
          <w:rFonts w:ascii="Times New Roman" w:hAnsi="Times New Roman" w:cs="Times New Roman"/>
          <w:lang w:val="es-CO"/>
        </w:rPr>
        <w:t>se observa</w:t>
      </w:r>
      <w:r w:rsidR="00EE1BFE">
        <w:rPr>
          <w:rFonts w:ascii="Times New Roman" w:hAnsi="Times New Roman" w:cs="Times New Roman"/>
          <w:lang w:val="es-CO"/>
        </w:rPr>
        <w:t xml:space="preserve"> </w:t>
      </w:r>
      <w:r w:rsidRPr="00714D0B">
        <w:rPr>
          <w:rFonts w:ascii="Times New Roman" w:hAnsi="Times New Roman" w:cs="Times New Roman"/>
          <w:lang w:val="es-CO"/>
        </w:rPr>
        <w:t xml:space="preserve">que el año </w:t>
      </w:r>
      <w:r>
        <w:rPr>
          <w:rFonts w:ascii="Times New Roman" w:hAnsi="Times New Roman" w:cs="Times New Roman"/>
          <w:lang w:val="es-CO"/>
        </w:rPr>
        <w:t>con</w:t>
      </w:r>
      <w:r w:rsidRPr="00714D0B">
        <w:rPr>
          <w:rFonts w:ascii="Times New Roman" w:hAnsi="Times New Roman" w:cs="Times New Roman"/>
          <w:lang w:val="es-CO"/>
        </w:rPr>
        <w:t xml:space="preserve"> más acuerdos </w:t>
      </w:r>
      <w:r>
        <w:rPr>
          <w:rFonts w:ascii="Times New Roman" w:hAnsi="Times New Roman" w:cs="Times New Roman"/>
          <w:lang w:val="es-CO"/>
        </w:rPr>
        <w:t xml:space="preserve">suscritos </w:t>
      </w:r>
      <w:r w:rsidRPr="00714D0B">
        <w:rPr>
          <w:rFonts w:ascii="Times New Roman" w:hAnsi="Times New Roman" w:cs="Times New Roman"/>
          <w:lang w:val="es-CO"/>
        </w:rPr>
        <w:t xml:space="preserve">fue 2017 con un total de 167 acuerdos (9% del total). Esta concentración podría deberse a distintos factores relativos al estado de la economía mundial y también a la publicación de los </w:t>
      </w:r>
      <w:proofErr w:type="spellStart"/>
      <w:r w:rsidRPr="00714D0B">
        <w:rPr>
          <w:rFonts w:ascii="Times New Roman" w:hAnsi="Times New Roman" w:cs="Times New Roman"/>
          <w:lang w:val="es-CO"/>
        </w:rPr>
        <w:t>Guidelines</w:t>
      </w:r>
      <w:proofErr w:type="spellEnd"/>
      <w:r w:rsidR="001C6C71">
        <w:rPr>
          <w:rFonts w:ascii="Times New Roman" w:hAnsi="Times New Roman" w:cs="Times New Roman"/>
          <w:lang w:val="es-CO"/>
        </w:rPr>
        <w:t>.</w:t>
      </w:r>
    </w:p>
    <w:p w14:paraId="249C061B" w14:textId="77777777" w:rsidR="00EE1BFE" w:rsidRDefault="006B2950" w:rsidP="00EE1BFE">
      <w:pPr>
        <w:pStyle w:val="BodyText"/>
        <w:keepNext/>
        <w:spacing w:before="196"/>
        <w:ind w:right="114"/>
        <w:jc w:val="center"/>
      </w:pPr>
      <w:r w:rsidRPr="005513D8">
        <w:rPr>
          <w:rFonts w:ascii="Garamond" w:hAnsi="Garamond"/>
          <w:noProof/>
        </w:rPr>
        <w:drawing>
          <wp:inline distT="0" distB="0" distL="0" distR="0" wp14:anchorId="0CB2026F" wp14:editId="35BD3E43">
            <wp:extent cx="5612130" cy="2428407"/>
            <wp:effectExtent l="0" t="0" r="13970" b="10160"/>
            <wp:docPr id="963181398" name="Gráfico 1">
              <a:extLst xmlns:a="http://schemas.openxmlformats.org/drawingml/2006/main">
                <a:ext uri="{FF2B5EF4-FFF2-40B4-BE49-F238E27FC236}">
                  <a16:creationId xmlns:a16="http://schemas.microsoft.com/office/drawing/2014/main" id="{9EB32A83-6D2C-2C62-7270-C3990F5734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29FC1CF" w14:textId="6ACB50A7" w:rsidR="006B2950" w:rsidRPr="00EE1BFE" w:rsidRDefault="00EE1BFE" w:rsidP="00EE1BFE">
      <w:pPr>
        <w:pStyle w:val="Caption"/>
        <w:jc w:val="center"/>
        <w:rPr>
          <w:rFonts w:ascii="Garamond" w:hAnsi="Garamond"/>
          <w:color w:val="262626" w:themeColor="text1" w:themeTint="D9"/>
          <w:sz w:val="22"/>
          <w:szCs w:val="22"/>
          <w:lang w:val="es-ES"/>
        </w:rPr>
      </w:pPr>
      <w:r w:rsidRPr="00EE1BFE">
        <w:rPr>
          <w:rFonts w:ascii="Garamond" w:hAnsi="Garamond"/>
          <w:color w:val="262626" w:themeColor="text1" w:themeTint="D9"/>
          <w:sz w:val="22"/>
          <w:szCs w:val="22"/>
          <w:lang w:val="es-ES"/>
        </w:rPr>
        <w:t xml:space="preserve">Gráfica </w:t>
      </w:r>
      <w:r w:rsidRPr="00EE1BFE">
        <w:rPr>
          <w:rFonts w:ascii="Garamond" w:hAnsi="Garamond"/>
          <w:color w:val="262626" w:themeColor="text1" w:themeTint="D9"/>
          <w:sz w:val="22"/>
          <w:szCs w:val="22"/>
          <w:lang w:val="es-ES"/>
        </w:rPr>
        <w:fldChar w:fldCharType="begin"/>
      </w:r>
      <w:r w:rsidRPr="00EE1BFE">
        <w:rPr>
          <w:rFonts w:ascii="Garamond" w:hAnsi="Garamond"/>
          <w:color w:val="262626" w:themeColor="text1" w:themeTint="D9"/>
          <w:sz w:val="22"/>
          <w:szCs w:val="22"/>
          <w:lang w:val="es-ES"/>
        </w:rPr>
        <w:instrText xml:space="preserve"> SEQ Gráfica \* ARABIC </w:instrText>
      </w:r>
      <w:r w:rsidRPr="00EE1BFE">
        <w:rPr>
          <w:rFonts w:ascii="Garamond" w:hAnsi="Garamond"/>
          <w:color w:val="262626" w:themeColor="text1" w:themeTint="D9"/>
          <w:sz w:val="22"/>
          <w:szCs w:val="22"/>
          <w:lang w:val="es-ES"/>
        </w:rPr>
        <w:fldChar w:fldCharType="separate"/>
      </w:r>
      <w:r w:rsidR="00470EC2">
        <w:rPr>
          <w:rFonts w:ascii="Garamond" w:hAnsi="Garamond"/>
          <w:noProof/>
          <w:color w:val="262626" w:themeColor="text1" w:themeTint="D9"/>
          <w:sz w:val="22"/>
          <w:szCs w:val="22"/>
          <w:lang w:val="es-ES"/>
        </w:rPr>
        <w:t>2</w:t>
      </w:r>
      <w:r w:rsidRPr="00EE1BFE">
        <w:rPr>
          <w:rFonts w:ascii="Garamond" w:hAnsi="Garamond"/>
          <w:color w:val="262626" w:themeColor="text1" w:themeTint="D9"/>
          <w:sz w:val="22"/>
          <w:szCs w:val="22"/>
          <w:lang w:val="es-ES"/>
        </w:rPr>
        <w:fldChar w:fldCharType="end"/>
      </w:r>
      <w:r w:rsidRPr="00EE1BFE">
        <w:rPr>
          <w:rFonts w:ascii="Garamond" w:hAnsi="Garamond"/>
          <w:color w:val="262626" w:themeColor="text1" w:themeTint="D9"/>
          <w:sz w:val="22"/>
          <w:szCs w:val="22"/>
          <w:lang w:val="es-ES"/>
        </w:rPr>
        <w:t>. Número de acuerdos de doble tributación suscritos año a año.</w:t>
      </w:r>
    </w:p>
    <w:p w14:paraId="2D86CE6B" w14:textId="2B849DAF" w:rsidR="00B45A0E" w:rsidRDefault="00B45A0E" w:rsidP="00155715">
      <w:pPr>
        <w:pStyle w:val="BodyText"/>
        <w:spacing w:before="196"/>
        <w:ind w:right="114"/>
        <w:jc w:val="both"/>
        <w:rPr>
          <w:rFonts w:ascii="Times New Roman" w:hAnsi="Times New Roman" w:cs="Times New Roman"/>
        </w:rPr>
      </w:pPr>
      <w:r w:rsidRPr="008E7519">
        <w:rPr>
          <w:rFonts w:ascii="Times New Roman" w:hAnsi="Times New Roman" w:cs="Times New Roman"/>
        </w:rPr>
        <w:t xml:space="preserve">Con base en lo anterior, vale la pena </w:t>
      </w:r>
      <w:r w:rsidR="00A3643D">
        <w:rPr>
          <w:rFonts w:ascii="Times New Roman" w:hAnsi="Times New Roman" w:cs="Times New Roman"/>
        </w:rPr>
        <w:t>destacar</w:t>
      </w:r>
      <w:r w:rsidRPr="008E7519">
        <w:rPr>
          <w:rFonts w:ascii="Times New Roman" w:hAnsi="Times New Roman" w:cs="Times New Roman"/>
        </w:rPr>
        <w:t xml:space="preserve"> la importancia de los acuerdos de doble tributación </w:t>
      </w:r>
      <w:r w:rsidR="00A3643D">
        <w:rPr>
          <w:rFonts w:ascii="Times New Roman" w:hAnsi="Times New Roman" w:cs="Times New Roman"/>
        </w:rPr>
        <w:t>en</w:t>
      </w:r>
      <w:r w:rsidRPr="008E7519">
        <w:rPr>
          <w:rFonts w:ascii="Times New Roman" w:hAnsi="Times New Roman" w:cs="Times New Roman"/>
        </w:rPr>
        <w:t xml:space="preserve"> el marco jurídico de inversión extranjera</w:t>
      </w:r>
      <w:r w:rsidR="00E40888">
        <w:rPr>
          <w:rFonts w:ascii="Times New Roman" w:hAnsi="Times New Roman" w:cs="Times New Roman"/>
        </w:rPr>
        <w:t xml:space="preserve"> a nivel global</w:t>
      </w:r>
      <w:r w:rsidR="00A16355" w:rsidRPr="008E7519">
        <w:rPr>
          <w:rFonts w:ascii="Times New Roman" w:hAnsi="Times New Roman" w:cs="Times New Roman"/>
        </w:rPr>
        <w:t>,</w:t>
      </w:r>
      <w:r w:rsidR="00B24F7F" w:rsidRPr="008E7519">
        <w:rPr>
          <w:rFonts w:ascii="Times New Roman" w:hAnsi="Times New Roman" w:cs="Times New Roman"/>
        </w:rPr>
        <w:t xml:space="preserve"> y por supuesto, del país</w:t>
      </w:r>
      <w:r w:rsidRPr="008E7519">
        <w:rPr>
          <w:rFonts w:ascii="Times New Roman" w:hAnsi="Times New Roman" w:cs="Times New Roman"/>
        </w:rPr>
        <w:t xml:space="preserve">. </w:t>
      </w:r>
      <w:r w:rsidR="00CA0899">
        <w:rPr>
          <w:rFonts w:ascii="Times New Roman" w:hAnsi="Times New Roman" w:cs="Times New Roman"/>
        </w:rPr>
        <w:t xml:space="preserve">Desde la década de los 60s, </w:t>
      </w:r>
      <w:r w:rsidRPr="008E7519">
        <w:rPr>
          <w:rFonts w:ascii="Times New Roman" w:hAnsi="Times New Roman" w:cs="Times New Roman"/>
        </w:rPr>
        <w:t>Colombia ha realizado convenios internacionales en materia tributaria</w:t>
      </w:r>
      <w:r w:rsidR="00FC08DB">
        <w:rPr>
          <w:rFonts w:ascii="Times New Roman" w:hAnsi="Times New Roman" w:cs="Times New Roman"/>
        </w:rPr>
        <w:t xml:space="preserve"> inicialmente</w:t>
      </w:r>
      <w:r w:rsidRPr="008E7519">
        <w:rPr>
          <w:rFonts w:ascii="Times New Roman" w:hAnsi="Times New Roman" w:cs="Times New Roman"/>
        </w:rPr>
        <w:t xml:space="preserve"> con el propósito de</w:t>
      </w:r>
      <w:r w:rsidRPr="008E7519">
        <w:rPr>
          <w:rFonts w:ascii="Times New Roman" w:hAnsi="Times New Roman" w:cs="Times New Roman"/>
          <w:spacing w:val="-13"/>
        </w:rPr>
        <w:t xml:space="preserve"> </w:t>
      </w:r>
      <w:r w:rsidRPr="008E7519">
        <w:rPr>
          <w:rFonts w:ascii="Times New Roman" w:hAnsi="Times New Roman" w:cs="Times New Roman"/>
        </w:rPr>
        <w:t>evitar</w:t>
      </w:r>
      <w:r w:rsidRPr="008E7519">
        <w:rPr>
          <w:rFonts w:ascii="Times New Roman" w:hAnsi="Times New Roman" w:cs="Times New Roman"/>
          <w:spacing w:val="-13"/>
        </w:rPr>
        <w:t xml:space="preserve"> </w:t>
      </w:r>
      <w:r w:rsidRPr="008E7519">
        <w:rPr>
          <w:rFonts w:ascii="Times New Roman" w:hAnsi="Times New Roman" w:cs="Times New Roman"/>
        </w:rPr>
        <w:t>la</w:t>
      </w:r>
      <w:r w:rsidRPr="008E7519">
        <w:rPr>
          <w:rFonts w:ascii="Times New Roman" w:hAnsi="Times New Roman" w:cs="Times New Roman"/>
          <w:spacing w:val="-13"/>
        </w:rPr>
        <w:t xml:space="preserve"> </w:t>
      </w:r>
      <w:r w:rsidRPr="008E7519">
        <w:rPr>
          <w:rFonts w:ascii="Times New Roman" w:hAnsi="Times New Roman" w:cs="Times New Roman"/>
        </w:rPr>
        <w:t>doble</w:t>
      </w:r>
      <w:r w:rsidRPr="008E7519">
        <w:rPr>
          <w:rFonts w:ascii="Times New Roman" w:hAnsi="Times New Roman" w:cs="Times New Roman"/>
          <w:spacing w:val="-13"/>
        </w:rPr>
        <w:t xml:space="preserve"> </w:t>
      </w:r>
      <w:r w:rsidRPr="008E7519">
        <w:rPr>
          <w:rFonts w:ascii="Times New Roman" w:hAnsi="Times New Roman" w:cs="Times New Roman"/>
        </w:rPr>
        <w:t>tributación</w:t>
      </w:r>
      <w:r w:rsidRPr="008E7519">
        <w:rPr>
          <w:rFonts w:ascii="Times New Roman" w:hAnsi="Times New Roman" w:cs="Times New Roman"/>
          <w:spacing w:val="-13"/>
        </w:rPr>
        <w:t xml:space="preserve"> </w:t>
      </w:r>
      <w:r w:rsidRPr="008E7519">
        <w:rPr>
          <w:rFonts w:ascii="Times New Roman" w:hAnsi="Times New Roman" w:cs="Times New Roman"/>
        </w:rPr>
        <w:t>en</w:t>
      </w:r>
      <w:r w:rsidRPr="008E7519">
        <w:rPr>
          <w:rFonts w:ascii="Times New Roman" w:hAnsi="Times New Roman" w:cs="Times New Roman"/>
          <w:spacing w:val="-13"/>
        </w:rPr>
        <w:t xml:space="preserve"> </w:t>
      </w:r>
      <w:r w:rsidRPr="008E7519">
        <w:rPr>
          <w:rFonts w:ascii="Times New Roman" w:hAnsi="Times New Roman" w:cs="Times New Roman"/>
        </w:rPr>
        <w:t>empresas</w:t>
      </w:r>
      <w:r w:rsidRPr="008E7519">
        <w:rPr>
          <w:rFonts w:ascii="Times New Roman" w:hAnsi="Times New Roman" w:cs="Times New Roman"/>
          <w:spacing w:val="-13"/>
        </w:rPr>
        <w:t xml:space="preserve"> </w:t>
      </w:r>
      <w:r w:rsidRPr="008E7519">
        <w:rPr>
          <w:rFonts w:ascii="Times New Roman" w:hAnsi="Times New Roman" w:cs="Times New Roman"/>
        </w:rPr>
        <w:t>del</w:t>
      </w:r>
      <w:r w:rsidRPr="008E7519">
        <w:rPr>
          <w:rFonts w:ascii="Times New Roman" w:hAnsi="Times New Roman" w:cs="Times New Roman"/>
          <w:spacing w:val="-13"/>
        </w:rPr>
        <w:t xml:space="preserve"> </w:t>
      </w:r>
      <w:r w:rsidRPr="008E7519">
        <w:rPr>
          <w:rFonts w:ascii="Times New Roman" w:hAnsi="Times New Roman" w:cs="Times New Roman"/>
        </w:rPr>
        <w:t>sector</w:t>
      </w:r>
      <w:r w:rsidRPr="008E7519">
        <w:rPr>
          <w:rFonts w:ascii="Times New Roman" w:hAnsi="Times New Roman" w:cs="Times New Roman"/>
          <w:spacing w:val="-13"/>
        </w:rPr>
        <w:t xml:space="preserve"> </w:t>
      </w:r>
      <w:r w:rsidRPr="008E7519">
        <w:rPr>
          <w:rFonts w:ascii="Times New Roman" w:hAnsi="Times New Roman" w:cs="Times New Roman"/>
        </w:rPr>
        <w:t>aéreo y marítimo, y de esta forma, ha extendido acuerdos generales para todas las compañías con países en América Latina, Europa y Asia. Esto,</w:t>
      </w:r>
      <w:r w:rsidRPr="008E7519">
        <w:rPr>
          <w:rFonts w:ascii="Times New Roman" w:hAnsi="Times New Roman" w:cs="Times New Roman"/>
          <w:spacing w:val="-7"/>
        </w:rPr>
        <w:t xml:space="preserve"> </w:t>
      </w:r>
      <w:r w:rsidRPr="008E7519">
        <w:rPr>
          <w:rFonts w:ascii="Times New Roman" w:hAnsi="Times New Roman" w:cs="Times New Roman"/>
        </w:rPr>
        <w:t>se</w:t>
      </w:r>
      <w:r w:rsidRPr="008E7519">
        <w:rPr>
          <w:rFonts w:ascii="Times New Roman" w:hAnsi="Times New Roman" w:cs="Times New Roman"/>
          <w:spacing w:val="-7"/>
        </w:rPr>
        <w:t xml:space="preserve"> </w:t>
      </w:r>
      <w:r w:rsidRPr="008E7519">
        <w:rPr>
          <w:rFonts w:ascii="Times New Roman" w:hAnsi="Times New Roman" w:cs="Times New Roman"/>
        </w:rPr>
        <w:t>hace</w:t>
      </w:r>
      <w:r w:rsidRPr="008E7519">
        <w:rPr>
          <w:rFonts w:ascii="Times New Roman" w:hAnsi="Times New Roman" w:cs="Times New Roman"/>
          <w:spacing w:val="-7"/>
        </w:rPr>
        <w:t xml:space="preserve"> </w:t>
      </w:r>
      <w:r w:rsidRPr="008E7519">
        <w:rPr>
          <w:rFonts w:ascii="Times New Roman" w:hAnsi="Times New Roman" w:cs="Times New Roman"/>
        </w:rPr>
        <w:t>relevante</w:t>
      </w:r>
      <w:r w:rsidRPr="008E7519">
        <w:rPr>
          <w:rFonts w:ascii="Times New Roman" w:hAnsi="Times New Roman" w:cs="Times New Roman"/>
          <w:spacing w:val="-7"/>
        </w:rPr>
        <w:t xml:space="preserve"> </w:t>
      </w:r>
      <w:r w:rsidRPr="008E7519">
        <w:rPr>
          <w:rFonts w:ascii="Times New Roman" w:hAnsi="Times New Roman" w:cs="Times New Roman"/>
        </w:rPr>
        <w:t>para</w:t>
      </w:r>
      <w:r w:rsidRPr="008E7519">
        <w:rPr>
          <w:rFonts w:ascii="Times New Roman" w:hAnsi="Times New Roman" w:cs="Times New Roman"/>
          <w:spacing w:val="-7"/>
        </w:rPr>
        <w:t xml:space="preserve"> </w:t>
      </w:r>
      <w:r w:rsidRPr="008E7519">
        <w:rPr>
          <w:rFonts w:ascii="Times New Roman" w:hAnsi="Times New Roman" w:cs="Times New Roman"/>
        </w:rPr>
        <w:t>el</w:t>
      </w:r>
      <w:r w:rsidRPr="008E7519">
        <w:rPr>
          <w:rFonts w:ascii="Times New Roman" w:hAnsi="Times New Roman" w:cs="Times New Roman"/>
          <w:spacing w:val="-7"/>
        </w:rPr>
        <w:t xml:space="preserve"> </w:t>
      </w:r>
      <w:r w:rsidRPr="008E7519">
        <w:rPr>
          <w:rFonts w:ascii="Times New Roman" w:hAnsi="Times New Roman" w:cs="Times New Roman"/>
        </w:rPr>
        <w:t>contexto</w:t>
      </w:r>
      <w:r w:rsidRPr="008E7519">
        <w:rPr>
          <w:rFonts w:ascii="Times New Roman" w:hAnsi="Times New Roman" w:cs="Times New Roman"/>
          <w:spacing w:val="-7"/>
        </w:rPr>
        <w:t xml:space="preserve"> </w:t>
      </w:r>
      <w:r w:rsidRPr="008E7519">
        <w:rPr>
          <w:rFonts w:ascii="Times New Roman" w:hAnsi="Times New Roman" w:cs="Times New Roman"/>
        </w:rPr>
        <w:t>país,</w:t>
      </w:r>
      <w:r w:rsidRPr="008E7519">
        <w:rPr>
          <w:rFonts w:ascii="Times New Roman" w:hAnsi="Times New Roman" w:cs="Times New Roman"/>
          <w:spacing w:val="-7"/>
        </w:rPr>
        <w:t xml:space="preserve"> </w:t>
      </w:r>
      <w:r w:rsidRPr="008E7519">
        <w:rPr>
          <w:rFonts w:ascii="Times New Roman" w:hAnsi="Times New Roman" w:cs="Times New Roman"/>
        </w:rPr>
        <w:t>considerando que</w:t>
      </w:r>
      <w:r w:rsidRPr="008E7519">
        <w:rPr>
          <w:rFonts w:ascii="Times New Roman" w:hAnsi="Times New Roman" w:cs="Times New Roman"/>
          <w:spacing w:val="-7"/>
        </w:rPr>
        <w:t xml:space="preserve"> </w:t>
      </w:r>
      <w:r w:rsidRPr="008E7519">
        <w:rPr>
          <w:rFonts w:ascii="Times New Roman" w:hAnsi="Times New Roman" w:cs="Times New Roman"/>
        </w:rPr>
        <w:t>la</w:t>
      </w:r>
      <w:r w:rsidRPr="008E7519">
        <w:rPr>
          <w:rFonts w:ascii="Times New Roman" w:hAnsi="Times New Roman" w:cs="Times New Roman"/>
          <w:spacing w:val="-7"/>
        </w:rPr>
        <w:t xml:space="preserve"> </w:t>
      </w:r>
      <w:r w:rsidRPr="008E7519">
        <w:rPr>
          <w:rFonts w:ascii="Times New Roman" w:hAnsi="Times New Roman" w:cs="Times New Roman"/>
        </w:rPr>
        <w:t>IED</w:t>
      </w:r>
      <w:r w:rsidRPr="008E7519">
        <w:rPr>
          <w:rFonts w:ascii="Times New Roman" w:hAnsi="Times New Roman" w:cs="Times New Roman"/>
          <w:spacing w:val="-7"/>
        </w:rPr>
        <w:t xml:space="preserve"> </w:t>
      </w:r>
      <w:r w:rsidRPr="008E7519">
        <w:rPr>
          <w:rFonts w:ascii="Times New Roman" w:hAnsi="Times New Roman" w:cs="Times New Roman"/>
        </w:rPr>
        <w:t>representó en 2022, el</w:t>
      </w:r>
      <w:r w:rsidRPr="008E7519">
        <w:rPr>
          <w:rFonts w:ascii="Times New Roman" w:hAnsi="Times New Roman" w:cs="Times New Roman"/>
          <w:spacing w:val="-5"/>
        </w:rPr>
        <w:t xml:space="preserve"> </w:t>
      </w:r>
      <w:r w:rsidRPr="008E7519">
        <w:rPr>
          <w:rFonts w:ascii="Times New Roman" w:hAnsi="Times New Roman" w:cs="Times New Roman"/>
        </w:rPr>
        <w:t>4,8% del Producto Interno Bruto (PIB) del país</w:t>
      </w:r>
      <w:r w:rsidRPr="008E7519">
        <w:rPr>
          <w:rStyle w:val="FootnoteReference"/>
          <w:rFonts w:ascii="Times New Roman" w:hAnsi="Times New Roman" w:cs="Times New Roman"/>
        </w:rPr>
        <w:footnoteReference w:id="6"/>
      </w:r>
      <w:r w:rsidRPr="008E7519">
        <w:rPr>
          <w:rFonts w:ascii="Times New Roman" w:hAnsi="Times New Roman" w:cs="Times New Roman"/>
        </w:rPr>
        <w:t xml:space="preserve">. </w:t>
      </w:r>
    </w:p>
    <w:p w14:paraId="33B301E0" w14:textId="330E23CB" w:rsidR="00921802" w:rsidRPr="00000A8A" w:rsidRDefault="00921802" w:rsidP="00155715">
      <w:pPr>
        <w:pStyle w:val="Heading2"/>
        <w:jc w:val="both"/>
        <w:rPr>
          <w:szCs w:val="24"/>
          <w:lang w:val="es-ES"/>
        </w:rPr>
      </w:pPr>
      <w:r w:rsidRPr="00000A8A">
        <w:rPr>
          <w:szCs w:val="24"/>
          <w:lang w:val="es-ES"/>
        </w:rPr>
        <w:lastRenderedPageBreak/>
        <w:t>Aportes de política pública en materia de comercio internacional y atracción de inversión extranjera en Colombia</w:t>
      </w:r>
    </w:p>
    <w:p w14:paraId="755BAB97" w14:textId="77777777" w:rsidR="00921802" w:rsidRPr="00000A8A" w:rsidRDefault="00921802" w:rsidP="00155715">
      <w:pPr>
        <w:jc w:val="both"/>
        <w:rPr>
          <w:lang w:val="es-ES"/>
        </w:rPr>
      </w:pPr>
    </w:p>
    <w:p w14:paraId="58D2A90E" w14:textId="500B2339" w:rsidR="00921802" w:rsidRPr="00F00632" w:rsidRDefault="00921802" w:rsidP="00155715">
      <w:pPr>
        <w:jc w:val="both"/>
        <w:rPr>
          <w:lang w:val="es-ES"/>
        </w:rPr>
      </w:pPr>
      <w:r w:rsidRPr="00F00632">
        <w:rPr>
          <w:lang w:val="es-ES"/>
        </w:rPr>
        <w:t xml:space="preserve">Naturalmente, la discusión sobre la importancia de la llegada de Inversión Extranjera Directa </w:t>
      </w:r>
      <w:r w:rsidR="007331D9" w:rsidRPr="00F00632">
        <w:rPr>
          <w:lang w:val="es-ES"/>
        </w:rPr>
        <w:t>a</w:t>
      </w:r>
      <w:r w:rsidRPr="00F00632">
        <w:rPr>
          <w:lang w:val="es-ES"/>
        </w:rPr>
        <w:t xml:space="preserve"> Colombia ha tomado relevancia en las dos últimas décadas. La existencia de un constante conflicto armado en el país entre el Estado colombiano y las FARC – EP</w:t>
      </w:r>
      <w:r w:rsidR="00B0777D" w:rsidRPr="00F00632">
        <w:rPr>
          <w:rStyle w:val="FootnoteReference"/>
          <w:lang w:val="es-ES"/>
        </w:rPr>
        <w:footnoteReference w:id="7"/>
      </w:r>
      <w:r w:rsidRPr="00F00632">
        <w:rPr>
          <w:lang w:val="es-ES"/>
        </w:rPr>
        <w:t xml:space="preserve"> impedía a las </w:t>
      </w:r>
      <w:r w:rsidR="001A3684" w:rsidRPr="00F00632">
        <w:rPr>
          <w:lang w:val="es-ES"/>
        </w:rPr>
        <w:t>autoridades</w:t>
      </w:r>
      <w:r w:rsidRPr="00F00632">
        <w:rPr>
          <w:lang w:val="es-ES"/>
        </w:rPr>
        <w:t xml:space="preserve"> y más específicamente, a las autoridades de Comercio y Hacienda, pensar en una política lo suficientemente atractiva para que el inversionista considerase invertir en el país, a pesar de su condición política y económica. Es tan así, que </w:t>
      </w:r>
      <w:r w:rsidR="001F3525" w:rsidRPr="00F00632">
        <w:rPr>
          <w:lang w:val="es-ES"/>
        </w:rPr>
        <w:t>la medición de los flujos entrantes de IED hacia Colombia publicados por el Banco de la República data únicamente</w:t>
      </w:r>
      <w:r w:rsidRPr="00F00632">
        <w:rPr>
          <w:lang w:val="es-ES"/>
        </w:rPr>
        <w:t xml:space="preserve"> </w:t>
      </w:r>
      <w:r w:rsidR="008C500B">
        <w:rPr>
          <w:lang w:val="es-ES"/>
        </w:rPr>
        <w:t>de</w:t>
      </w:r>
      <w:r w:rsidRPr="00F00632">
        <w:rPr>
          <w:lang w:val="es-ES"/>
        </w:rPr>
        <w:t xml:space="preserve"> 2007</w:t>
      </w:r>
      <w:r w:rsidRPr="00F00632">
        <w:rPr>
          <w:rStyle w:val="FootnoteReference"/>
        </w:rPr>
        <w:footnoteReference w:id="8"/>
      </w:r>
      <w:r w:rsidRPr="00F00632">
        <w:rPr>
          <w:lang w:val="es-ES"/>
        </w:rPr>
        <w:t xml:space="preserve">.  </w:t>
      </w:r>
    </w:p>
    <w:p w14:paraId="24AC58D3" w14:textId="77777777" w:rsidR="00921802" w:rsidRPr="00F00632" w:rsidRDefault="00921802" w:rsidP="00155715">
      <w:pPr>
        <w:jc w:val="both"/>
        <w:rPr>
          <w:lang w:val="es-ES"/>
        </w:rPr>
      </w:pPr>
    </w:p>
    <w:p w14:paraId="02D86F39" w14:textId="1BA180D3" w:rsidR="00921802" w:rsidRPr="00F00632" w:rsidRDefault="00921802" w:rsidP="00155715">
      <w:pPr>
        <w:jc w:val="both"/>
        <w:rPr>
          <w:lang w:val="es-ES"/>
        </w:rPr>
      </w:pPr>
      <w:r w:rsidRPr="00F00632">
        <w:rPr>
          <w:lang w:val="es-ES"/>
        </w:rPr>
        <w:t xml:space="preserve">Para la década de 1990, mientras el Sistema Internacional estaba en su proceso de globalización e integración gracias al fin de la guerra fría, la evolución del GATT a la </w:t>
      </w:r>
      <w:r w:rsidR="00FC4503" w:rsidRPr="00F00632">
        <w:rPr>
          <w:lang w:val="es-ES"/>
        </w:rPr>
        <w:t>OMC</w:t>
      </w:r>
      <w:r w:rsidR="00AB791F">
        <w:rPr>
          <w:lang w:val="es-ES"/>
        </w:rPr>
        <w:t>,</w:t>
      </w:r>
      <w:r w:rsidR="00FC4503">
        <w:rPr>
          <w:lang w:val="es-ES"/>
        </w:rPr>
        <w:t xml:space="preserve"> </w:t>
      </w:r>
      <w:r w:rsidR="00FC4503" w:rsidRPr="00F00632">
        <w:rPr>
          <w:lang w:val="es-ES"/>
        </w:rPr>
        <w:t>y</w:t>
      </w:r>
      <w:r w:rsidRPr="00F00632">
        <w:rPr>
          <w:lang w:val="es-ES"/>
        </w:rPr>
        <w:t xml:space="preserve"> la liberalización del Comercio Internacional</w:t>
      </w:r>
      <w:r w:rsidR="00AB791F">
        <w:rPr>
          <w:lang w:val="es-ES"/>
        </w:rPr>
        <w:t xml:space="preserve">; </w:t>
      </w:r>
      <w:r w:rsidRPr="00F00632">
        <w:rPr>
          <w:lang w:val="es-ES"/>
        </w:rPr>
        <w:t xml:space="preserve">Colombia estaba siendo estudiada en las Naciones Unidas como un ‘Estado Fallido’ y además, estaba siendo descertificada por </w:t>
      </w:r>
      <w:proofErr w:type="gramStart"/>
      <w:r w:rsidR="003A1AEE" w:rsidRPr="00F00632">
        <w:rPr>
          <w:lang w:val="es-ES"/>
        </w:rPr>
        <w:t>EE.UU</w:t>
      </w:r>
      <w:proofErr w:type="gramEnd"/>
      <w:r w:rsidRPr="00F00632">
        <w:rPr>
          <w:lang w:val="es-ES"/>
        </w:rPr>
        <w:t xml:space="preserve"> debido a los altos aumentos de cultivos de coca en el país y el Proceso 8000</w:t>
      </w:r>
      <w:r w:rsidRPr="00F00632">
        <w:rPr>
          <w:rStyle w:val="FootnoteReference"/>
        </w:rPr>
        <w:footnoteReference w:id="9"/>
      </w:r>
      <w:r w:rsidRPr="00F00632">
        <w:rPr>
          <w:lang w:val="es-ES"/>
        </w:rPr>
        <w:t xml:space="preserve">. Ante esta imagen internacional, los inversionistas poco pensaban en Colombia como destino </w:t>
      </w:r>
      <w:r w:rsidR="003A1AEE">
        <w:rPr>
          <w:lang w:val="es-ES"/>
        </w:rPr>
        <w:t>para</w:t>
      </w:r>
      <w:r w:rsidRPr="00F00632">
        <w:rPr>
          <w:lang w:val="es-ES"/>
        </w:rPr>
        <w:t xml:space="preserve"> sus capitales. </w:t>
      </w:r>
    </w:p>
    <w:p w14:paraId="442F85A5" w14:textId="77777777" w:rsidR="00921802" w:rsidRPr="00F00632" w:rsidRDefault="00921802" w:rsidP="00155715">
      <w:pPr>
        <w:jc w:val="both"/>
        <w:rPr>
          <w:lang w:val="es-ES"/>
        </w:rPr>
      </w:pPr>
    </w:p>
    <w:p w14:paraId="0C4C2E7C" w14:textId="77777777" w:rsidR="006825E1" w:rsidRDefault="00921802" w:rsidP="00155715">
      <w:pPr>
        <w:jc w:val="both"/>
        <w:rPr>
          <w:lang w:val="es-ES"/>
        </w:rPr>
      </w:pPr>
      <w:r w:rsidRPr="00F00632">
        <w:rPr>
          <w:lang w:val="es-ES"/>
        </w:rPr>
        <w:t xml:space="preserve">Con la llegada del </w:t>
      </w:r>
      <w:r w:rsidR="009111F7" w:rsidRPr="00F00632">
        <w:rPr>
          <w:lang w:val="es-ES"/>
        </w:rPr>
        <w:t>presidente</w:t>
      </w:r>
      <w:r w:rsidRPr="00F00632">
        <w:rPr>
          <w:lang w:val="es-ES"/>
        </w:rPr>
        <w:t xml:space="preserve"> Álvaro Uribe y el desconocimiento de las FARC</w:t>
      </w:r>
      <w:r w:rsidR="003865E2">
        <w:rPr>
          <w:rStyle w:val="FootnoteReference"/>
          <w:lang w:val="es-ES"/>
        </w:rPr>
        <w:footnoteReference w:id="10"/>
      </w:r>
      <w:r w:rsidRPr="00F00632">
        <w:rPr>
          <w:lang w:val="es-ES"/>
        </w:rPr>
        <w:t xml:space="preserve"> como actor legítimo del conflicto</w:t>
      </w:r>
      <w:r w:rsidRPr="00F00632">
        <w:rPr>
          <w:rStyle w:val="FootnoteReference"/>
        </w:rPr>
        <w:footnoteReference w:id="11"/>
      </w:r>
      <w:r w:rsidRPr="00F00632">
        <w:rPr>
          <w:lang w:val="es-ES"/>
        </w:rPr>
        <w:t>, la imagen del país comenzó a cambiar. Lo anterior, acompañado por una subida del precio del barril de petróleo</w:t>
      </w:r>
      <w:r w:rsidR="00336B31">
        <w:rPr>
          <w:lang w:val="es-ES"/>
        </w:rPr>
        <w:t xml:space="preserve"> </w:t>
      </w:r>
      <w:r w:rsidR="00C86952">
        <w:rPr>
          <w:lang w:val="es-ES"/>
        </w:rPr>
        <w:t>-l</w:t>
      </w:r>
      <w:r w:rsidRPr="00F00632">
        <w:rPr>
          <w:lang w:val="es-ES"/>
        </w:rPr>
        <w:t xml:space="preserve">a inevitable vocación productiva del país </w:t>
      </w:r>
      <w:r w:rsidR="00FD3AEA">
        <w:rPr>
          <w:lang w:val="es-ES"/>
        </w:rPr>
        <w:t xml:space="preserve">por </w:t>
      </w:r>
      <w:r w:rsidRPr="00F00632">
        <w:rPr>
          <w:lang w:val="es-ES"/>
        </w:rPr>
        <w:t xml:space="preserve">este </w:t>
      </w:r>
      <w:proofErr w:type="spellStart"/>
      <w:r w:rsidRPr="00F00632">
        <w:rPr>
          <w:lang w:val="es-ES"/>
        </w:rPr>
        <w:t>commodity</w:t>
      </w:r>
      <w:proofErr w:type="spellEnd"/>
      <w:r w:rsidR="00336B31">
        <w:rPr>
          <w:lang w:val="es-ES"/>
        </w:rPr>
        <w:t>-</w:t>
      </w:r>
      <w:r w:rsidR="00374780">
        <w:rPr>
          <w:lang w:val="es-ES"/>
        </w:rPr>
        <w:t xml:space="preserve">, </w:t>
      </w:r>
      <w:r w:rsidR="00374780" w:rsidRPr="00F00632">
        <w:rPr>
          <w:lang w:val="es-ES"/>
        </w:rPr>
        <w:t>la</w:t>
      </w:r>
      <w:r w:rsidRPr="00F00632">
        <w:rPr>
          <w:lang w:val="es-ES"/>
        </w:rPr>
        <w:t xml:space="preserve"> creación de beneficios fiscales como la deducción especial por inversión en activos fijos productivos</w:t>
      </w:r>
      <w:r w:rsidR="002C5B5B">
        <w:rPr>
          <w:lang w:val="es-ES"/>
        </w:rPr>
        <w:t>,</w:t>
      </w:r>
      <w:r w:rsidRPr="00F00632">
        <w:rPr>
          <w:rStyle w:val="FootnoteReference"/>
        </w:rPr>
        <w:footnoteReference w:id="12"/>
      </w:r>
      <w:r w:rsidRPr="00F00632">
        <w:rPr>
          <w:lang w:val="es-ES"/>
        </w:rPr>
        <w:t xml:space="preserve"> y el fortalecimiento de mecanismos de comercio e inversión como el régimen de zona franca y el plan vallejo</w:t>
      </w:r>
      <w:r w:rsidRPr="00F00632">
        <w:rPr>
          <w:rStyle w:val="FootnoteReference"/>
        </w:rPr>
        <w:footnoteReference w:id="13"/>
      </w:r>
      <w:r w:rsidRPr="00F00632">
        <w:rPr>
          <w:lang w:val="es-ES"/>
        </w:rPr>
        <w:t xml:space="preserve">. Estos factores incidieron en que inversionistas internacionales </w:t>
      </w:r>
      <w:r w:rsidR="00374780">
        <w:rPr>
          <w:lang w:val="es-ES"/>
        </w:rPr>
        <w:t xml:space="preserve">empezaran </w:t>
      </w:r>
      <w:r w:rsidRPr="00F00632">
        <w:rPr>
          <w:lang w:val="es-ES"/>
        </w:rPr>
        <w:t xml:space="preserve">a optar por Colombia como destino </w:t>
      </w:r>
      <w:r w:rsidR="00CF0508">
        <w:rPr>
          <w:lang w:val="es-ES"/>
        </w:rPr>
        <w:t>para</w:t>
      </w:r>
      <w:r w:rsidRPr="00F00632">
        <w:rPr>
          <w:lang w:val="es-ES"/>
        </w:rPr>
        <w:t xml:space="preserve"> sus inversiones. </w:t>
      </w:r>
    </w:p>
    <w:p w14:paraId="51F9EC18" w14:textId="77777777" w:rsidR="006825E1" w:rsidRDefault="006825E1" w:rsidP="00155715">
      <w:pPr>
        <w:jc w:val="both"/>
        <w:rPr>
          <w:lang w:val="es-ES"/>
        </w:rPr>
      </w:pPr>
    </w:p>
    <w:p w14:paraId="39CF0297" w14:textId="5ED0F1E0" w:rsidR="00921802" w:rsidRDefault="00A84FD8" w:rsidP="00155715">
      <w:pPr>
        <w:jc w:val="both"/>
        <w:rPr>
          <w:lang w:val="es-ES"/>
        </w:rPr>
      </w:pPr>
      <w:r>
        <w:rPr>
          <w:lang w:val="es-ES"/>
        </w:rPr>
        <w:t>Adicionalmente, eventos</w:t>
      </w:r>
      <w:r w:rsidR="00921802" w:rsidRPr="00F00632">
        <w:rPr>
          <w:lang w:val="es-ES"/>
        </w:rPr>
        <w:t xml:space="preserve"> que no dejan de ser relevantes como la apertura </w:t>
      </w:r>
      <w:r w:rsidR="00216414" w:rsidRPr="00F00632">
        <w:rPr>
          <w:lang w:val="es-ES"/>
        </w:rPr>
        <w:t>comercial, la</w:t>
      </w:r>
      <w:r w:rsidR="00921802" w:rsidRPr="00F00632">
        <w:rPr>
          <w:lang w:val="es-ES"/>
        </w:rPr>
        <w:t xml:space="preserve"> firma del T</w:t>
      </w:r>
      <w:r w:rsidR="00B52F6B">
        <w:rPr>
          <w:lang w:val="es-ES"/>
        </w:rPr>
        <w:t>ratado de Libre Comercio</w:t>
      </w:r>
      <w:r w:rsidR="00C4395A">
        <w:rPr>
          <w:lang w:val="es-ES"/>
        </w:rPr>
        <w:t xml:space="preserve"> (TLC)</w:t>
      </w:r>
      <w:r w:rsidR="00921802" w:rsidRPr="00F00632">
        <w:rPr>
          <w:lang w:val="es-ES"/>
        </w:rPr>
        <w:t xml:space="preserve"> con EE.UU</w:t>
      </w:r>
      <w:r w:rsidR="00EC2F8F">
        <w:rPr>
          <w:lang w:val="es-ES"/>
        </w:rPr>
        <w:t>.</w:t>
      </w:r>
      <w:r w:rsidR="00921802" w:rsidRPr="00F00632">
        <w:rPr>
          <w:lang w:val="es-ES"/>
        </w:rPr>
        <w:t>,</w:t>
      </w:r>
      <w:r w:rsidR="00EC2F8F">
        <w:rPr>
          <w:lang w:val="es-ES"/>
        </w:rPr>
        <w:t xml:space="preserve"> </w:t>
      </w:r>
      <w:r w:rsidR="00921802" w:rsidRPr="00F00632">
        <w:rPr>
          <w:lang w:val="es-ES"/>
        </w:rPr>
        <w:t>la entrada en vigencia del Acuerdo de Paz entre Colombia y las FARC – EP</w:t>
      </w:r>
      <w:r w:rsidR="00EC2F8F">
        <w:rPr>
          <w:lang w:val="es-ES"/>
        </w:rPr>
        <w:t>,</w:t>
      </w:r>
      <w:r w:rsidR="00921802" w:rsidRPr="00F00632">
        <w:rPr>
          <w:lang w:val="es-ES"/>
        </w:rPr>
        <w:t xml:space="preserve"> y finalmente, el ingreso </w:t>
      </w:r>
      <w:r w:rsidR="00216414">
        <w:rPr>
          <w:lang w:val="es-ES"/>
        </w:rPr>
        <w:t xml:space="preserve">del país </w:t>
      </w:r>
      <w:r w:rsidR="00921802" w:rsidRPr="00F00632">
        <w:rPr>
          <w:lang w:val="es-ES"/>
        </w:rPr>
        <w:t>a la OCDE</w:t>
      </w:r>
      <w:r w:rsidR="00EC2F8F">
        <w:rPr>
          <w:lang w:val="es-ES"/>
        </w:rPr>
        <w:t xml:space="preserve">, han </w:t>
      </w:r>
      <w:r w:rsidR="001F7A1A">
        <w:rPr>
          <w:lang w:val="es-ES"/>
        </w:rPr>
        <w:lastRenderedPageBreak/>
        <w:t xml:space="preserve">posicionado </w:t>
      </w:r>
      <w:r w:rsidR="00EC2F8F">
        <w:rPr>
          <w:lang w:val="es-ES"/>
        </w:rPr>
        <w:t>a</w:t>
      </w:r>
      <w:r w:rsidR="00921802" w:rsidRPr="00F00632">
        <w:rPr>
          <w:lang w:val="es-ES"/>
        </w:rPr>
        <w:t>l país</w:t>
      </w:r>
      <w:r w:rsidR="001F7A1A">
        <w:rPr>
          <w:lang w:val="es-ES"/>
        </w:rPr>
        <w:t xml:space="preserve"> </w:t>
      </w:r>
      <w:r w:rsidR="00921802" w:rsidRPr="00F00632">
        <w:rPr>
          <w:lang w:val="es-ES"/>
        </w:rPr>
        <w:t xml:space="preserve">como un jugador relevante </w:t>
      </w:r>
      <w:r w:rsidR="00C4395A">
        <w:rPr>
          <w:lang w:val="es-ES"/>
        </w:rPr>
        <w:t>en la región</w:t>
      </w:r>
      <w:r w:rsidR="004E27F6">
        <w:rPr>
          <w:lang w:val="es-ES"/>
        </w:rPr>
        <w:t>,</w:t>
      </w:r>
      <w:r w:rsidR="00C4395A">
        <w:rPr>
          <w:lang w:val="es-ES"/>
        </w:rPr>
        <w:t xml:space="preserve"> </w:t>
      </w:r>
      <w:proofErr w:type="gramStart"/>
      <w:r w:rsidR="009B0501">
        <w:rPr>
          <w:lang w:val="es-ES"/>
        </w:rPr>
        <w:t>y</w:t>
      </w:r>
      <w:proofErr w:type="gramEnd"/>
      <w:r w:rsidR="00C4395A">
        <w:rPr>
          <w:lang w:val="es-ES"/>
        </w:rPr>
        <w:t xml:space="preserve"> </w:t>
      </w:r>
      <w:r w:rsidR="005923EE">
        <w:rPr>
          <w:lang w:val="es-ES"/>
        </w:rPr>
        <w:t xml:space="preserve">por </w:t>
      </w:r>
      <w:r w:rsidR="00042234">
        <w:rPr>
          <w:lang w:val="es-ES"/>
        </w:rPr>
        <w:t>ende,</w:t>
      </w:r>
      <w:r w:rsidR="001F7A1A">
        <w:rPr>
          <w:lang w:val="es-ES"/>
        </w:rPr>
        <w:t xml:space="preserve"> como un destino atractivo</w:t>
      </w:r>
      <w:r w:rsidR="009B0501">
        <w:rPr>
          <w:lang w:val="es-ES"/>
        </w:rPr>
        <w:t xml:space="preserve"> para la </w:t>
      </w:r>
      <w:r w:rsidR="00921802" w:rsidRPr="00F00632">
        <w:rPr>
          <w:lang w:val="es-ES"/>
        </w:rPr>
        <w:t xml:space="preserve">atracción de IED. </w:t>
      </w:r>
    </w:p>
    <w:p w14:paraId="0286F9F7" w14:textId="77777777" w:rsidR="004E27F6" w:rsidRPr="00F00632" w:rsidRDefault="004E27F6" w:rsidP="00155715">
      <w:pPr>
        <w:jc w:val="both"/>
        <w:rPr>
          <w:lang w:val="es-ES"/>
        </w:rPr>
      </w:pPr>
    </w:p>
    <w:p w14:paraId="678643E4" w14:textId="77777777" w:rsidR="003C17C9" w:rsidRDefault="00921802" w:rsidP="00104A82">
      <w:pPr>
        <w:keepNext/>
        <w:jc w:val="center"/>
      </w:pPr>
      <w:r w:rsidRPr="005513D8">
        <w:rPr>
          <w:rFonts w:cstheme="minorHAnsi"/>
          <w:noProof/>
          <w:spacing w:val="-2"/>
        </w:rPr>
        <w:drawing>
          <wp:inline distT="0" distB="0" distL="0" distR="0" wp14:anchorId="2F330C01" wp14:editId="3E7B6D0D">
            <wp:extent cx="6016628" cy="2368445"/>
            <wp:effectExtent l="0" t="0" r="3175" b="0"/>
            <wp:docPr id="1789862873" name="Picture 1789862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2646" name="Imagen 1865264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87986" cy="2435900"/>
                    </a:xfrm>
                    <a:prstGeom prst="rect">
                      <a:avLst/>
                    </a:prstGeom>
                  </pic:spPr>
                </pic:pic>
              </a:graphicData>
            </a:graphic>
          </wp:inline>
        </w:drawing>
      </w:r>
    </w:p>
    <w:p w14:paraId="55A32CAD" w14:textId="21B1DD0E" w:rsidR="00921802" w:rsidRPr="00104A82" w:rsidRDefault="003C17C9" w:rsidP="00104A82">
      <w:pPr>
        <w:pStyle w:val="Caption"/>
        <w:jc w:val="center"/>
        <w:rPr>
          <w:rFonts w:ascii="Garamond" w:hAnsi="Garamond"/>
          <w:color w:val="262626" w:themeColor="text1" w:themeTint="D9"/>
          <w:sz w:val="22"/>
          <w:szCs w:val="22"/>
          <w:lang w:val="es-ES"/>
        </w:rPr>
      </w:pPr>
      <w:r w:rsidRPr="00104A82">
        <w:rPr>
          <w:rFonts w:ascii="Garamond" w:hAnsi="Garamond"/>
          <w:color w:val="262626" w:themeColor="text1" w:themeTint="D9"/>
          <w:sz w:val="22"/>
          <w:szCs w:val="22"/>
          <w:lang w:val="es-ES"/>
        </w:rPr>
        <w:t xml:space="preserve">Gráfica </w:t>
      </w:r>
      <w:r w:rsidRPr="00104A82">
        <w:rPr>
          <w:rFonts w:ascii="Garamond" w:hAnsi="Garamond"/>
          <w:color w:val="262626" w:themeColor="text1" w:themeTint="D9"/>
          <w:sz w:val="22"/>
          <w:szCs w:val="22"/>
          <w:lang w:val="es-ES"/>
        </w:rPr>
        <w:fldChar w:fldCharType="begin"/>
      </w:r>
      <w:r w:rsidRPr="00104A82">
        <w:rPr>
          <w:rFonts w:ascii="Garamond" w:hAnsi="Garamond"/>
          <w:color w:val="262626" w:themeColor="text1" w:themeTint="D9"/>
          <w:sz w:val="22"/>
          <w:szCs w:val="22"/>
          <w:lang w:val="es-ES"/>
        </w:rPr>
        <w:instrText xml:space="preserve"> SEQ Gráfica \* ARABIC </w:instrText>
      </w:r>
      <w:r w:rsidRPr="00104A82">
        <w:rPr>
          <w:rFonts w:ascii="Garamond" w:hAnsi="Garamond"/>
          <w:color w:val="262626" w:themeColor="text1" w:themeTint="D9"/>
          <w:sz w:val="22"/>
          <w:szCs w:val="22"/>
          <w:lang w:val="es-ES"/>
        </w:rPr>
        <w:fldChar w:fldCharType="separate"/>
      </w:r>
      <w:r w:rsidR="00470EC2">
        <w:rPr>
          <w:rFonts w:ascii="Garamond" w:hAnsi="Garamond"/>
          <w:noProof/>
          <w:color w:val="262626" w:themeColor="text1" w:themeTint="D9"/>
          <w:sz w:val="22"/>
          <w:szCs w:val="22"/>
          <w:lang w:val="es-ES"/>
        </w:rPr>
        <w:t>3</w:t>
      </w:r>
      <w:r w:rsidRPr="00104A82">
        <w:rPr>
          <w:rFonts w:ascii="Garamond" w:hAnsi="Garamond"/>
          <w:color w:val="262626" w:themeColor="text1" w:themeTint="D9"/>
          <w:sz w:val="22"/>
          <w:szCs w:val="22"/>
          <w:lang w:val="es-ES"/>
        </w:rPr>
        <w:fldChar w:fldCharType="end"/>
      </w:r>
      <w:r w:rsidRPr="00104A82">
        <w:rPr>
          <w:rFonts w:ascii="Garamond" w:hAnsi="Garamond"/>
          <w:color w:val="262626" w:themeColor="text1" w:themeTint="D9"/>
          <w:sz w:val="22"/>
          <w:szCs w:val="22"/>
          <w:lang w:val="es-ES"/>
        </w:rPr>
        <w:t>.</w:t>
      </w:r>
      <w:r w:rsidR="003F4FEE" w:rsidRPr="00104A82">
        <w:rPr>
          <w:rFonts w:ascii="Garamond" w:hAnsi="Garamond"/>
          <w:color w:val="262626" w:themeColor="text1" w:themeTint="D9"/>
          <w:sz w:val="22"/>
          <w:szCs w:val="22"/>
          <w:lang w:val="es-ES"/>
        </w:rPr>
        <w:t xml:space="preserve"> Flujos entrantes de IED hacia Colombia en el período 2007 a 2022 y principales eventos</w:t>
      </w:r>
      <w:r w:rsidR="00104A82" w:rsidRPr="00104A82">
        <w:rPr>
          <w:rFonts w:ascii="Garamond" w:hAnsi="Garamond"/>
          <w:color w:val="262626" w:themeColor="text1" w:themeTint="D9"/>
          <w:sz w:val="22"/>
          <w:szCs w:val="22"/>
          <w:lang w:val="es-ES"/>
        </w:rPr>
        <w:t xml:space="preserve"> coyunturales</w:t>
      </w:r>
    </w:p>
    <w:p w14:paraId="6958CD61" w14:textId="42D554B5" w:rsidR="00921802" w:rsidRPr="00000A8A" w:rsidRDefault="00921802" w:rsidP="00155715">
      <w:pPr>
        <w:jc w:val="both"/>
        <w:rPr>
          <w:lang w:val="es-ES"/>
        </w:rPr>
      </w:pPr>
      <w:r w:rsidRPr="00000A8A">
        <w:rPr>
          <w:lang w:val="es-ES"/>
        </w:rPr>
        <w:t xml:space="preserve">En este contexto, nuestra investigación </w:t>
      </w:r>
      <w:r w:rsidR="00F236B1">
        <w:rPr>
          <w:lang w:val="es-ES"/>
        </w:rPr>
        <w:t>busca</w:t>
      </w:r>
      <w:r w:rsidRPr="00000A8A">
        <w:rPr>
          <w:lang w:val="es-ES"/>
        </w:rPr>
        <w:t xml:space="preserve"> hacer un análisis de uno de los muchos instrumentos que tiene Colombia para competir fiscalmente por IED. Esto, considerando que es un país recientemente sumergido en la competencia por la Inversión Extranjera Directa. </w:t>
      </w:r>
    </w:p>
    <w:p w14:paraId="778BC925" w14:textId="77777777" w:rsidR="0089304F" w:rsidRDefault="0089304F" w:rsidP="00155715">
      <w:pPr>
        <w:jc w:val="both"/>
        <w:rPr>
          <w:lang w:val="es-ES"/>
        </w:rPr>
      </w:pPr>
    </w:p>
    <w:p w14:paraId="40647ECE" w14:textId="0785883E" w:rsidR="00921802" w:rsidRPr="00000A8A" w:rsidRDefault="00921802" w:rsidP="00155715">
      <w:pPr>
        <w:jc w:val="both"/>
        <w:rPr>
          <w:lang w:val="es-ES"/>
        </w:rPr>
      </w:pPr>
      <w:r w:rsidRPr="00000A8A">
        <w:rPr>
          <w:lang w:val="es-ES"/>
        </w:rPr>
        <w:t xml:space="preserve">En ese sentido, los aportes a la literatura de este documento parten de la base inicial </w:t>
      </w:r>
      <w:proofErr w:type="gramStart"/>
      <w:r w:rsidR="007111A0" w:rsidRPr="00000A8A">
        <w:rPr>
          <w:lang w:val="es-ES"/>
        </w:rPr>
        <w:t>que</w:t>
      </w:r>
      <w:proofErr w:type="gramEnd"/>
      <w:r w:rsidR="007111A0" w:rsidRPr="00000A8A">
        <w:rPr>
          <w:lang w:val="es-ES"/>
        </w:rPr>
        <w:t xml:space="preserve"> </w:t>
      </w:r>
      <w:r w:rsidR="007111A0">
        <w:rPr>
          <w:lang w:val="es-ES"/>
        </w:rPr>
        <w:t>en</w:t>
      </w:r>
      <w:r w:rsidRPr="00000A8A">
        <w:rPr>
          <w:lang w:val="es-ES"/>
        </w:rPr>
        <w:t xml:space="preserve"> nuestro conocimiento, no existe un estudio que haya medido el impacto de los Acuerdos de Doble Tributación vigentes por Colombia sobre la IED entra</w:t>
      </w:r>
      <w:r w:rsidR="0089304F">
        <w:rPr>
          <w:lang w:val="es-ES"/>
        </w:rPr>
        <w:t>nte</w:t>
      </w:r>
      <w:r w:rsidRPr="00000A8A">
        <w:rPr>
          <w:lang w:val="es-ES"/>
        </w:rPr>
        <w:t xml:space="preserve"> al país. </w:t>
      </w:r>
    </w:p>
    <w:p w14:paraId="6A617D19" w14:textId="77777777" w:rsidR="00921802" w:rsidRPr="00000A8A" w:rsidRDefault="00921802" w:rsidP="00155715">
      <w:pPr>
        <w:jc w:val="both"/>
        <w:rPr>
          <w:lang w:val="es-ES"/>
        </w:rPr>
      </w:pPr>
    </w:p>
    <w:p w14:paraId="7F9935D4" w14:textId="3C412B99" w:rsidR="00921802" w:rsidRDefault="00921802" w:rsidP="00155715">
      <w:pPr>
        <w:jc w:val="both"/>
        <w:rPr>
          <w:lang w:val="es-ES"/>
        </w:rPr>
      </w:pPr>
      <w:r w:rsidRPr="00000A8A">
        <w:rPr>
          <w:lang w:val="es-ES"/>
        </w:rPr>
        <w:t xml:space="preserve">De esta manera, los resultados </w:t>
      </w:r>
      <w:r w:rsidR="008A2CB8">
        <w:rPr>
          <w:lang w:val="es-ES"/>
        </w:rPr>
        <w:t xml:space="preserve">de este estudio </w:t>
      </w:r>
      <w:r w:rsidRPr="00000A8A">
        <w:rPr>
          <w:lang w:val="es-ES"/>
        </w:rPr>
        <w:t xml:space="preserve">pretenden </w:t>
      </w:r>
      <w:r w:rsidR="008A2CB8">
        <w:rPr>
          <w:lang w:val="es-ES"/>
        </w:rPr>
        <w:t>contribuir</w:t>
      </w:r>
      <w:r w:rsidRPr="00000A8A">
        <w:rPr>
          <w:lang w:val="es-ES"/>
        </w:rPr>
        <w:t xml:space="preserve"> a la discusión de Política Pública en materia de Comercio Exterior e Inversión</w:t>
      </w:r>
      <w:r w:rsidR="00A96566">
        <w:rPr>
          <w:lang w:val="es-ES"/>
        </w:rPr>
        <w:t>, ofreciendo</w:t>
      </w:r>
      <w:r w:rsidR="00911F9A">
        <w:rPr>
          <w:lang w:val="es-ES"/>
        </w:rPr>
        <w:t xml:space="preserve"> </w:t>
      </w:r>
      <w:r w:rsidRPr="00000A8A">
        <w:rPr>
          <w:lang w:val="es-ES"/>
        </w:rPr>
        <w:t xml:space="preserve">una aproximación evaluativa </w:t>
      </w:r>
      <w:r w:rsidR="009A6B6C">
        <w:rPr>
          <w:lang w:val="es-ES"/>
        </w:rPr>
        <w:t>de</w:t>
      </w:r>
      <w:r w:rsidRPr="00000A8A">
        <w:rPr>
          <w:lang w:val="es-ES"/>
        </w:rPr>
        <w:t xml:space="preserve"> la efectividad de los </w:t>
      </w:r>
      <w:proofErr w:type="spellStart"/>
      <w:r w:rsidRPr="00000A8A">
        <w:rPr>
          <w:lang w:val="es-ES"/>
        </w:rPr>
        <w:t>ADTs</w:t>
      </w:r>
      <w:proofErr w:type="spellEnd"/>
      <w:r w:rsidRPr="00000A8A">
        <w:rPr>
          <w:lang w:val="es-ES"/>
        </w:rPr>
        <w:t xml:space="preserve"> para atraer inversión al país. Esto </w:t>
      </w:r>
      <w:r w:rsidR="00B10B65">
        <w:rPr>
          <w:lang w:val="es-ES"/>
        </w:rPr>
        <w:t xml:space="preserve">es relevante considerando </w:t>
      </w:r>
      <w:r w:rsidRPr="00000A8A">
        <w:rPr>
          <w:lang w:val="es-ES"/>
        </w:rPr>
        <w:t xml:space="preserve">el esfuerzo económico y diplomático que implica la negociación de estos acuerdos para el Estado. </w:t>
      </w:r>
    </w:p>
    <w:p w14:paraId="15D91BA0" w14:textId="77777777" w:rsidR="00BA26F9" w:rsidRDefault="00BA26F9" w:rsidP="00155715">
      <w:pPr>
        <w:jc w:val="both"/>
        <w:rPr>
          <w:lang w:val="es-ES"/>
        </w:rPr>
      </w:pPr>
    </w:p>
    <w:p w14:paraId="07BEABF6" w14:textId="6E1E2D7C" w:rsidR="005B14BF" w:rsidRPr="00000A8A" w:rsidRDefault="005B14BF" w:rsidP="00155715">
      <w:pPr>
        <w:pStyle w:val="Heading2"/>
        <w:jc w:val="both"/>
        <w:rPr>
          <w:szCs w:val="24"/>
          <w:lang w:val="es-ES"/>
        </w:rPr>
      </w:pPr>
      <w:r w:rsidRPr="00000A8A">
        <w:rPr>
          <w:szCs w:val="24"/>
          <w:lang w:val="es-ES"/>
        </w:rPr>
        <w:t>Revisión de literatura</w:t>
      </w:r>
    </w:p>
    <w:p w14:paraId="38D7C31A" w14:textId="77777777" w:rsidR="005B14BF" w:rsidRPr="00000A8A" w:rsidRDefault="005B14BF" w:rsidP="00155715">
      <w:pPr>
        <w:jc w:val="both"/>
        <w:rPr>
          <w:lang w:val="es-ES"/>
        </w:rPr>
      </w:pPr>
    </w:p>
    <w:p w14:paraId="486481E7" w14:textId="285FFC77" w:rsidR="005B14BF" w:rsidRPr="003D18FF" w:rsidRDefault="005B14BF" w:rsidP="00155715">
      <w:pPr>
        <w:jc w:val="both"/>
        <w:rPr>
          <w:lang w:val="es-ES"/>
        </w:rPr>
      </w:pPr>
      <w:r w:rsidRPr="003D18FF">
        <w:rPr>
          <w:lang w:val="es-ES"/>
        </w:rPr>
        <w:t>La relación de los acuerdos de doble tributación y la inversión extranjera directa ha sido ampliamente estudiada por distintos agentes gubernamentales y académicos. Tal como lo afirman</w:t>
      </w:r>
      <w:sdt>
        <w:sdtPr>
          <w:rPr>
            <w:lang w:val="es-ES"/>
          </w:rPr>
          <w:id w:val="-2079192192"/>
          <w:citation/>
        </w:sdtPr>
        <w:sdtContent>
          <w:r w:rsidR="00380484" w:rsidRPr="003D18FF">
            <w:rPr>
              <w:lang w:val="es-ES"/>
            </w:rPr>
            <w:fldChar w:fldCharType="begin"/>
          </w:r>
          <w:r w:rsidR="00581552">
            <w:rPr>
              <w:lang w:val="es-ES_tradnl"/>
            </w:rPr>
            <w:instrText xml:space="preserve">CITATION Fab10 \l 1034 </w:instrText>
          </w:r>
          <w:r w:rsidR="00380484" w:rsidRPr="003D18FF">
            <w:rPr>
              <w:lang w:val="es-ES"/>
            </w:rPr>
            <w:fldChar w:fldCharType="separate"/>
          </w:r>
          <w:r w:rsidR="00AC02AC">
            <w:rPr>
              <w:noProof/>
              <w:lang w:val="es-ES_tradnl"/>
            </w:rPr>
            <w:t xml:space="preserve"> </w:t>
          </w:r>
          <w:r w:rsidR="00AC02AC" w:rsidRPr="00AC02AC">
            <w:rPr>
              <w:noProof/>
              <w:lang w:val="es-ES_tradnl"/>
            </w:rPr>
            <w:t>(Barthel, Busse, Krever, &amp; Neumayer, 2010)</w:t>
          </w:r>
          <w:r w:rsidR="00380484" w:rsidRPr="003D18FF">
            <w:rPr>
              <w:lang w:val="es-ES"/>
            </w:rPr>
            <w:fldChar w:fldCharType="end"/>
          </w:r>
        </w:sdtContent>
      </w:sdt>
      <w:r w:rsidRPr="003D18FF">
        <w:rPr>
          <w:lang w:val="es-ES"/>
        </w:rPr>
        <w:t xml:space="preserve">, la relación de los acuerdos de doble tributación y la IED no es intuitiva y necesita de abordajes teóricos y econométricos. </w:t>
      </w:r>
    </w:p>
    <w:p w14:paraId="52D8635E" w14:textId="77777777" w:rsidR="005B14BF" w:rsidRPr="003D18FF" w:rsidRDefault="005B14BF" w:rsidP="00155715">
      <w:pPr>
        <w:jc w:val="both"/>
        <w:rPr>
          <w:lang w:val="es-ES"/>
        </w:rPr>
      </w:pPr>
    </w:p>
    <w:p w14:paraId="5268EEEE" w14:textId="6079AF1C" w:rsidR="005B14BF" w:rsidRPr="003D18FF" w:rsidRDefault="00711CAF" w:rsidP="00155715">
      <w:pPr>
        <w:jc w:val="both"/>
        <w:rPr>
          <w:lang w:val="es-ES"/>
        </w:rPr>
      </w:pPr>
      <w:r>
        <w:rPr>
          <w:lang w:val="es-ES"/>
        </w:rPr>
        <w:t>Retomando que l</w:t>
      </w:r>
      <w:r w:rsidR="005B14BF" w:rsidRPr="003D18FF">
        <w:rPr>
          <w:lang w:val="es-ES"/>
        </w:rPr>
        <w:t>os Acuerdos de Doble Tributación restituyen los derechos tributarios a los países que son residencias fiscales de los inversionistas a través de: Exención, deducción y crédito fiscal</w:t>
      </w:r>
      <w:r w:rsidR="00EA5933">
        <w:rPr>
          <w:lang w:val="es-ES"/>
        </w:rPr>
        <w:t xml:space="preserve">, </w:t>
      </w:r>
      <w:r w:rsidR="005B14BF" w:rsidRPr="003D18FF">
        <w:rPr>
          <w:lang w:val="es-ES"/>
        </w:rPr>
        <w:t xml:space="preserve">los Acuerdos representan unas pérdidas en recaudo y eficiencia tributaria para el Estado receptor de Inversión Extranjera Directa. Sin embargo, considerando el aumento en el número de Acuerdos firmados desde los 90s al presente, el racional de los países que suscriben este tipo de acuerdos parece indicar que el costo y pérdida de ingresos generados </w:t>
      </w:r>
      <w:r w:rsidR="005B14BF" w:rsidRPr="003D18FF">
        <w:rPr>
          <w:lang w:val="es-ES"/>
        </w:rPr>
        <w:lastRenderedPageBreak/>
        <w:t>por la suscripción de un ADT en el corto plazo, es superado por los beneficios económicos que se derivan de la IED estimulada por el mismo en el largo plazo.</w:t>
      </w:r>
    </w:p>
    <w:p w14:paraId="1EA2FBE0" w14:textId="77777777" w:rsidR="005B14BF" w:rsidRPr="003D18FF" w:rsidRDefault="005B14BF" w:rsidP="00155715">
      <w:pPr>
        <w:jc w:val="both"/>
        <w:rPr>
          <w:lang w:val="es-ES"/>
        </w:rPr>
      </w:pPr>
    </w:p>
    <w:p w14:paraId="6DA58AED" w14:textId="61368EC4" w:rsidR="005B14BF" w:rsidRPr="003D18FF" w:rsidRDefault="005B14BF" w:rsidP="00155715">
      <w:pPr>
        <w:jc w:val="both"/>
        <w:rPr>
          <w:lang w:val="es-ES"/>
        </w:rPr>
      </w:pPr>
      <w:r w:rsidRPr="003D18FF">
        <w:rPr>
          <w:lang w:val="es-ES"/>
        </w:rPr>
        <w:t>De esta manera, el abordaje a la relación entre la IED y los Acuerdos de Doble Tributación se ha realizado desde dos aristas: La primera siendo una aproximación teórica que busca entender desde un punto de vista jurídico y económico, la lógica que tiene un Estado que suscribe este tipo de acuerdos y en el mediano y largo plazo obtiene</w:t>
      </w:r>
      <w:r w:rsidR="00125BCB">
        <w:rPr>
          <w:lang w:val="es-ES"/>
        </w:rPr>
        <w:t xml:space="preserve"> </w:t>
      </w:r>
      <w:r w:rsidRPr="003D18FF">
        <w:rPr>
          <w:lang w:val="es-ES"/>
        </w:rPr>
        <w:t xml:space="preserve">mayores flujos de Inversión Extranjera con los países que suscribió el compromiso de tributación internacional. Por otra parte, la segunda aproximación ha buscado entender la relación entre ambos elementos a partir de una base estadística en la que se utilizan herramientas econométricas como la predicción y la inferencia causal. </w:t>
      </w:r>
    </w:p>
    <w:p w14:paraId="02CF9C0A" w14:textId="77777777" w:rsidR="005B14BF" w:rsidRPr="003D18FF" w:rsidRDefault="005B14BF" w:rsidP="00155715">
      <w:pPr>
        <w:jc w:val="both"/>
        <w:rPr>
          <w:lang w:val="es-ES"/>
        </w:rPr>
      </w:pPr>
    </w:p>
    <w:p w14:paraId="71A1DB82" w14:textId="063C9521" w:rsidR="005B14BF" w:rsidRPr="003D18FF" w:rsidRDefault="005B14BF" w:rsidP="00155715">
      <w:pPr>
        <w:jc w:val="both"/>
        <w:rPr>
          <w:lang w:val="es-ES"/>
        </w:rPr>
      </w:pPr>
      <w:r w:rsidRPr="003D18FF">
        <w:rPr>
          <w:lang w:val="es-ES"/>
        </w:rPr>
        <w:t xml:space="preserve">Para el propósito de este documento, se </w:t>
      </w:r>
      <w:r w:rsidR="00831431" w:rsidRPr="003D18FF">
        <w:rPr>
          <w:lang w:val="es-ES"/>
        </w:rPr>
        <w:t>analizarán dos</w:t>
      </w:r>
      <w:r w:rsidRPr="003D18FF">
        <w:rPr>
          <w:lang w:val="es-ES"/>
        </w:rPr>
        <w:t xml:space="preserve"> de los estudios más relevantes y citados por la comunidad académica, concernientes a la segunda aproximación ya que como se ha afirmado previamente, el objetivo de este estudio es establecer y calcular el impacto que tiene para los flujos entrantes de IED de Colombia la suscripción y </w:t>
      </w:r>
      <w:proofErr w:type="gramStart"/>
      <w:r w:rsidRPr="003D18FF">
        <w:rPr>
          <w:lang w:val="es-ES"/>
        </w:rPr>
        <w:t>entrada en vigencia</w:t>
      </w:r>
      <w:proofErr w:type="gramEnd"/>
      <w:r w:rsidRPr="003D18FF">
        <w:rPr>
          <w:lang w:val="es-ES"/>
        </w:rPr>
        <w:t xml:space="preserve"> de un Acuerdo de Doble Tributación con un país. </w:t>
      </w:r>
    </w:p>
    <w:p w14:paraId="696F0D0D" w14:textId="77777777" w:rsidR="005B14BF" w:rsidRPr="005513D8" w:rsidRDefault="005B14BF" w:rsidP="00155715">
      <w:pPr>
        <w:jc w:val="both"/>
        <w:rPr>
          <w:lang w:val="es-ES"/>
        </w:rPr>
      </w:pPr>
    </w:p>
    <w:p w14:paraId="6454A22F" w14:textId="77777777" w:rsidR="005B14BF" w:rsidRPr="005513D8" w:rsidRDefault="005B14BF" w:rsidP="00155715">
      <w:pPr>
        <w:jc w:val="both"/>
        <w:rPr>
          <w:lang w:val="es-ES"/>
        </w:rPr>
      </w:pPr>
      <w:r w:rsidRPr="005513D8">
        <w:rPr>
          <w:lang w:val="es-ES"/>
        </w:rPr>
        <w:t xml:space="preserve">El primer estudio tiene un análisis multilateral de los flujos de IED y el segundo, un análisis bilateral entre </w:t>
      </w:r>
      <w:proofErr w:type="gramStart"/>
      <w:r w:rsidRPr="005513D8">
        <w:rPr>
          <w:lang w:val="es-ES"/>
        </w:rPr>
        <w:t>EE.UU</w:t>
      </w:r>
      <w:proofErr w:type="gramEnd"/>
      <w:r w:rsidRPr="005513D8">
        <w:rPr>
          <w:lang w:val="es-ES"/>
        </w:rPr>
        <w:t xml:space="preserve"> y los países con los que éste tiene ADT. </w:t>
      </w:r>
    </w:p>
    <w:p w14:paraId="1DDEC596" w14:textId="77777777" w:rsidR="005B14BF" w:rsidRPr="00E84A41" w:rsidRDefault="005B14BF" w:rsidP="00155715">
      <w:pPr>
        <w:jc w:val="both"/>
        <w:rPr>
          <w:lang w:val="es-ES"/>
        </w:rPr>
      </w:pPr>
    </w:p>
    <w:p w14:paraId="064EBD2C" w14:textId="1BC926EF" w:rsidR="005B14BF" w:rsidRPr="005513D8" w:rsidRDefault="005B14BF" w:rsidP="00756B70">
      <w:pPr>
        <w:pStyle w:val="Heading3"/>
        <w:jc w:val="center"/>
      </w:pPr>
      <w:r w:rsidRPr="005513D8">
        <w:t>The Impact of Double Taxation Treaties on Foreign Direct Investment: Evidence from Large Dyadic Panel Data</w:t>
      </w:r>
      <w:sdt>
        <w:sdtPr>
          <w:id w:val="-82758750"/>
          <w:citation/>
        </w:sdtPr>
        <w:sdtContent>
          <w:r w:rsidR="00B54799">
            <w:fldChar w:fldCharType="begin"/>
          </w:r>
          <w:r w:rsidR="00581552">
            <w:instrText xml:space="preserve">CITATION Fab10 \l 1034 </w:instrText>
          </w:r>
          <w:r w:rsidR="00B54799">
            <w:fldChar w:fldCharType="separate"/>
          </w:r>
          <w:r w:rsidR="00AC02AC">
            <w:rPr>
              <w:noProof/>
            </w:rPr>
            <w:t xml:space="preserve"> (Barthel, Busse, Krever, &amp; Neumayer, 2010)</w:t>
          </w:r>
          <w:r w:rsidR="00B54799">
            <w:fldChar w:fldCharType="end"/>
          </w:r>
        </w:sdtContent>
      </w:sdt>
    </w:p>
    <w:p w14:paraId="15BC04DF" w14:textId="77777777" w:rsidR="005B14BF" w:rsidRPr="005513D8" w:rsidRDefault="005B14BF" w:rsidP="00155715">
      <w:pPr>
        <w:jc w:val="both"/>
      </w:pPr>
    </w:p>
    <w:p w14:paraId="6913A837" w14:textId="77777777" w:rsidR="005B14BF" w:rsidRPr="00000A8A" w:rsidRDefault="005B14BF" w:rsidP="00155715">
      <w:pPr>
        <w:jc w:val="both"/>
        <w:rPr>
          <w:lang w:val="es-ES"/>
        </w:rPr>
      </w:pPr>
      <w:r w:rsidRPr="00000A8A">
        <w:rPr>
          <w:lang w:val="es-ES"/>
        </w:rPr>
        <w:t xml:space="preserve">Barthel et al (2010) y Barthel, </w:t>
      </w:r>
      <w:proofErr w:type="spellStart"/>
      <w:r w:rsidRPr="00000A8A">
        <w:rPr>
          <w:lang w:val="es-ES"/>
        </w:rPr>
        <w:t>Busse</w:t>
      </w:r>
      <w:proofErr w:type="spellEnd"/>
      <w:r w:rsidRPr="00000A8A">
        <w:rPr>
          <w:lang w:val="es-ES"/>
        </w:rPr>
        <w:t xml:space="preserve"> &amp; </w:t>
      </w:r>
      <w:proofErr w:type="spellStart"/>
      <w:r w:rsidRPr="00000A8A">
        <w:rPr>
          <w:lang w:val="es-ES"/>
        </w:rPr>
        <w:t>Neumayer</w:t>
      </w:r>
      <w:proofErr w:type="spellEnd"/>
      <w:r w:rsidRPr="00000A8A">
        <w:rPr>
          <w:lang w:val="es-ES"/>
        </w:rPr>
        <w:t xml:space="preserve"> (2009) son quizás los académicos que más han abordado la relación entre los acuerdos de doble tributación y la Inversión Extranjera Directa desde una aproximación económica y estadística. </w:t>
      </w:r>
    </w:p>
    <w:p w14:paraId="32293194" w14:textId="77777777" w:rsidR="005B14BF" w:rsidRPr="00000A8A" w:rsidRDefault="005B14BF" w:rsidP="00155715">
      <w:pPr>
        <w:jc w:val="both"/>
        <w:rPr>
          <w:lang w:val="es-ES"/>
        </w:rPr>
      </w:pPr>
    </w:p>
    <w:p w14:paraId="715FCE4F" w14:textId="77777777" w:rsidR="005B14BF" w:rsidRPr="00000A8A" w:rsidRDefault="005B14BF" w:rsidP="00155715">
      <w:pPr>
        <w:jc w:val="both"/>
        <w:rPr>
          <w:lang w:val="es-ES"/>
        </w:rPr>
      </w:pPr>
      <w:r w:rsidRPr="00000A8A">
        <w:rPr>
          <w:lang w:val="es-ES"/>
        </w:rPr>
        <w:t xml:space="preserve">En las estimaciones principales de este documento, se utiliza un estimador de efectos fijos diádicos, es decir, cada diada de países tiene su propio intercepto. Una ventaja de este estudio es que todos los factores que un par de países tienen en común y que no varían en el tiempo se controlan automáticamente. Igualmente, los efectos fijos de las díadas también excluyen automáticamente los ‘tratados antiguos’ es decir, aquellas unidades que tuvieron la </w:t>
      </w:r>
      <w:proofErr w:type="gramStart"/>
      <w:r w:rsidRPr="00000A8A">
        <w:rPr>
          <w:lang w:val="es-ES"/>
        </w:rPr>
        <w:t>entrada en vigencia</w:t>
      </w:r>
      <w:proofErr w:type="gramEnd"/>
      <w:r w:rsidRPr="00000A8A">
        <w:rPr>
          <w:lang w:val="es-ES"/>
        </w:rPr>
        <w:t xml:space="preserve"> de un ADT previo a su periodo de análisis (1978 – 2004). Adicionalmente, se hace un estimador de efectos fijos dinámico, un estimador de efectos fijos estático y adicionalmente, un estimador de Arellano Bond GMM. </w:t>
      </w:r>
    </w:p>
    <w:p w14:paraId="037A9AD9" w14:textId="77777777" w:rsidR="005B14BF" w:rsidRPr="00000A8A" w:rsidRDefault="005B14BF" w:rsidP="00155715">
      <w:pPr>
        <w:jc w:val="both"/>
        <w:rPr>
          <w:lang w:val="es-ES"/>
        </w:rPr>
      </w:pPr>
    </w:p>
    <w:p w14:paraId="11932AE9" w14:textId="32096537" w:rsidR="005B14BF" w:rsidRPr="00000A8A" w:rsidRDefault="005B14BF" w:rsidP="00155715">
      <w:pPr>
        <w:jc w:val="both"/>
        <w:rPr>
          <w:lang w:val="es-ES"/>
        </w:rPr>
      </w:pPr>
      <w:r w:rsidRPr="00000A8A">
        <w:rPr>
          <w:lang w:val="es-ES"/>
        </w:rPr>
        <w:t xml:space="preserve">En ese sentido, los autores analizan países que tienen Acuerdos de Doble Tributación suscritos entre ellos, los cuales están divididos en dos grupos: Países de origen y países de acogida. Los primeros definidos como aquellos países que envían flujos de IED y los segundos como aquellos que los reciben. Nótese </w:t>
      </w:r>
      <w:r w:rsidR="00CB317A" w:rsidRPr="00000A8A">
        <w:rPr>
          <w:lang w:val="es-ES"/>
        </w:rPr>
        <w:t>que,</w:t>
      </w:r>
      <w:r w:rsidRPr="00000A8A">
        <w:rPr>
          <w:lang w:val="es-ES"/>
        </w:rPr>
        <w:t xml:space="preserve"> en la metodología planteada por Barthel, </w:t>
      </w:r>
      <w:proofErr w:type="spellStart"/>
      <w:r w:rsidRPr="00000A8A">
        <w:rPr>
          <w:lang w:val="es-ES"/>
        </w:rPr>
        <w:t>Busse</w:t>
      </w:r>
      <w:proofErr w:type="spellEnd"/>
      <w:r w:rsidRPr="00000A8A">
        <w:rPr>
          <w:lang w:val="es-ES"/>
        </w:rPr>
        <w:t xml:space="preserve"> &amp; </w:t>
      </w:r>
      <w:proofErr w:type="spellStart"/>
      <w:r w:rsidRPr="00000A8A">
        <w:rPr>
          <w:lang w:val="es-ES"/>
        </w:rPr>
        <w:t>Neumayer</w:t>
      </w:r>
      <w:proofErr w:type="spellEnd"/>
      <w:r w:rsidRPr="00000A8A">
        <w:rPr>
          <w:lang w:val="es-ES"/>
        </w:rPr>
        <w:t xml:space="preserve"> (2009), se quiere analizar primordialmente la relación entre la IED y los </w:t>
      </w:r>
      <w:proofErr w:type="spellStart"/>
      <w:r w:rsidRPr="00000A8A">
        <w:rPr>
          <w:lang w:val="es-ES"/>
        </w:rPr>
        <w:t>ADTs</w:t>
      </w:r>
      <w:proofErr w:type="spellEnd"/>
      <w:r w:rsidRPr="00000A8A">
        <w:rPr>
          <w:lang w:val="es-ES"/>
        </w:rPr>
        <w:t xml:space="preserve"> a partir de una base de observaciones que tiene tanto unos flujos entre ellos como un Acuerdo suscrito. </w:t>
      </w:r>
    </w:p>
    <w:p w14:paraId="55E1E956" w14:textId="77777777" w:rsidR="005B14BF" w:rsidRPr="00000A8A" w:rsidRDefault="005B14BF" w:rsidP="00155715">
      <w:pPr>
        <w:jc w:val="both"/>
        <w:rPr>
          <w:lang w:val="es-ES"/>
        </w:rPr>
      </w:pPr>
    </w:p>
    <w:p w14:paraId="56C16707" w14:textId="77777777" w:rsidR="005B14BF" w:rsidRPr="00000A8A" w:rsidRDefault="005B14BF" w:rsidP="00155715">
      <w:pPr>
        <w:jc w:val="both"/>
        <w:rPr>
          <w:lang w:val="es-ES"/>
        </w:rPr>
      </w:pPr>
      <w:r w:rsidRPr="00000A8A">
        <w:rPr>
          <w:lang w:val="es-ES"/>
        </w:rPr>
        <w:lastRenderedPageBreak/>
        <w:t>Para su estimación, los autores utilizan la presente especificación funcional</w:t>
      </w:r>
      <w:r w:rsidRPr="005513D8">
        <w:rPr>
          <w:rStyle w:val="FootnoteReference"/>
        </w:rPr>
        <w:footnoteReference w:id="14"/>
      </w:r>
      <w:r w:rsidRPr="00000A8A">
        <w:rPr>
          <w:lang w:val="es-ES"/>
        </w:rPr>
        <w:t xml:space="preserve">: </w:t>
      </w:r>
    </w:p>
    <w:p w14:paraId="549A48C4" w14:textId="77777777" w:rsidR="005B14BF" w:rsidRPr="00000A8A" w:rsidRDefault="005B14BF" w:rsidP="00155715">
      <w:pPr>
        <w:jc w:val="both"/>
        <w:rPr>
          <w:lang w:val="es-ES"/>
        </w:rPr>
      </w:pPr>
    </w:p>
    <w:p w14:paraId="3DE65D25" w14:textId="77777777" w:rsidR="005B14BF" w:rsidRPr="005513D8" w:rsidRDefault="005B14BF" w:rsidP="00155715">
      <w:pPr>
        <w:tabs>
          <w:tab w:val="left" w:pos="1200"/>
        </w:tabs>
        <w:spacing w:before="196" w:line="242" w:lineRule="auto"/>
        <w:jc w:val="both"/>
        <w:rPr>
          <w:b/>
          <w:bCs/>
        </w:rPr>
      </w:pPr>
      <m:oMathPara>
        <m:oMath>
          <m:r>
            <w:rPr>
              <w:rFonts w:ascii="Cambria Math" w:hAnsi="Cambria Math"/>
            </w:rPr>
            <m:t>Log IE</m:t>
          </m:r>
          <m:sSub>
            <m:sSubPr>
              <m:ctrlPr>
                <w:rPr>
                  <w:rFonts w:ascii="Cambria Math" w:hAnsi="Cambria Math"/>
                  <w:i/>
                </w:rPr>
              </m:ctrlPr>
            </m:sSubPr>
            <m:e>
              <m:r>
                <w:rPr>
                  <w:rFonts w:ascii="Cambria Math" w:hAnsi="Cambria Math"/>
                </w:rPr>
                <m:t>D</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o</m:t>
              </m:r>
            </m:sub>
          </m:sSub>
          <m:r>
            <w:rPr>
              <w:rFonts w:ascii="Cambria Math" w:hAnsi="Cambria Math"/>
            </w:rPr>
            <m:t>+</m:t>
          </m:r>
          <m:sSub>
            <m:sSubPr>
              <m:ctrlPr>
                <w:rPr>
                  <w:rFonts w:ascii="Cambria Math" w:eastAsia="Cambria Math" w:hAnsi="Cambria Math"/>
                  <w:spacing w:val="-2"/>
                  <w:w w:val="105"/>
                  <w:vertAlign w:val="subscript"/>
                </w:rPr>
              </m:ctrlPr>
            </m:sSubPr>
            <m:e>
              <m:r>
                <m:rPr>
                  <m:sty m:val="p"/>
                </m:rPr>
                <w:rPr>
                  <w:rFonts w:ascii="Cambria Math" w:eastAsia="Cambria Math" w:hAnsi="Cambria Math"/>
                  <w:spacing w:val="-2"/>
                  <w:w w:val="105"/>
                </w:rPr>
                <m:t>β</m:t>
              </m:r>
              <m:ctrlPr>
                <w:rPr>
                  <w:rFonts w:ascii="Cambria Math" w:eastAsia="Cambria Math" w:hAnsi="Cambria Math"/>
                  <w:spacing w:val="-2"/>
                  <w:w w:val="105"/>
                </w:rPr>
              </m:ctrlPr>
            </m:e>
            <m:sub>
              <m:r>
                <m:rPr>
                  <m:sty m:val="p"/>
                </m:rPr>
                <w:rPr>
                  <w:rFonts w:ascii="Cambria Math" w:eastAsia="Cambria Math" w:hAnsi="Cambria Math"/>
                  <w:spacing w:val="-2"/>
                  <w:w w:val="105"/>
                  <w:vertAlign w:val="subscript"/>
                </w:rPr>
                <m:t>1</m:t>
              </m:r>
            </m:sub>
          </m:sSub>
          <m:sSub>
            <m:sSubPr>
              <m:ctrlPr>
                <w:rPr>
                  <w:rFonts w:ascii="Cambria Math" w:eastAsia="Cambria Math" w:hAnsi="Cambria Math"/>
                  <w:spacing w:val="-2"/>
                  <w:w w:val="105"/>
                </w:rPr>
              </m:ctrlPr>
            </m:sSubPr>
            <m:e>
              <m:r>
                <m:rPr>
                  <m:sty m:val="p"/>
                </m:rPr>
                <w:rPr>
                  <w:rFonts w:ascii="Cambria Math" w:eastAsia="Cambria Math" w:hAnsi="Cambria Math"/>
                  <w:spacing w:val="-2"/>
                  <w:w w:val="105"/>
                </w:rPr>
                <m:t>AT</m:t>
              </m:r>
            </m:e>
            <m:sub>
              <m:r>
                <m:rPr>
                  <m:sty m:val="p"/>
                </m:rPr>
                <w:rPr>
                  <w:rFonts w:ascii="Cambria Math" w:eastAsia="Cambria Math" w:hAnsi="Cambria Math"/>
                  <w:spacing w:val="-2"/>
                  <w:w w:val="105"/>
                  <w:vertAlign w:val="subscript"/>
                </w:rPr>
                <m:t>it</m:t>
              </m:r>
            </m:sub>
          </m:sSub>
          <m:r>
            <w:rPr>
              <w:rFonts w:ascii="Cambria Math" w:hAnsi="Cambria Math"/>
            </w:rPr>
            <m:t>+</m:t>
          </m:r>
          <m:sSub>
            <m:sSubPr>
              <m:ctrlPr>
                <w:rPr>
                  <w:rFonts w:ascii="Cambria Math" w:eastAsia="Cambria Math" w:hAnsi="Cambria Math"/>
                  <w:spacing w:val="-2"/>
                  <w:w w:val="105"/>
                  <w:vertAlign w:val="subscript"/>
                </w:rPr>
              </m:ctrlPr>
            </m:sSubPr>
            <m:e>
              <m:r>
                <m:rPr>
                  <m:sty m:val="p"/>
                </m:rPr>
                <w:rPr>
                  <w:rFonts w:ascii="Cambria Math" w:eastAsia="Cambria Math" w:hAnsi="Cambria Math"/>
                  <w:spacing w:val="-2"/>
                  <w:w w:val="105"/>
                </w:rPr>
                <m:t>β</m:t>
              </m:r>
              <m:ctrlPr>
                <w:rPr>
                  <w:rFonts w:ascii="Cambria Math" w:eastAsia="Cambria Math" w:hAnsi="Cambria Math"/>
                  <w:spacing w:val="-2"/>
                  <w:w w:val="105"/>
                </w:rPr>
              </m:ctrlPr>
            </m:e>
            <m:sub>
              <m:r>
                <m:rPr>
                  <m:sty m:val="p"/>
                </m:rPr>
                <w:rPr>
                  <w:rFonts w:ascii="Cambria Math" w:eastAsia="Cambria Math" w:hAnsi="Cambria Math"/>
                  <w:spacing w:val="-2"/>
                  <w:w w:val="105"/>
                  <w:vertAlign w:val="subscript"/>
                </w:rPr>
                <m:t>2</m:t>
              </m:r>
            </m:sub>
          </m:sSub>
          <m:sSub>
            <m:sSubPr>
              <m:ctrlPr>
                <w:rPr>
                  <w:rFonts w:ascii="Cambria Math" w:eastAsia="Cambria Math" w:hAnsi="Cambria Math"/>
                  <w:spacing w:val="-2"/>
                  <w:w w:val="105"/>
                </w:rPr>
              </m:ctrlPr>
            </m:sSubPr>
            <m:e>
              <m:r>
                <m:rPr>
                  <m:sty m:val="p"/>
                </m:rPr>
                <w:rPr>
                  <w:rFonts w:ascii="Cambria Math" w:eastAsia="Cambria Math" w:hAnsi="Cambria Math"/>
                  <w:spacing w:val="-2"/>
                  <w:w w:val="105"/>
                </w:rPr>
                <m:t>ATaños</m:t>
              </m:r>
            </m:e>
            <m:sub>
              <m:r>
                <m:rPr>
                  <m:sty m:val="p"/>
                </m:rPr>
                <w:rPr>
                  <w:rFonts w:ascii="Cambria Math" w:eastAsia="Cambria Math" w:hAnsi="Cambria Math"/>
                  <w:spacing w:val="-2"/>
                  <w:w w:val="105"/>
                  <w:vertAlign w:val="subscript"/>
                </w:rPr>
                <m:t>it</m:t>
              </m:r>
            </m:sub>
          </m:sSub>
          <m:r>
            <m:rPr>
              <m:sty m:val="p"/>
            </m:rPr>
            <w:rPr>
              <w:rFonts w:ascii="Cambria Math" w:eastAsia="Cambria Math" w:hAnsi="Cambria Math"/>
              <w:spacing w:val="-2"/>
              <w:w w:val="105"/>
            </w:rPr>
            <m:t>+</m:t>
          </m:r>
          <m:sSub>
            <m:sSubPr>
              <m:ctrlPr>
                <w:rPr>
                  <w:rFonts w:ascii="Cambria Math" w:eastAsia="Cambria Math" w:hAnsi="Cambria Math"/>
                  <w:spacing w:val="-2"/>
                  <w:w w:val="105"/>
                </w:rPr>
              </m:ctrlPr>
            </m:sSubPr>
            <m:e>
              <m:r>
                <m:rPr>
                  <m:sty m:val="p"/>
                </m:rPr>
                <w:rPr>
                  <w:rFonts w:ascii="Cambria Math" w:eastAsia="Cambria Math" w:hAnsi="Cambria Math"/>
                  <w:spacing w:val="-2"/>
                  <w:w w:val="105"/>
                </w:rPr>
                <m:t>β</m:t>
              </m:r>
              <m:ctrlPr>
                <w:rPr>
                  <w:rFonts w:ascii="Cambria Math" w:eastAsia="Cambria Math" w:hAnsi="Cambria Math"/>
                  <w:spacing w:val="-12"/>
                  <w:w w:val="105"/>
                </w:rPr>
              </m:ctrlPr>
            </m:e>
            <m:sub>
              <m:r>
                <m:rPr>
                  <m:sty m:val="p"/>
                </m:rPr>
                <w:rPr>
                  <w:rFonts w:ascii="Cambria Math" w:eastAsia="Cambria Math" w:hAnsi="Cambria Math"/>
                  <w:spacing w:val="-2"/>
                  <w:w w:val="105"/>
                  <w:vertAlign w:val="subscript"/>
                </w:rPr>
                <m:t>3</m:t>
              </m:r>
            </m:sub>
          </m:sSub>
          <m:r>
            <m:rPr>
              <m:sty m:val="p"/>
            </m:rPr>
            <w:rPr>
              <w:rFonts w:ascii="Cambria Math" w:eastAsia="Cambria Math" w:hAnsi="Cambria Math"/>
              <w:spacing w:val="-2"/>
              <w:w w:val="105"/>
            </w:rPr>
            <m:t>Log</m:t>
          </m:r>
          <m:sSub>
            <m:sSubPr>
              <m:ctrlPr>
                <w:rPr>
                  <w:rFonts w:ascii="Cambria Math" w:eastAsia="Cambria Math" w:hAnsi="Cambria Math"/>
                  <w:spacing w:val="-2"/>
                  <w:w w:val="105"/>
                </w:rPr>
              </m:ctrlPr>
            </m:sSubPr>
            <m:e>
              <m:d>
                <m:dPr>
                  <m:ctrlPr>
                    <w:rPr>
                      <w:rFonts w:ascii="Cambria Math" w:eastAsia="Cambria Math" w:hAnsi="Cambria Math"/>
                      <w:spacing w:val="-2"/>
                      <w:w w:val="105"/>
                    </w:rPr>
                  </m:ctrlPr>
                </m:dPr>
                <m:e>
                  <m:r>
                    <m:rPr>
                      <m:sty m:val="p"/>
                    </m:rPr>
                    <w:rPr>
                      <w:rFonts w:ascii="Cambria Math" w:eastAsia="Cambria Math" w:hAnsi="Cambria Math"/>
                      <w:spacing w:val="-2"/>
                      <w:w w:val="105"/>
                    </w:rPr>
                    <m:t>PIB</m:t>
                  </m:r>
                </m:e>
              </m:d>
              <m:ctrlPr>
                <w:rPr>
                  <w:rFonts w:ascii="Cambria Math" w:eastAsia="Cambria Math" w:hAnsi="Cambria Math"/>
                  <w:spacing w:val="-2"/>
                  <w:w w:val="105"/>
                  <w:vertAlign w:val="subscript"/>
                </w:rPr>
              </m:ctrlPr>
            </m:e>
            <m:sub>
              <m:r>
                <m:rPr>
                  <m:sty m:val="p"/>
                </m:rPr>
                <w:rPr>
                  <w:rFonts w:ascii="Cambria Math" w:eastAsia="Cambria Math" w:hAnsi="Cambria Math"/>
                  <w:spacing w:val="-2"/>
                  <w:w w:val="105"/>
                  <w:vertAlign w:val="subscript"/>
                </w:rPr>
                <m:t>it</m:t>
              </m:r>
            </m:sub>
          </m:sSub>
          <m:r>
            <m:rPr>
              <m:sty m:val="p"/>
            </m:rPr>
            <w:rPr>
              <w:rFonts w:ascii="Cambria Math" w:eastAsia="Cambria Math" w:hAnsi="Cambria Math"/>
              <w:spacing w:val="-2"/>
              <w:w w:val="105"/>
            </w:rPr>
            <m:t>+</m:t>
          </m:r>
          <m:sSub>
            <m:sSubPr>
              <m:ctrlPr>
                <w:rPr>
                  <w:rFonts w:ascii="Cambria Math" w:eastAsia="Cambria Math" w:hAnsi="Cambria Math"/>
                  <w:spacing w:val="-2"/>
                  <w:w w:val="105"/>
                </w:rPr>
              </m:ctrlPr>
            </m:sSubPr>
            <m:e>
              <m:r>
                <m:rPr>
                  <m:sty m:val="p"/>
                </m:rPr>
                <w:rPr>
                  <w:rFonts w:ascii="Cambria Math" w:eastAsia="Cambria Math" w:hAnsi="Cambria Math"/>
                  <w:spacing w:val="-2"/>
                  <w:w w:val="105"/>
                </w:rPr>
                <m:t>β</m:t>
              </m:r>
            </m:e>
            <m:sub>
              <m:r>
                <m:rPr>
                  <m:sty m:val="p"/>
                </m:rPr>
                <w:rPr>
                  <w:rFonts w:ascii="Cambria Math" w:eastAsia="Cambria Math" w:hAnsi="Cambria Math"/>
                  <w:spacing w:val="-2"/>
                  <w:w w:val="105"/>
                  <w:vertAlign w:val="subscript"/>
                </w:rPr>
                <m:t>4</m:t>
              </m:r>
            </m:sub>
          </m:sSub>
          <m:r>
            <m:rPr>
              <m:sty m:val="p"/>
            </m:rPr>
            <w:rPr>
              <w:rFonts w:ascii="Cambria Math" w:eastAsia="Cambria Math" w:hAnsi="Cambria Math"/>
              <w:spacing w:val="-2"/>
              <w:w w:val="105"/>
            </w:rPr>
            <m:t>Log</m:t>
          </m:r>
          <m:sSub>
            <m:sSubPr>
              <m:ctrlPr>
                <w:rPr>
                  <w:rFonts w:ascii="Cambria Math" w:eastAsia="Cambria Math" w:hAnsi="Cambria Math"/>
                  <w:spacing w:val="-2"/>
                  <w:w w:val="105"/>
                </w:rPr>
              </m:ctrlPr>
            </m:sSubPr>
            <m:e>
              <m:d>
                <m:dPr>
                  <m:ctrlPr>
                    <w:rPr>
                      <w:rFonts w:ascii="Cambria Math" w:eastAsia="Cambria Math" w:hAnsi="Cambria Math"/>
                      <w:spacing w:val="-2"/>
                      <w:w w:val="105"/>
                    </w:rPr>
                  </m:ctrlPr>
                </m:dPr>
                <m:e>
                  <m:r>
                    <m:rPr>
                      <m:sty m:val="p"/>
                    </m:rPr>
                    <w:rPr>
                      <w:rFonts w:ascii="Cambria Math" w:eastAsia="Cambria Math" w:hAnsi="Cambria Math"/>
                      <w:spacing w:val="-2"/>
                      <w:w w:val="105"/>
                    </w:rPr>
                    <m:t>PIB per</m:t>
                  </m:r>
                </m:e>
              </m:d>
              <m:ctrlPr>
                <w:rPr>
                  <w:rFonts w:ascii="Cambria Math" w:eastAsia="Cambria Math" w:hAnsi="Cambria Math"/>
                  <w:spacing w:val="-2"/>
                  <w:w w:val="105"/>
                  <w:vertAlign w:val="subscript"/>
                </w:rPr>
              </m:ctrlPr>
            </m:e>
            <m:sub>
              <m:r>
                <m:rPr>
                  <m:sty m:val="p"/>
                </m:rPr>
                <w:rPr>
                  <w:rFonts w:ascii="Cambria Math" w:eastAsia="Cambria Math" w:hAnsi="Cambria Math"/>
                  <w:spacing w:val="-2"/>
                  <w:w w:val="105"/>
                  <w:vertAlign w:val="subscript"/>
                </w:rPr>
                <m:t>it</m:t>
              </m:r>
            </m:sub>
          </m:sSub>
          <m:r>
            <m:rPr>
              <m:sty m:val="p"/>
            </m:rPr>
            <w:rPr>
              <w:rFonts w:ascii="Cambria Math" w:eastAsia="Cambria Math" w:hAnsi="Cambria Math"/>
              <w:spacing w:val="-2"/>
              <w:w w:val="105"/>
            </w:rPr>
            <m:t>+</m:t>
          </m:r>
          <m:r>
            <m:rPr>
              <m:sty m:val="p"/>
            </m:rPr>
            <w:rPr>
              <w:rFonts w:ascii="Cambria Math" w:eastAsia="Cambria Math" w:hAnsi="Cambria Math"/>
              <w:spacing w:val="-12"/>
              <w:w w:val="105"/>
            </w:rPr>
            <m:t xml:space="preserve"> </m:t>
          </m:r>
          <m:sSub>
            <m:sSubPr>
              <m:ctrlPr>
                <w:rPr>
                  <w:rFonts w:ascii="Cambria Math" w:eastAsia="Cambria Math" w:hAnsi="Cambria Math"/>
                  <w:spacing w:val="-2"/>
                  <w:w w:val="105"/>
                </w:rPr>
              </m:ctrlPr>
            </m:sSubPr>
            <m:e>
              <m:r>
                <m:rPr>
                  <m:sty m:val="p"/>
                </m:rPr>
                <w:rPr>
                  <w:rFonts w:ascii="Cambria Math" w:eastAsia="Cambria Math" w:hAnsi="Cambria Math"/>
                  <w:spacing w:val="-2"/>
                  <w:w w:val="105"/>
                </w:rPr>
                <m:t>β</m:t>
              </m:r>
              <m:ctrlPr>
                <w:rPr>
                  <w:rFonts w:ascii="Cambria Math" w:eastAsia="Cambria Math" w:hAnsi="Cambria Math"/>
                  <w:spacing w:val="-12"/>
                  <w:w w:val="105"/>
                </w:rPr>
              </m:ctrlPr>
            </m:e>
            <m:sub>
              <m:r>
                <m:rPr>
                  <m:sty m:val="p"/>
                </m:rPr>
                <w:rPr>
                  <w:rFonts w:ascii="Cambria Math" w:eastAsia="Cambria Math" w:hAnsi="Cambria Math"/>
                  <w:spacing w:val="-2"/>
                  <w:w w:val="105"/>
                  <w:vertAlign w:val="subscript"/>
                </w:rPr>
                <m:t>5</m:t>
              </m:r>
            </m:sub>
          </m:sSub>
          <m:r>
            <w:rPr>
              <w:rFonts w:ascii="Cambria Math" w:eastAsia="Cambria Math" w:hAnsi="Cambria Math"/>
              <w:spacing w:val="-2"/>
              <w:w w:val="105"/>
            </w:rPr>
            <m:t>Log(</m:t>
          </m:r>
          <m:sSub>
            <m:sSubPr>
              <m:ctrlPr>
                <w:rPr>
                  <w:rFonts w:ascii="Cambria Math" w:eastAsia="Cambria Math" w:hAnsi="Cambria Math"/>
                  <w:spacing w:val="-2"/>
                  <w:w w:val="105"/>
                </w:rPr>
              </m:ctrlPr>
            </m:sSubPr>
            <m:e>
              <m:r>
                <m:rPr>
                  <m:sty m:val="p"/>
                </m:rPr>
                <w:rPr>
                  <w:rFonts w:ascii="Cambria Math" w:eastAsia="Cambria Math" w:hAnsi="Cambria Math"/>
                  <w:spacing w:val="-2"/>
                  <w:w w:val="105"/>
                </w:rPr>
                <m:t>Inf)</m:t>
              </m:r>
            </m:e>
            <m:sub>
              <m:r>
                <m:rPr>
                  <m:sty m:val="p"/>
                </m:rPr>
                <w:rPr>
                  <w:rFonts w:ascii="Cambria Math" w:eastAsia="Cambria Math" w:hAnsi="Cambria Math"/>
                  <w:spacing w:val="-2"/>
                  <w:w w:val="105"/>
                  <w:vertAlign w:val="subscript"/>
                </w:rPr>
                <m:t>it</m:t>
              </m:r>
            </m:sub>
          </m:sSub>
          <m:r>
            <m:rPr>
              <m:sty m:val="p"/>
            </m:rPr>
            <w:rPr>
              <w:rFonts w:ascii="Cambria Math" w:eastAsia="Cambria Math" w:hAnsi="Cambria Math"/>
              <w:spacing w:val="-2"/>
              <w:w w:val="105"/>
            </w:rPr>
            <m:t>+</m:t>
          </m:r>
          <m:sSub>
            <m:sSubPr>
              <m:ctrlPr>
                <w:rPr>
                  <w:rFonts w:ascii="Cambria Math" w:eastAsia="Cambria Math" w:hAnsi="Cambria Math"/>
                  <w:spacing w:val="-2"/>
                  <w:w w:val="105"/>
                </w:rPr>
              </m:ctrlPr>
            </m:sSubPr>
            <m:e>
              <m:sSub>
                <m:sSubPr>
                  <m:ctrlPr>
                    <w:rPr>
                      <w:rFonts w:ascii="Cambria Math" w:eastAsia="Cambria Math" w:hAnsi="Cambria Math"/>
                      <w:spacing w:val="-2"/>
                      <w:w w:val="105"/>
                    </w:rPr>
                  </m:ctrlPr>
                </m:sSubPr>
                <m:e>
                  <m:r>
                    <m:rPr>
                      <m:sty m:val="p"/>
                    </m:rPr>
                    <w:rPr>
                      <w:rFonts w:ascii="Cambria Math" w:eastAsia="Cambria Math" w:hAnsi="Cambria Math"/>
                      <w:spacing w:val="-2"/>
                      <w:w w:val="105"/>
                    </w:rPr>
                    <m:t>β</m:t>
                  </m:r>
                  <m:ctrlPr>
                    <w:rPr>
                      <w:rFonts w:ascii="Cambria Math" w:eastAsia="Cambria Math" w:hAnsi="Cambria Math"/>
                      <w:spacing w:val="-12"/>
                      <w:w w:val="105"/>
                    </w:rPr>
                  </m:ctrlPr>
                </m:e>
                <m:sub>
                  <m:r>
                    <m:rPr>
                      <m:sty m:val="p"/>
                    </m:rPr>
                    <w:rPr>
                      <w:rFonts w:ascii="Cambria Math" w:eastAsia="Cambria Math" w:hAnsi="Cambria Math"/>
                      <w:spacing w:val="-2"/>
                      <w:w w:val="105"/>
                      <w:vertAlign w:val="subscript"/>
                    </w:rPr>
                    <m:t>6</m:t>
                  </m:r>
                </m:sub>
              </m:sSub>
              <m:r>
                <m:rPr>
                  <m:sty m:val="p"/>
                </m:rPr>
                <w:rPr>
                  <w:rFonts w:ascii="Cambria Math" w:eastAsia="Cambria Math" w:hAnsi="Cambria Math"/>
                  <w:spacing w:val="-2"/>
                  <w:w w:val="105"/>
                </w:rPr>
                <m:t>CI</m:t>
              </m:r>
            </m:e>
            <m:sub>
              <m:r>
                <m:rPr>
                  <m:sty m:val="p"/>
                </m:rPr>
                <w:rPr>
                  <w:rFonts w:ascii="Cambria Math" w:eastAsia="Cambria Math" w:hAnsi="Cambria Math"/>
                  <w:spacing w:val="-2"/>
                  <w:w w:val="105"/>
                </w:rPr>
                <m:t>it</m:t>
              </m:r>
            </m:sub>
          </m:sSub>
          <m:r>
            <m:rPr>
              <m:sty m:val="p"/>
            </m:rPr>
            <w:rPr>
              <w:rFonts w:ascii="Cambria Math" w:eastAsia="Cambria Math" w:hAnsi="Cambria Math"/>
              <w:spacing w:val="-2"/>
              <w:w w:val="105"/>
            </w:rPr>
            <m:t>+</m:t>
          </m:r>
          <m:sSub>
            <m:sSubPr>
              <m:ctrlPr>
                <w:rPr>
                  <w:rFonts w:ascii="Cambria Math" w:eastAsia="Cambria Math" w:hAnsi="Cambria Math"/>
                  <w:spacing w:val="-2"/>
                  <w:w w:val="105"/>
                </w:rPr>
              </m:ctrlPr>
            </m:sSubPr>
            <m:e>
              <m:sSub>
                <m:sSubPr>
                  <m:ctrlPr>
                    <w:rPr>
                      <w:rFonts w:ascii="Cambria Math" w:eastAsia="Cambria Math" w:hAnsi="Cambria Math"/>
                      <w:spacing w:val="-2"/>
                      <w:w w:val="105"/>
                    </w:rPr>
                  </m:ctrlPr>
                </m:sSubPr>
                <m:e>
                  <m:r>
                    <m:rPr>
                      <m:sty m:val="p"/>
                    </m:rPr>
                    <w:rPr>
                      <w:rFonts w:ascii="Cambria Math" w:eastAsia="Cambria Math" w:hAnsi="Cambria Math"/>
                      <w:spacing w:val="-2"/>
                      <w:w w:val="105"/>
                    </w:rPr>
                    <m:t>β</m:t>
                  </m:r>
                  <m:ctrlPr>
                    <w:rPr>
                      <w:rFonts w:ascii="Cambria Math" w:eastAsia="Cambria Math" w:hAnsi="Cambria Math"/>
                      <w:spacing w:val="-12"/>
                      <w:w w:val="105"/>
                    </w:rPr>
                  </m:ctrlPr>
                </m:e>
                <m:sub>
                  <m:r>
                    <m:rPr>
                      <m:sty m:val="p"/>
                    </m:rPr>
                    <w:rPr>
                      <w:rFonts w:ascii="Cambria Math" w:eastAsia="Cambria Math" w:hAnsi="Cambria Math"/>
                      <w:spacing w:val="-2"/>
                      <w:w w:val="105"/>
                      <w:vertAlign w:val="subscript"/>
                    </w:rPr>
                    <m:t>7</m:t>
                  </m:r>
                </m:sub>
              </m:sSub>
              <m:r>
                <m:rPr>
                  <m:sty m:val="p"/>
                </m:rPr>
                <w:rPr>
                  <w:rFonts w:ascii="Cambria Math" w:eastAsia="Cambria Math" w:hAnsi="Cambria Math"/>
                  <w:spacing w:val="-2"/>
                  <w:w w:val="105"/>
                </w:rPr>
                <m:t>RTA</m:t>
              </m:r>
            </m:e>
            <m:sub>
              <m:r>
                <m:rPr>
                  <m:sty m:val="p"/>
                </m:rPr>
                <w:rPr>
                  <w:rFonts w:ascii="Cambria Math" w:eastAsia="Cambria Math" w:hAnsi="Cambria Math"/>
                  <w:spacing w:val="-2"/>
                  <w:w w:val="105"/>
                </w:rPr>
                <m:t>it</m:t>
              </m:r>
            </m:sub>
          </m:sSub>
          <m:r>
            <m:rPr>
              <m:sty m:val="p"/>
            </m:rPr>
            <w:rPr>
              <w:rFonts w:ascii="Cambria Math" w:eastAsia="Cambria Math" w:hAnsi="Cambria Math"/>
              <w:spacing w:val="-2"/>
              <w:w w:val="105"/>
            </w:rPr>
            <m:t>+</m:t>
          </m:r>
          <m:sSub>
            <m:sSubPr>
              <m:ctrlPr>
                <w:rPr>
                  <w:rFonts w:ascii="Cambria Math" w:eastAsia="Cambria Math" w:hAnsi="Cambria Math"/>
                  <w:spacing w:val="-2"/>
                  <w:w w:val="105"/>
                </w:rPr>
              </m:ctrlPr>
            </m:sSubPr>
            <m:e>
              <m:sSub>
                <m:sSubPr>
                  <m:ctrlPr>
                    <w:rPr>
                      <w:rFonts w:ascii="Cambria Math" w:eastAsia="Cambria Math" w:hAnsi="Cambria Math"/>
                      <w:spacing w:val="-2"/>
                      <w:w w:val="105"/>
                    </w:rPr>
                  </m:ctrlPr>
                </m:sSubPr>
                <m:e>
                  <m:r>
                    <m:rPr>
                      <m:sty m:val="p"/>
                    </m:rPr>
                    <w:rPr>
                      <w:rFonts w:ascii="Cambria Math" w:eastAsia="Cambria Math" w:hAnsi="Cambria Math"/>
                      <w:spacing w:val="-2"/>
                      <w:w w:val="105"/>
                    </w:rPr>
                    <m:t>β</m:t>
                  </m:r>
                  <m:ctrlPr>
                    <w:rPr>
                      <w:rFonts w:ascii="Cambria Math" w:eastAsia="Cambria Math" w:hAnsi="Cambria Math"/>
                      <w:spacing w:val="-12"/>
                      <w:w w:val="105"/>
                    </w:rPr>
                  </m:ctrlPr>
                </m:e>
                <m:sub>
                  <m:r>
                    <m:rPr>
                      <m:sty m:val="p"/>
                    </m:rPr>
                    <w:rPr>
                      <w:rFonts w:ascii="Cambria Math" w:eastAsia="Cambria Math" w:hAnsi="Cambria Math"/>
                      <w:spacing w:val="-2"/>
                      <w:w w:val="105"/>
                      <w:vertAlign w:val="subscript"/>
                    </w:rPr>
                    <m:t>8</m:t>
                  </m:r>
                </m:sub>
              </m:sSub>
              <m:r>
                <m:rPr>
                  <m:sty m:val="p"/>
                </m:rPr>
                <w:rPr>
                  <w:rFonts w:ascii="Cambria Math" w:eastAsia="Cambria Math" w:hAnsi="Cambria Math"/>
                  <w:spacing w:val="-2"/>
                  <w:w w:val="105"/>
                </w:rPr>
                <m:t>API</m:t>
              </m:r>
            </m:e>
            <m:sub>
              <m:r>
                <w:rPr>
                  <w:rFonts w:ascii="Cambria Math" w:eastAsia="Cambria Math" w:hAnsi="Cambria Math"/>
                  <w:spacing w:val="-2"/>
                  <w:w w:val="105"/>
                </w:rPr>
                <m:t>it</m:t>
              </m:r>
            </m:sub>
          </m:sSub>
          <m:r>
            <m:rPr>
              <m:sty m:val="p"/>
            </m:rPr>
            <w:rPr>
              <w:rFonts w:ascii="Cambria Math" w:eastAsia="Cambria Math" w:hAnsi="Cambria Math"/>
              <w:spacing w:val="-4"/>
              <w:w w:val="105"/>
            </w:rPr>
            <m:t>+</m:t>
          </m:r>
          <m:sSub>
            <m:sSubPr>
              <m:ctrlPr>
                <w:rPr>
                  <w:rFonts w:ascii="Cambria Math" w:eastAsia="Cambria Math" w:hAnsi="Cambria Math"/>
                  <w:spacing w:val="-4"/>
                  <w:w w:val="105"/>
                </w:rPr>
              </m:ctrlPr>
            </m:sSubPr>
            <m:e>
              <m:r>
                <m:rPr>
                  <m:sty m:val="p"/>
                </m:rPr>
                <w:rPr>
                  <w:rFonts w:ascii="Cambria Math" w:eastAsia="Cambria Math" w:hAnsi="Cambria Math"/>
                  <w:spacing w:val="-4"/>
                  <w:w w:val="105"/>
                </w:rPr>
                <m:t>ε</m:t>
              </m:r>
            </m:e>
            <m:sub>
              <m:r>
                <m:rPr>
                  <m:sty m:val="p"/>
                </m:rPr>
                <w:rPr>
                  <w:rFonts w:ascii="Cambria Math" w:eastAsia="Cambria Math" w:hAnsi="Cambria Math"/>
                  <w:spacing w:val="-4"/>
                  <w:w w:val="105"/>
                  <w:vertAlign w:val="subscript"/>
                </w:rPr>
                <m:t>it</m:t>
              </m:r>
            </m:sub>
          </m:sSub>
        </m:oMath>
      </m:oMathPara>
    </w:p>
    <w:p w14:paraId="49903B65" w14:textId="77777777" w:rsidR="005B14BF" w:rsidRPr="005513D8" w:rsidRDefault="005B14BF" w:rsidP="00155715">
      <w:pPr>
        <w:jc w:val="both"/>
      </w:pPr>
    </w:p>
    <w:p w14:paraId="3D435B32" w14:textId="77777777" w:rsidR="005B14BF" w:rsidRPr="005513D8" w:rsidRDefault="005B14BF" w:rsidP="00155715">
      <w:pPr>
        <w:jc w:val="both"/>
      </w:pPr>
      <w:r w:rsidRPr="005513D8">
        <w:t>En donde:</w:t>
      </w:r>
    </w:p>
    <w:p w14:paraId="5C0E6E45" w14:textId="77777777" w:rsidR="005B14BF" w:rsidRPr="005513D8" w:rsidRDefault="005B14BF" w:rsidP="00155715">
      <w:pPr>
        <w:jc w:val="both"/>
      </w:pPr>
    </w:p>
    <w:p w14:paraId="30A9367E" w14:textId="77777777" w:rsidR="005B14BF" w:rsidRPr="00000A8A" w:rsidRDefault="005B14BF" w:rsidP="00BF5AA0">
      <w:pPr>
        <w:pStyle w:val="ListParagraph"/>
        <w:numPr>
          <w:ilvl w:val="0"/>
          <w:numId w:val="30"/>
        </w:numPr>
        <w:spacing w:after="0" w:line="240" w:lineRule="auto"/>
        <w:jc w:val="both"/>
        <w:rPr>
          <w:szCs w:val="24"/>
          <w:lang w:val="es-ES"/>
        </w:rPr>
      </w:pPr>
      <m:oMath>
        <m:r>
          <m:rPr>
            <m:sty m:val="b"/>
          </m:rPr>
          <w:rPr>
            <w:rFonts w:ascii="Cambria Math" w:hAnsi="Cambria Math"/>
            <w:szCs w:val="24"/>
          </w:rPr>
          <m:t>Log</m:t>
        </m:r>
        <m:r>
          <m:rPr>
            <m:sty m:val="b"/>
          </m:rPr>
          <w:rPr>
            <w:rFonts w:ascii="Cambria Math" w:hAnsi="Cambria Math"/>
            <w:szCs w:val="24"/>
            <w:lang w:val="es-ES"/>
          </w:rPr>
          <m:t xml:space="preserve"> </m:t>
        </m:r>
        <m:r>
          <m:rPr>
            <m:sty m:val="b"/>
          </m:rPr>
          <w:rPr>
            <w:rFonts w:ascii="Cambria Math" w:hAnsi="Cambria Math"/>
            <w:szCs w:val="24"/>
          </w:rPr>
          <m:t>IE</m:t>
        </m:r>
        <m:sSub>
          <m:sSubPr>
            <m:ctrlPr>
              <w:rPr>
                <w:rFonts w:ascii="Cambria Math" w:hAnsi="Cambria Math"/>
                <w:b/>
                <w:bCs/>
                <w:iCs/>
                <w:szCs w:val="24"/>
              </w:rPr>
            </m:ctrlPr>
          </m:sSubPr>
          <m:e>
            <m:r>
              <m:rPr>
                <m:sty m:val="b"/>
              </m:rPr>
              <w:rPr>
                <w:rFonts w:ascii="Cambria Math" w:hAnsi="Cambria Math"/>
                <w:szCs w:val="24"/>
              </w:rPr>
              <m:t>D</m:t>
            </m:r>
          </m:e>
          <m:sub>
            <m:r>
              <m:rPr>
                <m:sty m:val="b"/>
              </m:rPr>
              <w:rPr>
                <w:rFonts w:ascii="Cambria Math" w:hAnsi="Cambria Math"/>
                <w:szCs w:val="24"/>
              </w:rPr>
              <m:t>it</m:t>
            </m:r>
          </m:sub>
        </m:sSub>
      </m:oMath>
      <w:r w:rsidRPr="00000A8A">
        <w:rPr>
          <w:rFonts w:eastAsiaTheme="minorEastAsia"/>
          <w:b/>
          <w:bCs/>
          <w:iCs/>
          <w:szCs w:val="24"/>
          <w:lang w:val="es-ES"/>
        </w:rPr>
        <w:t>:</w:t>
      </w:r>
      <w:r w:rsidRPr="00000A8A">
        <w:rPr>
          <w:rFonts w:eastAsiaTheme="minorEastAsia"/>
          <w:szCs w:val="24"/>
          <w:lang w:val="es-ES"/>
        </w:rPr>
        <w:t xml:space="preserve"> Referencia al logaritmo natural de los flujos de IED entre los países de origen y los países de acogida. </w:t>
      </w:r>
    </w:p>
    <w:p w14:paraId="669C490D" w14:textId="77777777" w:rsidR="005B14BF" w:rsidRPr="00000A8A" w:rsidRDefault="00540F24" w:rsidP="00BF5AA0">
      <w:pPr>
        <w:pStyle w:val="ListParagraph"/>
        <w:numPr>
          <w:ilvl w:val="0"/>
          <w:numId w:val="30"/>
        </w:numPr>
        <w:spacing w:after="0" w:line="240" w:lineRule="auto"/>
        <w:jc w:val="both"/>
        <w:rPr>
          <w:szCs w:val="24"/>
          <w:lang w:val="es-ES"/>
        </w:rPr>
      </w:pPr>
      <m:oMath>
        <m:sSub>
          <m:sSubPr>
            <m:ctrlPr>
              <w:rPr>
                <w:rFonts w:ascii="Cambria Math" w:eastAsia="Cambria Math" w:hAnsi="Cambria Math"/>
                <w:b/>
                <w:bCs/>
                <w:i/>
                <w:iCs/>
                <w:spacing w:val="-2"/>
                <w:w w:val="105"/>
                <w:szCs w:val="24"/>
              </w:rPr>
            </m:ctrlPr>
          </m:sSubPr>
          <m:e>
            <m:r>
              <m:rPr>
                <m:sty m:val="bi"/>
              </m:rPr>
              <w:rPr>
                <w:rFonts w:ascii="Cambria Math" w:eastAsia="Cambria Math" w:hAnsi="Cambria Math"/>
                <w:spacing w:val="-2"/>
                <w:w w:val="105"/>
                <w:szCs w:val="24"/>
              </w:rPr>
              <m:t>AT</m:t>
            </m:r>
          </m:e>
          <m:sub>
            <m:r>
              <m:rPr>
                <m:sty m:val="bi"/>
              </m:rPr>
              <w:rPr>
                <w:rFonts w:ascii="Cambria Math" w:eastAsia="Cambria Math" w:hAnsi="Cambria Math"/>
                <w:spacing w:val="-2"/>
                <w:w w:val="105"/>
                <w:szCs w:val="24"/>
                <w:vertAlign w:val="subscript"/>
              </w:rPr>
              <m:t>it</m:t>
            </m:r>
          </m:sub>
        </m:sSub>
      </m:oMath>
      <w:r w:rsidR="005B14BF" w:rsidRPr="00000A8A">
        <w:rPr>
          <w:rFonts w:eastAsiaTheme="minorEastAsia"/>
          <w:b/>
          <w:bCs/>
          <w:i/>
          <w:iCs/>
          <w:spacing w:val="-2"/>
          <w:w w:val="105"/>
          <w:szCs w:val="24"/>
          <w:lang w:val="es-ES"/>
        </w:rPr>
        <w:t>:</w:t>
      </w:r>
      <w:r w:rsidR="005B14BF" w:rsidRPr="00000A8A">
        <w:rPr>
          <w:rFonts w:eastAsiaTheme="minorEastAsia"/>
          <w:spacing w:val="-2"/>
          <w:w w:val="105"/>
          <w:szCs w:val="24"/>
          <w:lang w:val="es-ES"/>
        </w:rPr>
        <w:t xml:space="preserve"> Variable </w:t>
      </w:r>
      <w:proofErr w:type="spellStart"/>
      <w:r w:rsidR="005B14BF" w:rsidRPr="00000A8A">
        <w:rPr>
          <w:rFonts w:eastAsiaTheme="minorEastAsia"/>
          <w:spacing w:val="-2"/>
          <w:w w:val="105"/>
          <w:szCs w:val="24"/>
          <w:lang w:val="es-ES"/>
        </w:rPr>
        <w:t>dummy</w:t>
      </w:r>
      <w:proofErr w:type="spellEnd"/>
      <w:r w:rsidR="005B14BF" w:rsidRPr="00000A8A">
        <w:rPr>
          <w:rFonts w:eastAsiaTheme="minorEastAsia"/>
          <w:spacing w:val="-2"/>
          <w:w w:val="105"/>
          <w:szCs w:val="24"/>
          <w:lang w:val="es-ES"/>
        </w:rPr>
        <w:t xml:space="preserve"> que toma el valor de 1 al momento que se suscribe y </w:t>
      </w:r>
      <w:proofErr w:type="gramStart"/>
      <w:r w:rsidR="005B14BF" w:rsidRPr="00000A8A">
        <w:rPr>
          <w:rFonts w:eastAsiaTheme="minorEastAsia"/>
          <w:spacing w:val="-2"/>
          <w:w w:val="105"/>
          <w:szCs w:val="24"/>
          <w:lang w:val="es-ES"/>
        </w:rPr>
        <w:t>entra en vigencia</w:t>
      </w:r>
      <w:proofErr w:type="gramEnd"/>
      <w:r w:rsidR="005B14BF" w:rsidRPr="00000A8A">
        <w:rPr>
          <w:rFonts w:eastAsiaTheme="minorEastAsia"/>
          <w:spacing w:val="-2"/>
          <w:w w:val="105"/>
          <w:szCs w:val="24"/>
          <w:lang w:val="es-ES"/>
        </w:rPr>
        <w:t xml:space="preserve"> el Acuerdo de Doble Tributación. </w:t>
      </w:r>
    </w:p>
    <w:p w14:paraId="14AB6A4A" w14:textId="77777777" w:rsidR="005B14BF" w:rsidRPr="00000A8A" w:rsidRDefault="005B14BF" w:rsidP="00BF5AA0">
      <w:pPr>
        <w:pStyle w:val="ListParagraph"/>
        <w:numPr>
          <w:ilvl w:val="0"/>
          <w:numId w:val="30"/>
        </w:numPr>
        <w:spacing w:after="0" w:line="240" w:lineRule="auto"/>
        <w:jc w:val="both"/>
        <w:rPr>
          <w:szCs w:val="24"/>
          <w:lang w:val="es-ES"/>
        </w:rPr>
      </w:pPr>
      <m:oMath>
        <m:r>
          <m:rPr>
            <m:sty m:val="bi"/>
          </m:rPr>
          <w:rPr>
            <w:rFonts w:ascii="Cambria Math" w:eastAsia="Cambria Math" w:hAnsi="Cambria Math"/>
            <w:spacing w:val="-2"/>
            <w:w w:val="105"/>
            <w:szCs w:val="24"/>
          </w:rPr>
          <m:t>ATa</m:t>
        </m:r>
        <m:r>
          <m:rPr>
            <m:sty m:val="bi"/>
          </m:rPr>
          <w:rPr>
            <w:rFonts w:ascii="Cambria Math" w:eastAsia="Cambria Math" w:hAnsi="Cambria Math"/>
            <w:spacing w:val="-2"/>
            <w:w w:val="105"/>
            <w:szCs w:val="24"/>
            <w:lang w:val="es-ES"/>
          </w:rPr>
          <m:t>ñ</m:t>
        </m:r>
        <m:r>
          <m:rPr>
            <m:sty m:val="bi"/>
          </m:rPr>
          <w:rPr>
            <w:rFonts w:ascii="Cambria Math" w:eastAsia="Cambria Math" w:hAnsi="Cambria Math"/>
            <w:spacing w:val="-2"/>
            <w:w w:val="105"/>
            <w:szCs w:val="24"/>
          </w:rPr>
          <m:t>os</m:t>
        </m:r>
        <m:r>
          <m:rPr>
            <m:sty m:val="bi"/>
          </m:rPr>
          <w:rPr>
            <w:rStyle w:val="FootnoteReference"/>
            <w:rFonts w:ascii="Cambria Math" w:eastAsia="Cambria Math" w:hAnsi="Cambria Math"/>
            <w:b/>
            <w:bCs/>
            <w:i/>
            <w:iCs/>
            <w:spacing w:val="-2"/>
            <w:w w:val="105"/>
            <w:szCs w:val="24"/>
          </w:rPr>
          <w:footnoteReference w:id="15"/>
        </m:r>
      </m:oMath>
      <w:r w:rsidRPr="00000A8A">
        <w:rPr>
          <w:rFonts w:eastAsiaTheme="minorEastAsia"/>
          <w:b/>
          <w:bCs/>
          <w:i/>
          <w:iCs/>
          <w:spacing w:val="-2"/>
          <w:w w:val="105"/>
          <w:szCs w:val="24"/>
          <w:lang w:val="es-ES"/>
        </w:rPr>
        <w:t>:</w:t>
      </w:r>
      <w:r w:rsidRPr="00000A8A">
        <w:rPr>
          <w:rFonts w:eastAsiaTheme="minorEastAsia"/>
          <w:spacing w:val="-2"/>
          <w:w w:val="105"/>
          <w:szCs w:val="24"/>
          <w:lang w:val="es-ES"/>
        </w:rPr>
        <w:t xml:space="preserve"> Variable que referencia los años transcurridos desde que </w:t>
      </w:r>
      <w:proofErr w:type="gramStart"/>
      <w:r w:rsidRPr="00000A8A">
        <w:rPr>
          <w:rFonts w:eastAsiaTheme="minorEastAsia"/>
          <w:spacing w:val="-2"/>
          <w:w w:val="105"/>
          <w:szCs w:val="24"/>
          <w:lang w:val="es-ES"/>
        </w:rPr>
        <w:t>entra en vigencia</w:t>
      </w:r>
      <w:proofErr w:type="gramEnd"/>
      <w:r w:rsidRPr="00000A8A">
        <w:rPr>
          <w:rFonts w:eastAsiaTheme="minorEastAsia"/>
          <w:spacing w:val="-2"/>
          <w:w w:val="105"/>
          <w:szCs w:val="24"/>
          <w:lang w:val="es-ES"/>
        </w:rPr>
        <w:t xml:space="preserve"> el acuerdo de doble tributación. </w:t>
      </w:r>
    </w:p>
    <w:p w14:paraId="0F19684F" w14:textId="77777777" w:rsidR="005B14BF" w:rsidRPr="00000A8A" w:rsidRDefault="005B14BF" w:rsidP="00BF5AA0">
      <w:pPr>
        <w:pStyle w:val="ListParagraph"/>
        <w:numPr>
          <w:ilvl w:val="0"/>
          <w:numId w:val="30"/>
        </w:numPr>
        <w:spacing w:after="0" w:line="240" w:lineRule="auto"/>
        <w:jc w:val="both"/>
        <w:rPr>
          <w:szCs w:val="24"/>
          <w:lang w:val="es-ES"/>
        </w:rPr>
      </w:pPr>
      <m:oMath>
        <m:r>
          <m:rPr>
            <m:sty m:val="bi"/>
          </m:rPr>
          <w:rPr>
            <w:rFonts w:ascii="Cambria Math" w:eastAsia="Cambria Math" w:hAnsi="Cambria Math"/>
            <w:spacing w:val="-2"/>
            <w:w w:val="105"/>
            <w:szCs w:val="24"/>
          </w:rPr>
          <m:t>Log</m:t>
        </m:r>
        <m:sSub>
          <m:sSubPr>
            <m:ctrlPr>
              <w:rPr>
                <w:rFonts w:ascii="Cambria Math" w:eastAsia="Cambria Math" w:hAnsi="Cambria Math"/>
                <w:b/>
                <w:bCs/>
                <w:i/>
                <w:iCs/>
                <w:spacing w:val="-2"/>
                <w:w w:val="105"/>
                <w:szCs w:val="24"/>
              </w:rPr>
            </m:ctrlPr>
          </m:sSubPr>
          <m:e>
            <m:d>
              <m:dPr>
                <m:ctrlPr>
                  <w:rPr>
                    <w:rFonts w:ascii="Cambria Math" w:eastAsia="Cambria Math" w:hAnsi="Cambria Math"/>
                    <w:b/>
                    <w:bCs/>
                    <w:i/>
                    <w:iCs/>
                    <w:spacing w:val="-2"/>
                    <w:w w:val="105"/>
                    <w:szCs w:val="24"/>
                  </w:rPr>
                </m:ctrlPr>
              </m:dPr>
              <m:e>
                <m:r>
                  <m:rPr>
                    <m:sty m:val="bi"/>
                  </m:rPr>
                  <w:rPr>
                    <w:rFonts w:ascii="Cambria Math" w:eastAsia="Cambria Math" w:hAnsi="Cambria Math"/>
                    <w:spacing w:val="-2"/>
                    <w:w w:val="105"/>
                    <w:szCs w:val="24"/>
                  </w:rPr>
                  <m:t>PIB</m:t>
                </m:r>
              </m:e>
            </m:d>
            <m:ctrlPr>
              <w:rPr>
                <w:rFonts w:ascii="Cambria Math" w:eastAsia="Cambria Math" w:hAnsi="Cambria Math"/>
                <w:b/>
                <w:bCs/>
                <w:i/>
                <w:iCs/>
                <w:spacing w:val="-2"/>
                <w:w w:val="105"/>
                <w:szCs w:val="24"/>
                <w:vertAlign w:val="subscript"/>
              </w:rPr>
            </m:ctrlPr>
          </m:e>
          <m:sub>
            <m:r>
              <m:rPr>
                <m:sty m:val="bi"/>
              </m:rPr>
              <w:rPr>
                <w:rFonts w:ascii="Cambria Math" w:eastAsia="Cambria Math" w:hAnsi="Cambria Math"/>
                <w:spacing w:val="-2"/>
                <w:w w:val="105"/>
                <w:szCs w:val="24"/>
                <w:vertAlign w:val="subscript"/>
              </w:rPr>
              <m:t>it</m:t>
            </m:r>
          </m:sub>
        </m:sSub>
      </m:oMath>
      <w:r w:rsidRPr="00000A8A">
        <w:rPr>
          <w:rFonts w:eastAsiaTheme="minorEastAsia"/>
          <w:b/>
          <w:bCs/>
          <w:spacing w:val="-2"/>
          <w:w w:val="105"/>
          <w:szCs w:val="24"/>
          <w:lang w:val="es-ES"/>
        </w:rPr>
        <w:t>:</w:t>
      </w:r>
      <w:r w:rsidRPr="00000A8A">
        <w:rPr>
          <w:rFonts w:eastAsiaTheme="minorEastAsia"/>
          <w:spacing w:val="-2"/>
          <w:w w:val="105"/>
          <w:szCs w:val="24"/>
          <w:lang w:val="es-ES"/>
        </w:rPr>
        <w:t xml:space="preserve"> Referencia al logaritmo natural del Producto Interno Bruto los países </w:t>
      </w:r>
      <w:r w:rsidRPr="00000A8A">
        <w:rPr>
          <w:rFonts w:eastAsiaTheme="minorEastAsia"/>
          <w:i/>
          <w:iCs/>
          <w:spacing w:val="-2"/>
          <w:w w:val="105"/>
          <w:szCs w:val="24"/>
          <w:lang w:val="es-ES"/>
        </w:rPr>
        <w:t>(</w:t>
      </w:r>
      <m:oMath>
        <m:r>
          <w:rPr>
            <w:rFonts w:ascii="Cambria Math" w:eastAsia="Cambria Math" w:hAnsi="Cambria Math"/>
            <w:spacing w:val="-2"/>
            <w:w w:val="105"/>
            <w:szCs w:val="24"/>
          </w:rPr>
          <m:t>i</m:t>
        </m:r>
      </m:oMath>
      <w:r w:rsidRPr="00000A8A">
        <w:rPr>
          <w:rFonts w:eastAsiaTheme="minorEastAsia"/>
          <w:i/>
          <w:iCs/>
          <w:spacing w:val="-2"/>
          <w:w w:val="105"/>
          <w:szCs w:val="24"/>
          <w:lang w:val="es-ES"/>
        </w:rPr>
        <w:t>)</w:t>
      </w:r>
      <w:r w:rsidRPr="00000A8A">
        <w:rPr>
          <w:rFonts w:eastAsiaTheme="minorEastAsia"/>
          <w:spacing w:val="-2"/>
          <w:w w:val="105"/>
          <w:szCs w:val="24"/>
          <w:lang w:val="es-ES"/>
        </w:rPr>
        <w:t xml:space="preserve"> en el tiempo </w:t>
      </w:r>
      <w:r w:rsidRPr="00000A8A">
        <w:rPr>
          <w:rFonts w:eastAsiaTheme="minorEastAsia"/>
          <w:i/>
          <w:iCs/>
          <w:spacing w:val="-2"/>
          <w:w w:val="105"/>
          <w:szCs w:val="24"/>
          <w:lang w:val="es-ES"/>
        </w:rPr>
        <w:t>(</w:t>
      </w:r>
      <m:oMath>
        <m:r>
          <w:rPr>
            <w:rFonts w:ascii="Cambria Math" w:eastAsia="Cambria Math" w:hAnsi="Cambria Math"/>
            <w:spacing w:val="-2"/>
            <w:w w:val="105"/>
            <w:szCs w:val="24"/>
          </w:rPr>
          <m:t>t</m:t>
        </m:r>
      </m:oMath>
      <w:r w:rsidRPr="00000A8A">
        <w:rPr>
          <w:rFonts w:eastAsiaTheme="minorEastAsia"/>
          <w:i/>
          <w:iCs/>
          <w:spacing w:val="-2"/>
          <w:w w:val="105"/>
          <w:szCs w:val="24"/>
          <w:lang w:val="es-ES"/>
        </w:rPr>
        <w:t>).</w:t>
      </w:r>
    </w:p>
    <w:p w14:paraId="5CC366DB" w14:textId="77777777" w:rsidR="005B14BF" w:rsidRPr="00000A8A" w:rsidRDefault="005B14BF" w:rsidP="00BF5AA0">
      <w:pPr>
        <w:pStyle w:val="ListParagraph"/>
        <w:numPr>
          <w:ilvl w:val="0"/>
          <w:numId w:val="30"/>
        </w:numPr>
        <w:spacing w:after="0" w:line="240" w:lineRule="auto"/>
        <w:jc w:val="both"/>
        <w:rPr>
          <w:szCs w:val="24"/>
          <w:lang w:val="es-ES"/>
        </w:rPr>
      </w:pPr>
      <m:oMath>
        <m:r>
          <m:rPr>
            <m:sty m:val="bi"/>
          </m:rPr>
          <w:rPr>
            <w:rFonts w:ascii="Cambria Math" w:eastAsia="Cambria Math" w:hAnsi="Cambria Math"/>
            <w:spacing w:val="-2"/>
            <w:w w:val="105"/>
            <w:szCs w:val="24"/>
          </w:rPr>
          <m:t>Log</m:t>
        </m:r>
        <m:sSub>
          <m:sSubPr>
            <m:ctrlPr>
              <w:rPr>
                <w:rFonts w:ascii="Cambria Math" w:eastAsia="Cambria Math" w:hAnsi="Cambria Math"/>
                <w:b/>
                <w:bCs/>
                <w:i/>
                <w:iCs/>
                <w:spacing w:val="-2"/>
                <w:w w:val="105"/>
                <w:szCs w:val="24"/>
              </w:rPr>
            </m:ctrlPr>
          </m:sSubPr>
          <m:e>
            <m:d>
              <m:dPr>
                <m:ctrlPr>
                  <w:rPr>
                    <w:rFonts w:ascii="Cambria Math" w:eastAsia="Cambria Math" w:hAnsi="Cambria Math"/>
                    <w:b/>
                    <w:bCs/>
                    <w:i/>
                    <w:iCs/>
                    <w:spacing w:val="-2"/>
                    <w:w w:val="105"/>
                    <w:szCs w:val="24"/>
                  </w:rPr>
                </m:ctrlPr>
              </m:dPr>
              <m:e>
                <m:r>
                  <m:rPr>
                    <m:sty m:val="bi"/>
                  </m:rPr>
                  <w:rPr>
                    <w:rFonts w:ascii="Cambria Math" w:eastAsia="Cambria Math" w:hAnsi="Cambria Math"/>
                    <w:spacing w:val="-2"/>
                    <w:w w:val="105"/>
                    <w:szCs w:val="24"/>
                  </w:rPr>
                  <m:t>PIB</m:t>
                </m:r>
                <m:r>
                  <m:rPr>
                    <m:sty m:val="bi"/>
                  </m:rPr>
                  <w:rPr>
                    <w:rFonts w:ascii="Cambria Math" w:eastAsia="Cambria Math" w:hAnsi="Cambria Math"/>
                    <w:spacing w:val="-2"/>
                    <w:w w:val="105"/>
                    <w:szCs w:val="24"/>
                    <w:lang w:val="es-ES"/>
                  </w:rPr>
                  <m:t xml:space="preserve"> </m:t>
                </m:r>
                <m:r>
                  <m:rPr>
                    <m:sty m:val="bi"/>
                  </m:rPr>
                  <w:rPr>
                    <w:rFonts w:ascii="Cambria Math" w:eastAsia="Cambria Math" w:hAnsi="Cambria Math"/>
                    <w:spacing w:val="-2"/>
                    <w:w w:val="105"/>
                    <w:szCs w:val="24"/>
                  </w:rPr>
                  <m:t>per</m:t>
                </m:r>
              </m:e>
            </m:d>
            <m:ctrlPr>
              <w:rPr>
                <w:rFonts w:ascii="Cambria Math" w:eastAsia="Cambria Math" w:hAnsi="Cambria Math"/>
                <w:b/>
                <w:bCs/>
                <w:i/>
                <w:iCs/>
                <w:spacing w:val="-2"/>
                <w:w w:val="105"/>
                <w:szCs w:val="24"/>
                <w:vertAlign w:val="subscript"/>
              </w:rPr>
            </m:ctrlPr>
          </m:e>
          <m:sub>
            <m:r>
              <m:rPr>
                <m:sty m:val="bi"/>
              </m:rPr>
              <w:rPr>
                <w:rFonts w:ascii="Cambria Math" w:eastAsia="Cambria Math" w:hAnsi="Cambria Math"/>
                <w:spacing w:val="-2"/>
                <w:w w:val="105"/>
                <w:szCs w:val="24"/>
                <w:vertAlign w:val="subscript"/>
              </w:rPr>
              <m:t>it</m:t>
            </m:r>
          </m:sub>
        </m:sSub>
      </m:oMath>
      <w:r w:rsidRPr="00000A8A">
        <w:rPr>
          <w:rFonts w:eastAsiaTheme="minorEastAsia"/>
          <w:b/>
          <w:bCs/>
          <w:i/>
          <w:iCs/>
          <w:spacing w:val="-2"/>
          <w:w w:val="105"/>
          <w:szCs w:val="24"/>
          <w:lang w:val="es-ES"/>
        </w:rPr>
        <w:t>:</w:t>
      </w:r>
      <w:r w:rsidRPr="00000A8A">
        <w:rPr>
          <w:rFonts w:eastAsiaTheme="minorEastAsia"/>
          <w:spacing w:val="-2"/>
          <w:w w:val="105"/>
          <w:szCs w:val="24"/>
          <w:lang w:val="es-ES"/>
        </w:rPr>
        <w:t xml:space="preserve"> Referencia al logaritmo natural del Producto Interno Bruto per cápita de los países </w:t>
      </w:r>
      <w:r w:rsidRPr="00000A8A">
        <w:rPr>
          <w:rFonts w:eastAsiaTheme="minorEastAsia"/>
          <w:i/>
          <w:iCs/>
          <w:spacing w:val="-2"/>
          <w:w w:val="105"/>
          <w:szCs w:val="24"/>
          <w:lang w:val="es-ES"/>
        </w:rPr>
        <w:t>(</w:t>
      </w:r>
      <m:oMath>
        <m:r>
          <w:rPr>
            <w:rFonts w:ascii="Cambria Math" w:eastAsia="Cambria Math" w:hAnsi="Cambria Math"/>
            <w:spacing w:val="-2"/>
            <w:w w:val="105"/>
            <w:szCs w:val="24"/>
          </w:rPr>
          <m:t>i</m:t>
        </m:r>
      </m:oMath>
      <w:r w:rsidRPr="00000A8A">
        <w:rPr>
          <w:rFonts w:eastAsiaTheme="minorEastAsia"/>
          <w:i/>
          <w:iCs/>
          <w:spacing w:val="-2"/>
          <w:w w:val="105"/>
          <w:szCs w:val="24"/>
          <w:lang w:val="es-ES"/>
        </w:rPr>
        <w:t>)</w:t>
      </w:r>
      <w:r w:rsidRPr="00000A8A">
        <w:rPr>
          <w:rFonts w:eastAsiaTheme="minorEastAsia"/>
          <w:spacing w:val="-2"/>
          <w:w w:val="105"/>
          <w:szCs w:val="24"/>
          <w:lang w:val="es-ES"/>
        </w:rPr>
        <w:t xml:space="preserve"> en el tiempo </w:t>
      </w:r>
      <w:r w:rsidRPr="00000A8A">
        <w:rPr>
          <w:rFonts w:eastAsiaTheme="minorEastAsia"/>
          <w:i/>
          <w:iCs/>
          <w:spacing w:val="-2"/>
          <w:w w:val="105"/>
          <w:szCs w:val="24"/>
          <w:lang w:val="es-ES"/>
        </w:rPr>
        <w:t>(</w:t>
      </w:r>
      <m:oMath>
        <m:r>
          <w:rPr>
            <w:rFonts w:ascii="Cambria Math" w:eastAsia="Cambria Math" w:hAnsi="Cambria Math"/>
            <w:spacing w:val="-2"/>
            <w:w w:val="105"/>
            <w:szCs w:val="24"/>
          </w:rPr>
          <m:t>t</m:t>
        </m:r>
      </m:oMath>
      <w:proofErr w:type="gramStart"/>
      <w:r w:rsidRPr="00000A8A">
        <w:rPr>
          <w:rFonts w:eastAsiaTheme="minorEastAsia"/>
          <w:i/>
          <w:iCs/>
          <w:spacing w:val="-2"/>
          <w:w w:val="105"/>
          <w:szCs w:val="24"/>
          <w:lang w:val="es-ES"/>
        </w:rPr>
        <w:t>).</w:t>
      </w:r>
      <w:r w:rsidRPr="00000A8A">
        <w:rPr>
          <w:rFonts w:eastAsiaTheme="minorEastAsia"/>
          <w:spacing w:val="-2"/>
          <w:w w:val="105"/>
          <w:szCs w:val="24"/>
          <w:lang w:val="es-ES"/>
        </w:rPr>
        <w:t>.</w:t>
      </w:r>
      <w:proofErr w:type="gramEnd"/>
      <w:r w:rsidRPr="00000A8A">
        <w:rPr>
          <w:rFonts w:eastAsiaTheme="minorEastAsia"/>
          <w:spacing w:val="-2"/>
          <w:w w:val="105"/>
          <w:szCs w:val="24"/>
          <w:lang w:val="es-ES"/>
        </w:rPr>
        <w:t xml:space="preserve"> Esto con el propósito de controlar por el poder adquisitivo de cada país. </w:t>
      </w:r>
    </w:p>
    <w:p w14:paraId="4F4DB653" w14:textId="77777777" w:rsidR="005B14BF" w:rsidRPr="00000A8A" w:rsidRDefault="005B14BF" w:rsidP="00BF5AA0">
      <w:pPr>
        <w:pStyle w:val="ListParagraph"/>
        <w:numPr>
          <w:ilvl w:val="0"/>
          <w:numId w:val="30"/>
        </w:numPr>
        <w:spacing w:after="0" w:line="240" w:lineRule="auto"/>
        <w:jc w:val="both"/>
        <w:rPr>
          <w:b/>
          <w:bCs/>
          <w:szCs w:val="24"/>
          <w:lang w:val="es-ES"/>
        </w:rPr>
      </w:pPr>
      <m:oMath>
        <m:r>
          <m:rPr>
            <m:sty m:val="bi"/>
          </m:rPr>
          <w:rPr>
            <w:rFonts w:ascii="Cambria Math" w:eastAsia="Cambria Math" w:hAnsi="Cambria Math"/>
            <w:spacing w:val="-2"/>
            <w:w w:val="105"/>
            <w:szCs w:val="24"/>
          </w:rPr>
          <m:t>Log</m:t>
        </m:r>
        <m:r>
          <m:rPr>
            <m:sty m:val="bi"/>
          </m:rPr>
          <w:rPr>
            <w:rFonts w:ascii="Cambria Math" w:eastAsia="Cambria Math" w:hAnsi="Cambria Math"/>
            <w:spacing w:val="-2"/>
            <w:w w:val="105"/>
            <w:szCs w:val="24"/>
            <w:lang w:val="es-ES"/>
          </w:rPr>
          <m:t>(</m:t>
        </m:r>
        <m:sSub>
          <m:sSubPr>
            <m:ctrlPr>
              <w:rPr>
                <w:rFonts w:ascii="Cambria Math" w:eastAsia="Cambria Math" w:hAnsi="Cambria Math"/>
                <w:b/>
                <w:bCs/>
                <w:spacing w:val="-2"/>
                <w:w w:val="105"/>
                <w:szCs w:val="24"/>
              </w:rPr>
            </m:ctrlPr>
          </m:sSubPr>
          <m:e>
            <m:r>
              <m:rPr>
                <m:sty m:val="b"/>
              </m:rPr>
              <w:rPr>
                <w:rFonts w:ascii="Cambria Math" w:eastAsia="Cambria Math" w:hAnsi="Cambria Math"/>
                <w:spacing w:val="-2"/>
                <w:w w:val="105"/>
                <w:szCs w:val="24"/>
              </w:rPr>
              <m:t>Inf</m:t>
            </m:r>
            <m:r>
              <m:rPr>
                <m:sty m:val="b"/>
              </m:rPr>
              <w:rPr>
                <w:rFonts w:ascii="Cambria Math" w:eastAsia="Cambria Math" w:hAnsi="Cambria Math"/>
                <w:spacing w:val="-2"/>
                <w:w w:val="105"/>
                <w:szCs w:val="24"/>
                <w:lang w:val="es-ES"/>
              </w:rPr>
              <m:t>)</m:t>
            </m:r>
          </m:e>
          <m:sub>
            <m:r>
              <m:rPr>
                <m:sty m:val="b"/>
              </m:rPr>
              <w:rPr>
                <w:rFonts w:ascii="Cambria Math" w:eastAsia="Cambria Math" w:hAnsi="Cambria Math"/>
                <w:spacing w:val="-2"/>
                <w:w w:val="105"/>
                <w:szCs w:val="24"/>
                <w:vertAlign w:val="subscript"/>
              </w:rPr>
              <m:t>it</m:t>
            </m:r>
          </m:sub>
        </m:sSub>
      </m:oMath>
      <w:r w:rsidRPr="00000A8A">
        <w:rPr>
          <w:rFonts w:eastAsiaTheme="minorEastAsia"/>
          <w:b/>
          <w:bCs/>
          <w:spacing w:val="-2"/>
          <w:w w:val="105"/>
          <w:szCs w:val="24"/>
          <w:lang w:val="es-ES"/>
        </w:rPr>
        <w:t xml:space="preserve">: </w:t>
      </w:r>
      <w:r w:rsidRPr="00000A8A">
        <w:rPr>
          <w:rFonts w:eastAsiaTheme="minorEastAsia"/>
          <w:spacing w:val="-2"/>
          <w:w w:val="105"/>
          <w:szCs w:val="24"/>
          <w:lang w:val="es-ES"/>
        </w:rPr>
        <w:t xml:space="preserve">Referencia al logaritmo de la información en el país medido por el deflactor del PIB. </w:t>
      </w:r>
    </w:p>
    <w:p w14:paraId="73587507" w14:textId="77777777" w:rsidR="005B14BF" w:rsidRPr="00000A8A" w:rsidRDefault="00540F24" w:rsidP="00BF5AA0">
      <w:pPr>
        <w:pStyle w:val="ListParagraph"/>
        <w:numPr>
          <w:ilvl w:val="0"/>
          <w:numId w:val="30"/>
        </w:numPr>
        <w:spacing w:after="0" w:line="240" w:lineRule="auto"/>
        <w:jc w:val="both"/>
        <w:rPr>
          <w:b/>
          <w:bCs/>
          <w:szCs w:val="24"/>
          <w:lang w:val="es-ES"/>
        </w:rPr>
      </w:pPr>
      <m:oMath>
        <m:sSub>
          <m:sSubPr>
            <m:ctrlPr>
              <w:rPr>
                <w:rFonts w:ascii="Cambria Math" w:eastAsia="Cambria Math" w:hAnsi="Cambria Math"/>
                <w:b/>
                <w:bCs/>
                <w:spacing w:val="-2"/>
                <w:w w:val="105"/>
                <w:szCs w:val="24"/>
              </w:rPr>
            </m:ctrlPr>
          </m:sSubPr>
          <m:e>
            <m:r>
              <m:rPr>
                <m:sty m:val="b"/>
              </m:rPr>
              <w:rPr>
                <w:rFonts w:ascii="Cambria Math" w:eastAsia="Cambria Math" w:hAnsi="Cambria Math"/>
                <w:spacing w:val="-2"/>
                <w:w w:val="105"/>
                <w:szCs w:val="24"/>
              </w:rPr>
              <m:t>CI</m:t>
            </m:r>
          </m:e>
          <m:sub>
            <m:r>
              <m:rPr>
                <m:sty m:val="b"/>
              </m:rPr>
              <w:rPr>
                <w:rFonts w:ascii="Cambria Math" w:eastAsia="Cambria Math" w:hAnsi="Cambria Math"/>
                <w:spacing w:val="-2"/>
                <w:w w:val="105"/>
                <w:szCs w:val="24"/>
              </w:rPr>
              <m:t>it</m:t>
            </m:r>
          </m:sub>
        </m:sSub>
      </m:oMath>
      <w:r w:rsidR="005B14BF" w:rsidRPr="00000A8A">
        <w:rPr>
          <w:rFonts w:eastAsiaTheme="minorEastAsia"/>
          <w:b/>
          <w:bCs/>
          <w:spacing w:val="-2"/>
          <w:w w:val="105"/>
          <w:szCs w:val="24"/>
          <w:lang w:val="es-ES"/>
        </w:rPr>
        <w:t xml:space="preserve">: </w:t>
      </w:r>
      <w:r w:rsidR="005B14BF" w:rsidRPr="00000A8A">
        <w:rPr>
          <w:rFonts w:eastAsiaTheme="minorEastAsia"/>
          <w:spacing w:val="-2"/>
          <w:w w:val="105"/>
          <w:szCs w:val="24"/>
          <w:lang w:val="es-ES"/>
        </w:rPr>
        <w:t>La suma de las exportaciones y las importaciones de los países (</w:t>
      </w:r>
      <m:oMath>
        <m:r>
          <w:rPr>
            <w:rFonts w:ascii="Cambria Math" w:eastAsiaTheme="minorEastAsia" w:hAnsi="Cambria Math"/>
            <w:spacing w:val="-2"/>
            <w:w w:val="105"/>
            <w:szCs w:val="24"/>
          </w:rPr>
          <m:t>i</m:t>
        </m:r>
      </m:oMath>
      <w:r w:rsidR="005B14BF" w:rsidRPr="00000A8A">
        <w:rPr>
          <w:rFonts w:eastAsiaTheme="minorEastAsia"/>
          <w:i/>
          <w:iCs/>
          <w:spacing w:val="-2"/>
          <w:w w:val="105"/>
          <w:szCs w:val="24"/>
          <w:lang w:val="es-ES"/>
        </w:rPr>
        <w:t>) en el tiempo (</w:t>
      </w:r>
      <m:oMath>
        <m:r>
          <w:rPr>
            <w:rFonts w:ascii="Cambria Math" w:eastAsia="Cambria Math" w:hAnsi="Cambria Math"/>
            <w:spacing w:val="-2"/>
            <w:w w:val="105"/>
            <w:szCs w:val="24"/>
          </w:rPr>
          <m:t>t</m:t>
        </m:r>
      </m:oMath>
      <w:r w:rsidR="005B14BF" w:rsidRPr="00000A8A">
        <w:rPr>
          <w:rFonts w:eastAsiaTheme="minorEastAsia"/>
          <w:i/>
          <w:iCs/>
          <w:spacing w:val="-2"/>
          <w:w w:val="105"/>
          <w:szCs w:val="24"/>
          <w:lang w:val="es-ES"/>
        </w:rPr>
        <w:t>).</w:t>
      </w:r>
      <w:r w:rsidR="005B14BF" w:rsidRPr="00000A8A">
        <w:rPr>
          <w:rFonts w:eastAsiaTheme="minorEastAsia"/>
          <w:spacing w:val="-2"/>
          <w:w w:val="105"/>
          <w:szCs w:val="24"/>
          <w:lang w:val="es-ES"/>
        </w:rPr>
        <w:t xml:space="preserve"> Esto, con el propósito de controlar por la apertura al comercio de las observaciones </w:t>
      </w:r>
    </w:p>
    <w:p w14:paraId="238E7672" w14:textId="77777777" w:rsidR="005B14BF" w:rsidRPr="00000A8A" w:rsidRDefault="00540F24" w:rsidP="00BF5AA0">
      <w:pPr>
        <w:pStyle w:val="ListParagraph"/>
        <w:numPr>
          <w:ilvl w:val="0"/>
          <w:numId w:val="30"/>
        </w:numPr>
        <w:spacing w:after="0" w:line="240" w:lineRule="auto"/>
        <w:jc w:val="both"/>
        <w:rPr>
          <w:b/>
          <w:bCs/>
          <w:szCs w:val="24"/>
          <w:lang w:val="es-ES"/>
        </w:rPr>
      </w:pPr>
      <m:oMath>
        <m:sSub>
          <m:sSubPr>
            <m:ctrlPr>
              <w:rPr>
                <w:rFonts w:ascii="Cambria Math" w:eastAsia="Cambria Math" w:hAnsi="Cambria Math"/>
                <w:b/>
                <w:bCs/>
                <w:spacing w:val="-2"/>
                <w:w w:val="105"/>
                <w:szCs w:val="24"/>
              </w:rPr>
            </m:ctrlPr>
          </m:sSubPr>
          <m:e>
            <m:r>
              <m:rPr>
                <m:sty m:val="b"/>
              </m:rPr>
              <w:rPr>
                <w:rFonts w:ascii="Cambria Math" w:eastAsia="Cambria Math" w:hAnsi="Cambria Math"/>
                <w:spacing w:val="-2"/>
                <w:w w:val="105"/>
                <w:szCs w:val="24"/>
              </w:rPr>
              <m:t>RTA</m:t>
            </m:r>
          </m:e>
          <m:sub>
            <m:r>
              <m:rPr>
                <m:sty m:val="b"/>
              </m:rPr>
              <w:rPr>
                <w:rFonts w:ascii="Cambria Math" w:eastAsia="Cambria Math" w:hAnsi="Cambria Math"/>
                <w:spacing w:val="-2"/>
                <w:w w:val="105"/>
                <w:szCs w:val="24"/>
              </w:rPr>
              <m:t>it</m:t>
            </m:r>
          </m:sub>
        </m:sSub>
        <m:r>
          <m:rPr>
            <m:sty m:val="b"/>
          </m:rPr>
          <w:rPr>
            <w:rFonts w:ascii="Cambria Math" w:eastAsia="Cambria Math" w:hAnsi="Cambria Math"/>
            <w:spacing w:val="-2"/>
            <w:w w:val="105"/>
            <w:szCs w:val="24"/>
            <w:lang w:val="es-ES"/>
          </w:rPr>
          <m:t>:</m:t>
        </m:r>
      </m:oMath>
      <w:r w:rsidR="005B14BF" w:rsidRPr="00000A8A">
        <w:rPr>
          <w:rFonts w:eastAsiaTheme="minorEastAsia"/>
          <w:b/>
          <w:bCs/>
          <w:spacing w:val="-2"/>
          <w:w w:val="105"/>
          <w:szCs w:val="24"/>
          <w:lang w:val="es-ES"/>
        </w:rPr>
        <w:t xml:space="preserve"> </w:t>
      </w:r>
      <w:r w:rsidR="005B14BF" w:rsidRPr="00000A8A">
        <w:rPr>
          <w:rFonts w:eastAsiaTheme="minorEastAsia"/>
          <w:spacing w:val="-2"/>
          <w:w w:val="105"/>
          <w:szCs w:val="24"/>
          <w:lang w:val="es-ES"/>
        </w:rPr>
        <w:t xml:space="preserve">Variable </w:t>
      </w:r>
      <w:proofErr w:type="spellStart"/>
      <w:r w:rsidR="005B14BF" w:rsidRPr="00000A8A">
        <w:rPr>
          <w:rFonts w:eastAsiaTheme="minorEastAsia"/>
          <w:spacing w:val="-2"/>
          <w:w w:val="105"/>
          <w:szCs w:val="24"/>
          <w:lang w:val="es-ES"/>
        </w:rPr>
        <w:t>dummy</w:t>
      </w:r>
      <w:proofErr w:type="spellEnd"/>
      <w:r w:rsidR="005B14BF" w:rsidRPr="00000A8A">
        <w:rPr>
          <w:rFonts w:eastAsiaTheme="minorEastAsia"/>
          <w:spacing w:val="-2"/>
          <w:w w:val="105"/>
          <w:szCs w:val="24"/>
          <w:lang w:val="es-ES"/>
        </w:rPr>
        <w:t xml:space="preserve"> que toma el valor de uno si existe un acuerdo regional de comercio entre </w:t>
      </w:r>
      <w:bookmarkStart w:id="0" w:name="OLE_LINK2"/>
      <w:r w:rsidR="005B14BF" w:rsidRPr="00000A8A">
        <w:rPr>
          <w:rFonts w:eastAsiaTheme="minorEastAsia"/>
          <w:spacing w:val="-2"/>
          <w:w w:val="105"/>
          <w:szCs w:val="24"/>
          <w:lang w:val="es-ES"/>
        </w:rPr>
        <w:t xml:space="preserve">los países </w:t>
      </w:r>
      <w:r w:rsidR="005B14BF" w:rsidRPr="00000A8A">
        <w:rPr>
          <w:rFonts w:eastAsiaTheme="minorEastAsia"/>
          <w:i/>
          <w:iCs/>
          <w:spacing w:val="-2"/>
          <w:w w:val="105"/>
          <w:szCs w:val="24"/>
          <w:lang w:val="es-ES"/>
        </w:rPr>
        <w:t>(</w:t>
      </w:r>
      <m:oMath>
        <m:r>
          <w:rPr>
            <w:rFonts w:ascii="Cambria Math" w:eastAsia="Cambria Math" w:hAnsi="Cambria Math"/>
            <w:spacing w:val="-2"/>
            <w:w w:val="105"/>
            <w:szCs w:val="24"/>
          </w:rPr>
          <m:t>i</m:t>
        </m:r>
      </m:oMath>
      <w:r w:rsidR="005B14BF" w:rsidRPr="00000A8A">
        <w:rPr>
          <w:rFonts w:eastAsiaTheme="minorEastAsia"/>
          <w:i/>
          <w:iCs/>
          <w:spacing w:val="-2"/>
          <w:w w:val="105"/>
          <w:szCs w:val="24"/>
          <w:lang w:val="es-ES"/>
        </w:rPr>
        <w:t>)</w:t>
      </w:r>
      <w:r w:rsidR="005B14BF" w:rsidRPr="00000A8A">
        <w:rPr>
          <w:rFonts w:eastAsiaTheme="minorEastAsia"/>
          <w:spacing w:val="-2"/>
          <w:w w:val="105"/>
          <w:szCs w:val="24"/>
          <w:lang w:val="es-ES"/>
        </w:rPr>
        <w:t xml:space="preserve"> en el tiempo </w:t>
      </w:r>
      <w:r w:rsidR="005B14BF" w:rsidRPr="00000A8A">
        <w:rPr>
          <w:rFonts w:eastAsiaTheme="minorEastAsia"/>
          <w:i/>
          <w:iCs/>
          <w:spacing w:val="-2"/>
          <w:w w:val="105"/>
          <w:szCs w:val="24"/>
          <w:lang w:val="es-ES"/>
        </w:rPr>
        <w:t>(</w:t>
      </w:r>
      <m:oMath>
        <m:r>
          <w:rPr>
            <w:rFonts w:ascii="Cambria Math" w:eastAsia="Cambria Math" w:hAnsi="Cambria Math"/>
            <w:spacing w:val="-2"/>
            <w:w w:val="105"/>
            <w:szCs w:val="24"/>
          </w:rPr>
          <m:t>t</m:t>
        </m:r>
      </m:oMath>
      <w:r w:rsidR="005B14BF" w:rsidRPr="00000A8A">
        <w:rPr>
          <w:rFonts w:eastAsiaTheme="minorEastAsia"/>
          <w:i/>
          <w:iCs/>
          <w:spacing w:val="-2"/>
          <w:w w:val="105"/>
          <w:szCs w:val="24"/>
          <w:lang w:val="es-ES"/>
        </w:rPr>
        <w:t>).</w:t>
      </w:r>
      <w:bookmarkEnd w:id="0"/>
    </w:p>
    <w:p w14:paraId="2B62B248" w14:textId="77777777" w:rsidR="005B14BF" w:rsidRPr="00000A8A" w:rsidRDefault="00540F24" w:rsidP="00BF5AA0">
      <w:pPr>
        <w:pStyle w:val="ListParagraph"/>
        <w:numPr>
          <w:ilvl w:val="0"/>
          <w:numId w:val="30"/>
        </w:numPr>
        <w:spacing w:after="0" w:line="240" w:lineRule="auto"/>
        <w:jc w:val="both"/>
        <w:rPr>
          <w:rFonts w:eastAsiaTheme="minorEastAsia"/>
          <w:b/>
          <w:bCs/>
          <w:szCs w:val="24"/>
          <w:lang w:val="es-ES"/>
        </w:rPr>
      </w:pPr>
      <m:oMath>
        <m:sSub>
          <m:sSubPr>
            <m:ctrlPr>
              <w:rPr>
                <w:rFonts w:ascii="Cambria Math" w:eastAsia="Cambria Math" w:hAnsi="Cambria Math"/>
                <w:b/>
                <w:bCs/>
                <w:spacing w:val="-2"/>
                <w:w w:val="105"/>
                <w:szCs w:val="24"/>
              </w:rPr>
            </m:ctrlPr>
          </m:sSubPr>
          <m:e>
            <m:r>
              <m:rPr>
                <m:sty m:val="b"/>
              </m:rPr>
              <w:rPr>
                <w:rFonts w:ascii="Cambria Math" w:eastAsia="Cambria Math" w:hAnsi="Cambria Math"/>
                <w:spacing w:val="-2"/>
                <w:w w:val="105"/>
                <w:szCs w:val="24"/>
              </w:rPr>
              <m:t>API</m:t>
            </m:r>
          </m:e>
          <m:sub>
            <m:r>
              <m:rPr>
                <m:sty m:val="bi"/>
              </m:rPr>
              <w:rPr>
                <w:rFonts w:ascii="Cambria Math" w:eastAsia="Cambria Math" w:hAnsi="Cambria Math"/>
                <w:spacing w:val="-2"/>
                <w:w w:val="105"/>
                <w:szCs w:val="24"/>
              </w:rPr>
              <m:t>it</m:t>
            </m:r>
          </m:sub>
        </m:sSub>
      </m:oMath>
      <w:r w:rsidR="005B14BF" w:rsidRPr="00000A8A">
        <w:rPr>
          <w:rFonts w:eastAsiaTheme="minorEastAsia"/>
          <w:b/>
          <w:bCs/>
          <w:spacing w:val="-2"/>
          <w:w w:val="105"/>
          <w:szCs w:val="24"/>
          <w:lang w:val="es-ES"/>
        </w:rPr>
        <w:t>:</w:t>
      </w:r>
      <w:r w:rsidR="005B14BF" w:rsidRPr="00000A8A">
        <w:rPr>
          <w:rFonts w:eastAsiaTheme="minorEastAsia"/>
          <w:spacing w:val="-2"/>
          <w:w w:val="105"/>
          <w:szCs w:val="24"/>
          <w:lang w:val="es-ES"/>
        </w:rPr>
        <w:t xml:space="preserve"> Variable </w:t>
      </w:r>
      <w:proofErr w:type="spellStart"/>
      <w:r w:rsidR="005B14BF" w:rsidRPr="00000A8A">
        <w:rPr>
          <w:rFonts w:eastAsiaTheme="minorEastAsia"/>
          <w:spacing w:val="-2"/>
          <w:w w:val="105"/>
          <w:szCs w:val="24"/>
          <w:lang w:val="es-ES"/>
        </w:rPr>
        <w:t>dummy</w:t>
      </w:r>
      <w:proofErr w:type="spellEnd"/>
      <w:r w:rsidR="005B14BF" w:rsidRPr="00000A8A">
        <w:rPr>
          <w:rFonts w:eastAsiaTheme="minorEastAsia"/>
          <w:spacing w:val="-2"/>
          <w:w w:val="105"/>
          <w:szCs w:val="24"/>
          <w:lang w:val="es-ES"/>
        </w:rPr>
        <w:t xml:space="preserve"> que toma el valor de uno si existe un acuerdo de protección de inversión entre los países </w:t>
      </w:r>
      <w:r w:rsidR="005B14BF" w:rsidRPr="00000A8A">
        <w:rPr>
          <w:rFonts w:eastAsiaTheme="minorEastAsia"/>
          <w:i/>
          <w:iCs/>
          <w:spacing w:val="-2"/>
          <w:w w:val="105"/>
          <w:szCs w:val="24"/>
          <w:lang w:val="es-ES"/>
        </w:rPr>
        <w:t>(</w:t>
      </w:r>
      <m:oMath>
        <m:r>
          <w:rPr>
            <w:rFonts w:ascii="Cambria Math" w:eastAsia="Cambria Math" w:hAnsi="Cambria Math"/>
            <w:spacing w:val="-2"/>
            <w:w w:val="105"/>
            <w:szCs w:val="24"/>
          </w:rPr>
          <m:t>i</m:t>
        </m:r>
      </m:oMath>
      <w:r w:rsidR="005B14BF" w:rsidRPr="00000A8A">
        <w:rPr>
          <w:rFonts w:eastAsiaTheme="minorEastAsia"/>
          <w:i/>
          <w:iCs/>
          <w:spacing w:val="-2"/>
          <w:w w:val="105"/>
          <w:szCs w:val="24"/>
          <w:lang w:val="es-ES"/>
        </w:rPr>
        <w:t>)</w:t>
      </w:r>
      <w:r w:rsidR="005B14BF" w:rsidRPr="00000A8A">
        <w:rPr>
          <w:rFonts w:eastAsiaTheme="minorEastAsia"/>
          <w:spacing w:val="-2"/>
          <w:w w:val="105"/>
          <w:szCs w:val="24"/>
          <w:lang w:val="es-ES"/>
        </w:rPr>
        <w:t xml:space="preserve"> en el tiempo </w:t>
      </w:r>
      <m:oMath>
        <m:r>
          <w:rPr>
            <w:rFonts w:ascii="Cambria Math" w:eastAsiaTheme="minorEastAsia" w:hAnsi="Cambria Math"/>
            <w:spacing w:val="-2"/>
            <w:w w:val="105"/>
            <w:szCs w:val="24"/>
            <w:lang w:val="es-ES"/>
          </w:rPr>
          <m:t>(</m:t>
        </m:r>
        <m:r>
          <w:rPr>
            <w:rFonts w:ascii="Cambria Math" w:eastAsia="Cambria Math" w:hAnsi="Cambria Math"/>
            <w:spacing w:val="-2"/>
            <w:w w:val="105"/>
            <w:szCs w:val="24"/>
          </w:rPr>
          <m:t>t</m:t>
        </m:r>
      </m:oMath>
      <w:r w:rsidR="005B14BF" w:rsidRPr="00000A8A">
        <w:rPr>
          <w:rFonts w:eastAsiaTheme="minorEastAsia"/>
          <w:i/>
          <w:spacing w:val="-2"/>
          <w:w w:val="105"/>
          <w:szCs w:val="24"/>
          <w:lang w:val="es-ES"/>
        </w:rPr>
        <w:t>).</w:t>
      </w:r>
    </w:p>
    <w:p w14:paraId="045E36D9" w14:textId="77777777" w:rsidR="005B14BF" w:rsidRPr="005513D8" w:rsidRDefault="00540F24" w:rsidP="00BF5AA0">
      <w:pPr>
        <w:pStyle w:val="ListParagraph"/>
        <w:numPr>
          <w:ilvl w:val="0"/>
          <w:numId w:val="30"/>
        </w:numPr>
        <w:spacing w:after="0" w:line="240" w:lineRule="auto"/>
        <w:jc w:val="both"/>
        <w:rPr>
          <w:rFonts w:eastAsiaTheme="minorEastAsia"/>
          <w:b/>
          <w:bCs/>
          <w:szCs w:val="24"/>
        </w:rPr>
      </w:pPr>
      <m:oMath>
        <m:sSub>
          <m:sSubPr>
            <m:ctrlPr>
              <w:rPr>
                <w:rFonts w:ascii="Cambria Math" w:eastAsia="Cambria Math" w:hAnsi="Cambria Math"/>
                <w:b/>
                <w:bCs/>
                <w:spacing w:val="-4"/>
                <w:w w:val="105"/>
                <w:szCs w:val="24"/>
              </w:rPr>
            </m:ctrlPr>
          </m:sSubPr>
          <m:e>
            <m:r>
              <m:rPr>
                <m:sty m:val="b"/>
              </m:rPr>
              <w:rPr>
                <w:rFonts w:ascii="Cambria Math" w:eastAsia="Cambria Math" w:hAnsi="Cambria Math"/>
                <w:spacing w:val="-4"/>
                <w:w w:val="105"/>
                <w:szCs w:val="24"/>
              </w:rPr>
              <m:t>ε</m:t>
            </m:r>
          </m:e>
          <m:sub>
            <m:r>
              <m:rPr>
                <m:sty m:val="b"/>
              </m:rPr>
              <w:rPr>
                <w:rFonts w:ascii="Cambria Math" w:eastAsia="Cambria Math" w:hAnsi="Cambria Math"/>
                <w:spacing w:val="-4"/>
                <w:w w:val="105"/>
                <w:szCs w:val="24"/>
                <w:vertAlign w:val="subscript"/>
              </w:rPr>
              <m:t>it</m:t>
            </m:r>
          </m:sub>
        </m:sSub>
      </m:oMath>
      <w:r w:rsidR="005B14BF" w:rsidRPr="005513D8">
        <w:rPr>
          <w:rFonts w:eastAsiaTheme="minorEastAsia"/>
          <w:b/>
          <w:bCs/>
          <w:spacing w:val="-4"/>
          <w:w w:val="105"/>
          <w:szCs w:val="24"/>
        </w:rPr>
        <w:t>:</w:t>
      </w:r>
      <w:r w:rsidR="005B14BF" w:rsidRPr="005513D8">
        <w:rPr>
          <w:rFonts w:eastAsiaTheme="minorEastAsia"/>
          <w:spacing w:val="-4"/>
          <w:w w:val="105"/>
          <w:szCs w:val="24"/>
        </w:rPr>
        <w:t xml:space="preserve"> Error</w:t>
      </w:r>
    </w:p>
    <w:p w14:paraId="2D6AC946" w14:textId="77777777" w:rsidR="005B14BF" w:rsidRPr="005513D8" w:rsidRDefault="005B14BF" w:rsidP="00155715">
      <w:pPr>
        <w:jc w:val="both"/>
        <w:rPr>
          <w:rFonts w:eastAsiaTheme="minorEastAsia"/>
          <w:b/>
          <w:bCs/>
        </w:rPr>
      </w:pPr>
    </w:p>
    <w:p w14:paraId="74B83CDF" w14:textId="77777777" w:rsidR="005B14BF" w:rsidRPr="00000A8A" w:rsidRDefault="005B14BF" w:rsidP="00155715">
      <w:pPr>
        <w:jc w:val="both"/>
        <w:rPr>
          <w:rFonts w:eastAsiaTheme="minorEastAsia"/>
          <w:lang w:val="es-ES"/>
        </w:rPr>
      </w:pPr>
      <w:r w:rsidRPr="00000A8A">
        <w:rPr>
          <w:rFonts w:eastAsiaTheme="minorEastAsia"/>
          <w:lang w:val="es-ES"/>
        </w:rPr>
        <w:t xml:space="preserve">En ese sentido y a partir de las estimaciones de los tres modelos: Estimador de efectos fijos estático, estimador de efectos fijos dinámico y Arellano Bond GMM se encontró que para el primero existe un aumento de 24,6% en los flujos de IED a partir de la </w:t>
      </w:r>
      <w:proofErr w:type="gramStart"/>
      <w:r w:rsidRPr="00000A8A">
        <w:rPr>
          <w:rFonts w:eastAsiaTheme="minorEastAsia"/>
          <w:lang w:val="es-ES"/>
        </w:rPr>
        <w:t>entrada en vigencia</w:t>
      </w:r>
      <w:proofErr w:type="gramEnd"/>
      <w:r w:rsidRPr="00000A8A">
        <w:rPr>
          <w:rFonts w:eastAsiaTheme="minorEastAsia"/>
          <w:lang w:val="es-ES"/>
        </w:rPr>
        <w:t xml:space="preserve"> de un ADT, para el segundo un aumento de 9,4% y para el tercero una relación del 9,0% a medida que aumenta un año en la suscripción de un ADT.</w:t>
      </w:r>
    </w:p>
    <w:p w14:paraId="5B042AED" w14:textId="77777777" w:rsidR="005B14BF" w:rsidRPr="00000A8A" w:rsidRDefault="005B14BF" w:rsidP="00155715">
      <w:pPr>
        <w:jc w:val="both"/>
        <w:rPr>
          <w:rFonts w:eastAsiaTheme="minorEastAsia"/>
          <w:b/>
          <w:bCs/>
          <w:lang w:val="es-ES"/>
        </w:rPr>
      </w:pPr>
    </w:p>
    <w:p w14:paraId="49EF9FF0" w14:textId="54DD8ABF" w:rsidR="005B14BF" w:rsidRPr="005513D8" w:rsidRDefault="005B14BF" w:rsidP="009639C4">
      <w:pPr>
        <w:pStyle w:val="Heading3"/>
        <w:ind w:left="720"/>
        <w:jc w:val="center"/>
        <w:rPr>
          <w:rFonts w:cs="Times New Roman"/>
          <w:bCs/>
        </w:rPr>
      </w:pPr>
      <w:r w:rsidRPr="005513D8">
        <w:rPr>
          <w:rFonts w:cs="Times New Roman"/>
          <w:bCs/>
        </w:rPr>
        <w:t xml:space="preserve">The Impact of Tax Treaties and Foreign Direct Investment: </w:t>
      </w:r>
      <w:proofErr w:type="gramStart"/>
      <w:r w:rsidRPr="005513D8">
        <w:rPr>
          <w:rFonts w:cs="Times New Roman"/>
          <w:bCs/>
        </w:rPr>
        <w:t>the</w:t>
      </w:r>
      <w:proofErr w:type="gramEnd"/>
      <w:r w:rsidRPr="005513D8">
        <w:rPr>
          <w:rFonts w:cs="Times New Roman"/>
          <w:bCs/>
        </w:rPr>
        <w:t xml:space="preserve"> Evidence Reconsidered</w:t>
      </w:r>
      <w:sdt>
        <w:sdtPr>
          <w:rPr>
            <w:rFonts w:cs="Times New Roman"/>
            <w:bCs/>
          </w:rPr>
          <w:id w:val="-83611433"/>
          <w:citation/>
        </w:sdtPr>
        <w:sdtContent>
          <w:r w:rsidR="009639C4">
            <w:rPr>
              <w:rFonts w:cs="Times New Roman"/>
              <w:bCs/>
            </w:rPr>
            <w:fldChar w:fldCharType="begin"/>
          </w:r>
          <w:r w:rsidR="009639C4" w:rsidRPr="009639C4">
            <w:rPr>
              <w:rFonts w:cs="Times New Roman"/>
              <w:bCs/>
            </w:rPr>
            <w:instrText xml:space="preserve"> CITATION Lee21 \l 1034 </w:instrText>
          </w:r>
          <w:r w:rsidR="009639C4">
            <w:rPr>
              <w:rFonts w:cs="Times New Roman"/>
              <w:bCs/>
            </w:rPr>
            <w:fldChar w:fldCharType="separate"/>
          </w:r>
          <w:r w:rsidR="00AC02AC">
            <w:rPr>
              <w:rFonts w:cs="Times New Roman"/>
              <w:bCs/>
              <w:noProof/>
            </w:rPr>
            <w:t xml:space="preserve"> </w:t>
          </w:r>
          <w:r w:rsidR="00AC02AC" w:rsidRPr="00AC02AC">
            <w:rPr>
              <w:rFonts w:cs="Times New Roman"/>
              <w:noProof/>
            </w:rPr>
            <w:t>(Lee &amp; Kim, 2021)</w:t>
          </w:r>
          <w:r w:rsidR="009639C4">
            <w:rPr>
              <w:rFonts w:cs="Times New Roman"/>
              <w:bCs/>
            </w:rPr>
            <w:fldChar w:fldCharType="end"/>
          </w:r>
        </w:sdtContent>
      </w:sdt>
    </w:p>
    <w:p w14:paraId="08D78BDD" w14:textId="77777777" w:rsidR="005B14BF" w:rsidRPr="005513D8" w:rsidRDefault="005B14BF" w:rsidP="00155715">
      <w:pPr>
        <w:jc w:val="both"/>
      </w:pPr>
    </w:p>
    <w:p w14:paraId="501D5050" w14:textId="744CF8EF" w:rsidR="005B14BF" w:rsidRPr="0020072E" w:rsidRDefault="005B14BF" w:rsidP="00155715">
      <w:pPr>
        <w:jc w:val="both"/>
        <w:rPr>
          <w:lang w:val="es-ES"/>
        </w:rPr>
      </w:pPr>
      <w:r w:rsidRPr="0020072E">
        <w:rPr>
          <w:lang w:val="es-ES"/>
        </w:rPr>
        <w:t xml:space="preserve">Este documento es tal vez el más reciente en materia de análisis acerca de la relación de los Acuerdos de Doble Tributación </w:t>
      </w:r>
      <w:r w:rsidR="004C368C" w:rsidRPr="0020072E">
        <w:rPr>
          <w:lang w:val="es-ES"/>
        </w:rPr>
        <w:t>y la</w:t>
      </w:r>
      <w:r w:rsidRPr="0020072E">
        <w:rPr>
          <w:lang w:val="es-ES"/>
        </w:rPr>
        <w:t xml:space="preserve"> Inversión Extranjera Directa. El </w:t>
      </w:r>
      <w:proofErr w:type="spellStart"/>
      <w:proofErr w:type="gramStart"/>
      <w:r w:rsidRPr="0020072E">
        <w:rPr>
          <w:lang w:val="es-ES"/>
        </w:rPr>
        <w:t>paper</w:t>
      </w:r>
      <w:proofErr w:type="spellEnd"/>
      <w:proofErr w:type="gramEnd"/>
      <w:r w:rsidRPr="0020072E">
        <w:rPr>
          <w:lang w:val="es-ES"/>
        </w:rPr>
        <w:t xml:space="preserve"> examina el impacto de los </w:t>
      </w:r>
      <w:proofErr w:type="spellStart"/>
      <w:r w:rsidRPr="0020072E">
        <w:rPr>
          <w:lang w:val="es-ES"/>
        </w:rPr>
        <w:t>ADTs</w:t>
      </w:r>
      <w:proofErr w:type="spellEnd"/>
      <w:r w:rsidRPr="0020072E">
        <w:rPr>
          <w:lang w:val="es-ES"/>
        </w:rPr>
        <w:t xml:space="preserve"> en los flujos salientes de IED de Estados Unidos hacia el mundo a partir de diferentes grupos de variables. La metodología de estimación es Mínimos Cuadrados Ordinarios (MCO), efectos fijos y efectos aleatorios</w:t>
      </w:r>
    </w:p>
    <w:p w14:paraId="0F9EDB4A" w14:textId="77777777" w:rsidR="005B14BF" w:rsidRPr="0020072E" w:rsidRDefault="005B14BF" w:rsidP="00155715">
      <w:pPr>
        <w:jc w:val="both"/>
        <w:rPr>
          <w:lang w:val="es-ES"/>
        </w:rPr>
      </w:pPr>
    </w:p>
    <w:p w14:paraId="5C4F71A2" w14:textId="77777777" w:rsidR="005B14BF" w:rsidRPr="0020072E" w:rsidRDefault="005B14BF" w:rsidP="00155715">
      <w:pPr>
        <w:jc w:val="both"/>
        <w:rPr>
          <w:lang w:val="es-ES"/>
        </w:rPr>
      </w:pPr>
      <w:r w:rsidRPr="0020072E">
        <w:rPr>
          <w:lang w:val="es-ES"/>
        </w:rPr>
        <w:t>En ese sentido, los autores utilizan la siguiente especificación funcional:</w:t>
      </w:r>
    </w:p>
    <w:p w14:paraId="6EC74631" w14:textId="77777777" w:rsidR="005B14BF" w:rsidRPr="0020072E" w:rsidRDefault="005B14BF" w:rsidP="00155715">
      <w:pPr>
        <w:jc w:val="both"/>
        <w:rPr>
          <w:lang w:val="es-ES"/>
        </w:rPr>
      </w:pPr>
    </w:p>
    <w:p w14:paraId="6DDCA6AE" w14:textId="77777777" w:rsidR="005B14BF" w:rsidRPr="005513D8" w:rsidRDefault="005B14BF" w:rsidP="00155715">
      <w:pPr>
        <w:tabs>
          <w:tab w:val="left" w:pos="1200"/>
        </w:tabs>
        <w:spacing w:before="196" w:line="242" w:lineRule="auto"/>
        <w:jc w:val="both"/>
        <w:rPr>
          <w:b/>
          <w:bCs/>
        </w:rPr>
      </w:pPr>
      <m:oMathPara>
        <m:oMath>
          <m:r>
            <w:rPr>
              <w:rFonts w:ascii="Cambria Math" w:hAnsi="Cambria Math"/>
            </w:rPr>
            <m:t>Log IE</m:t>
          </m:r>
          <m:sSub>
            <m:sSubPr>
              <m:ctrlPr>
                <w:rPr>
                  <w:rFonts w:ascii="Cambria Math" w:hAnsi="Cambria Math"/>
                  <w:i/>
                </w:rPr>
              </m:ctrlPr>
            </m:sSubPr>
            <m:e>
              <m:r>
                <w:rPr>
                  <w:rFonts w:ascii="Cambria Math" w:hAnsi="Cambria Math"/>
                </w:rPr>
                <m:t>D</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o</m:t>
              </m:r>
            </m:sub>
          </m:sSub>
          <m:r>
            <w:rPr>
              <w:rFonts w:ascii="Cambria Math" w:hAnsi="Cambria Math"/>
            </w:rPr>
            <m:t>+</m:t>
          </m:r>
          <m:sSub>
            <m:sSubPr>
              <m:ctrlPr>
                <w:rPr>
                  <w:rFonts w:ascii="Cambria Math" w:eastAsia="Cambria Math" w:hAnsi="Cambria Math"/>
                  <w:spacing w:val="-2"/>
                  <w:w w:val="105"/>
                  <w:vertAlign w:val="subscript"/>
                </w:rPr>
              </m:ctrlPr>
            </m:sSubPr>
            <m:e>
              <m:r>
                <m:rPr>
                  <m:sty m:val="p"/>
                </m:rPr>
                <w:rPr>
                  <w:rFonts w:ascii="Cambria Math" w:eastAsia="Cambria Math" w:hAnsi="Cambria Math"/>
                  <w:spacing w:val="-2"/>
                  <w:w w:val="105"/>
                </w:rPr>
                <m:t>β</m:t>
              </m:r>
              <m:ctrlPr>
                <w:rPr>
                  <w:rFonts w:ascii="Cambria Math" w:eastAsia="Cambria Math" w:hAnsi="Cambria Math"/>
                  <w:spacing w:val="-2"/>
                  <w:w w:val="105"/>
                </w:rPr>
              </m:ctrlPr>
            </m:e>
            <m:sub>
              <m:r>
                <m:rPr>
                  <m:sty m:val="p"/>
                </m:rPr>
                <w:rPr>
                  <w:rFonts w:ascii="Cambria Math" w:eastAsia="Cambria Math" w:hAnsi="Cambria Math"/>
                  <w:spacing w:val="-2"/>
                  <w:w w:val="105"/>
                  <w:vertAlign w:val="subscript"/>
                </w:rPr>
                <m:t>1</m:t>
              </m:r>
            </m:sub>
          </m:sSub>
          <m:sSub>
            <m:sSubPr>
              <m:ctrlPr>
                <w:rPr>
                  <w:rFonts w:ascii="Cambria Math" w:eastAsia="Cambria Math" w:hAnsi="Cambria Math"/>
                  <w:spacing w:val="-2"/>
                  <w:w w:val="105"/>
                </w:rPr>
              </m:ctrlPr>
            </m:sSubPr>
            <m:e>
              <m:r>
                <m:rPr>
                  <m:sty m:val="p"/>
                </m:rPr>
                <w:rPr>
                  <w:rFonts w:ascii="Cambria Math" w:eastAsia="Cambria Math" w:hAnsi="Cambria Math"/>
                  <w:spacing w:val="-2"/>
                  <w:w w:val="105"/>
                </w:rPr>
                <m:t>Log(PIB)</m:t>
              </m:r>
            </m:e>
            <m:sub>
              <m:r>
                <m:rPr>
                  <m:sty m:val="p"/>
                </m:rPr>
                <w:rPr>
                  <w:rFonts w:ascii="Cambria Math" w:eastAsia="Cambria Math" w:hAnsi="Cambria Math"/>
                  <w:spacing w:val="-2"/>
                  <w:w w:val="105"/>
                  <w:vertAlign w:val="subscript"/>
                </w:rPr>
                <m:t>it</m:t>
              </m:r>
            </m:sub>
          </m:sSub>
          <m:r>
            <w:rPr>
              <w:rFonts w:ascii="Cambria Math" w:hAnsi="Cambria Math"/>
            </w:rPr>
            <m:t>+</m:t>
          </m:r>
          <m:sSub>
            <m:sSubPr>
              <m:ctrlPr>
                <w:rPr>
                  <w:rFonts w:ascii="Cambria Math" w:eastAsia="Cambria Math" w:hAnsi="Cambria Math"/>
                  <w:spacing w:val="-2"/>
                  <w:w w:val="105"/>
                  <w:vertAlign w:val="subscript"/>
                </w:rPr>
              </m:ctrlPr>
            </m:sSubPr>
            <m:e>
              <m:r>
                <m:rPr>
                  <m:sty m:val="p"/>
                </m:rPr>
                <w:rPr>
                  <w:rFonts w:ascii="Cambria Math" w:eastAsia="Cambria Math" w:hAnsi="Cambria Math"/>
                  <w:spacing w:val="-2"/>
                  <w:w w:val="105"/>
                </w:rPr>
                <m:t>β</m:t>
              </m:r>
              <m:ctrlPr>
                <w:rPr>
                  <w:rFonts w:ascii="Cambria Math" w:eastAsia="Cambria Math" w:hAnsi="Cambria Math"/>
                  <w:spacing w:val="-2"/>
                  <w:w w:val="105"/>
                </w:rPr>
              </m:ctrlPr>
            </m:e>
            <m:sub>
              <m:r>
                <m:rPr>
                  <m:sty m:val="p"/>
                </m:rPr>
                <w:rPr>
                  <w:rFonts w:ascii="Cambria Math" w:eastAsia="Cambria Math" w:hAnsi="Cambria Math"/>
                  <w:spacing w:val="-2"/>
                  <w:w w:val="105"/>
                  <w:vertAlign w:val="subscript"/>
                </w:rPr>
                <m:t>2</m:t>
              </m:r>
            </m:sub>
          </m:sSub>
          <m:sSub>
            <m:sSubPr>
              <m:ctrlPr>
                <w:rPr>
                  <w:rFonts w:ascii="Cambria Math" w:eastAsia="Cambria Math" w:hAnsi="Cambria Math"/>
                  <w:spacing w:val="-2"/>
                  <w:w w:val="105"/>
                </w:rPr>
              </m:ctrlPr>
            </m:sSubPr>
            <m:e>
              <m:r>
                <m:rPr>
                  <m:sty m:val="p"/>
                </m:rPr>
                <w:rPr>
                  <w:rFonts w:ascii="Cambria Math" w:eastAsia="Cambria Math" w:hAnsi="Cambria Math"/>
                  <w:spacing w:val="-2"/>
                  <w:w w:val="105"/>
                </w:rPr>
                <m:t>Distancia</m:t>
              </m:r>
            </m:e>
            <m:sub>
              <m:r>
                <m:rPr>
                  <m:sty m:val="p"/>
                </m:rPr>
                <w:rPr>
                  <w:rFonts w:ascii="Cambria Math" w:eastAsia="Cambria Math" w:hAnsi="Cambria Math"/>
                  <w:spacing w:val="-2"/>
                  <w:w w:val="105"/>
                  <w:vertAlign w:val="subscript"/>
                </w:rPr>
                <m:t>i</m:t>
              </m:r>
            </m:sub>
          </m:sSub>
          <m:r>
            <m:rPr>
              <m:sty m:val="p"/>
            </m:rPr>
            <w:rPr>
              <w:rFonts w:ascii="Cambria Math" w:eastAsia="Cambria Math" w:hAnsi="Cambria Math"/>
              <w:spacing w:val="-2"/>
              <w:w w:val="105"/>
            </w:rPr>
            <m:t>+</m:t>
          </m:r>
          <m:sSub>
            <m:sSubPr>
              <m:ctrlPr>
                <w:rPr>
                  <w:rFonts w:ascii="Cambria Math" w:eastAsia="Cambria Math" w:hAnsi="Cambria Math"/>
                  <w:spacing w:val="-2"/>
                  <w:w w:val="105"/>
                </w:rPr>
              </m:ctrlPr>
            </m:sSubPr>
            <m:e>
              <m:r>
                <m:rPr>
                  <m:sty m:val="p"/>
                </m:rPr>
                <w:rPr>
                  <w:rFonts w:ascii="Cambria Math" w:eastAsia="Cambria Math" w:hAnsi="Cambria Math"/>
                  <w:spacing w:val="-2"/>
                  <w:w w:val="105"/>
                </w:rPr>
                <m:t>β</m:t>
              </m:r>
              <m:ctrlPr>
                <w:rPr>
                  <w:rFonts w:ascii="Cambria Math" w:eastAsia="Cambria Math" w:hAnsi="Cambria Math"/>
                  <w:spacing w:val="-12"/>
                  <w:w w:val="105"/>
                </w:rPr>
              </m:ctrlPr>
            </m:e>
            <m:sub>
              <m:r>
                <m:rPr>
                  <m:sty m:val="p"/>
                </m:rPr>
                <w:rPr>
                  <w:rFonts w:ascii="Cambria Math" w:eastAsia="Cambria Math" w:hAnsi="Cambria Math"/>
                  <w:spacing w:val="-2"/>
                  <w:w w:val="105"/>
                  <w:vertAlign w:val="subscript"/>
                </w:rPr>
                <m:t>3</m:t>
              </m:r>
            </m:sub>
          </m:sSub>
          <m:sSub>
            <m:sSubPr>
              <m:ctrlPr>
                <w:rPr>
                  <w:rFonts w:ascii="Cambria Math" w:eastAsia="Cambria Math" w:hAnsi="Cambria Math"/>
                  <w:spacing w:val="-2"/>
                  <w:w w:val="105"/>
                </w:rPr>
              </m:ctrlPr>
            </m:sSubPr>
            <m:e>
              <m:r>
                <m:rPr>
                  <m:sty m:val="p"/>
                </m:rPr>
                <w:rPr>
                  <w:rFonts w:ascii="Cambria Math" w:eastAsia="Cambria Math" w:hAnsi="Cambria Math"/>
                  <w:spacing w:val="-2"/>
                  <w:w w:val="105"/>
                </w:rPr>
                <m:t>TFP</m:t>
              </m:r>
              <m:ctrlPr>
                <w:rPr>
                  <w:rFonts w:ascii="Cambria Math" w:eastAsia="Cambria Math" w:hAnsi="Cambria Math"/>
                  <w:spacing w:val="-2"/>
                  <w:w w:val="105"/>
                  <w:vertAlign w:val="subscript"/>
                </w:rPr>
              </m:ctrlPr>
            </m:e>
            <m:sub>
              <m:r>
                <m:rPr>
                  <m:sty m:val="p"/>
                </m:rPr>
                <w:rPr>
                  <w:rFonts w:ascii="Cambria Math" w:eastAsia="Cambria Math" w:hAnsi="Cambria Math"/>
                  <w:spacing w:val="-2"/>
                  <w:w w:val="105"/>
                  <w:vertAlign w:val="subscript"/>
                </w:rPr>
                <m:t>it</m:t>
              </m:r>
            </m:sub>
          </m:sSub>
          <m:r>
            <m:rPr>
              <m:sty m:val="p"/>
            </m:rPr>
            <w:rPr>
              <w:rFonts w:ascii="Cambria Math" w:eastAsia="Cambria Math" w:hAnsi="Cambria Math"/>
              <w:spacing w:val="-2"/>
              <w:w w:val="105"/>
            </w:rPr>
            <m:t>+</m:t>
          </m:r>
          <m:sSub>
            <m:sSubPr>
              <m:ctrlPr>
                <w:rPr>
                  <w:rFonts w:ascii="Cambria Math" w:eastAsia="Cambria Math" w:hAnsi="Cambria Math"/>
                  <w:spacing w:val="-2"/>
                  <w:w w:val="105"/>
                </w:rPr>
              </m:ctrlPr>
            </m:sSubPr>
            <m:e>
              <m:r>
                <m:rPr>
                  <m:sty m:val="p"/>
                </m:rPr>
                <w:rPr>
                  <w:rFonts w:ascii="Cambria Math" w:eastAsia="Cambria Math" w:hAnsi="Cambria Math"/>
                  <w:spacing w:val="-2"/>
                  <w:w w:val="105"/>
                </w:rPr>
                <m:t>β</m:t>
              </m:r>
            </m:e>
            <m:sub>
              <m:r>
                <m:rPr>
                  <m:sty m:val="p"/>
                </m:rPr>
                <w:rPr>
                  <w:rFonts w:ascii="Cambria Math" w:eastAsia="Cambria Math" w:hAnsi="Cambria Math"/>
                  <w:spacing w:val="-2"/>
                  <w:w w:val="105"/>
                  <w:vertAlign w:val="subscript"/>
                </w:rPr>
                <m:t>4</m:t>
              </m:r>
            </m:sub>
          </m:sSub>
          <m:r>
            <m:rPr>
              <m:sty m:val="p"/>
            </m:rPr>
            <w:rPr>
              <w:rFonts w:ascii="Cambria Math" w:eastAsia="Cambria Math" w:hAnsi="Cambria Math"/>
              <w:spacing w:val="-2"/>
              <w:w w:val="105"/>
            </w:rPr>
            <m:t>Log</m:t>
          </m:r>
          <m:sSub>
            <m:sSubPr>
              <m:ctrlPr>
                <w:rPr>
                  <w:rFonts w:ascii="Cambria Math" w:eastAsia="Cambria Math" w:hAnsi="Cambria Math"/>
                  <w:spacing w:val="-2"/>
                  <w:w w:val="105"/>
                </w:rPr>
              </m:ctrlPr>
            </m:sSubPr>
            <m:e>
              <m:d>
                <m:dPr>
                  <m:ctrlPr>
                    <w:rPr>
                      <w:rFonts w:ascii="Cambria Math" w:eastAsia="Cambria Math" w:hAnsi="Cambria Math"/>
                      <w:spacing w:val="-2"/>
                      <w:w w:val="105"/>
                    </w:rPr>
                  </m:ctrlPr>
                </m:dPr>
                <m:e>
                  <m:r>
                    <m:rPr>
                      <m:sty m:val="p"/>
                    </m:rPr>
                    <w:rPr>
                      <w:rFonts w:ascii="Cambria Math" w:eastAsia="Cambria Math" w:hAnsi="Cambria Math"/>
                      <w:spacing w:val="-2"/>
                      <w:w w:val="105"/>
                    </w:rPr>
                    <m:t>HC</m:t>
                  </m:r>
                </m:e>
              </m:d>
              <m:ctrlPr>
                <w:rPr>
                  <w:rFonts w:ascii="Cambria Math" w:eastAsia="Cambria Math" w:hAnsi="Cambria Math"/>
                  <w:spacing w:val="-2"/>
                  <w:w w:val="105"/>
                  <w:vertAlign w:val="subscript"/>
                </w:rPr>
              </m:ctrlPr>
            </m:e>
            <m:sub>
              <m:r>
                <m:rPr>
                  <m:sty m:val="p"/>
                </m:rPr>
                <w:rPr>
                  <w:rFonts w:ascii="Cambria Math" w:eastAsia="Cambria Math" w:hAnsi="Cambria Math"/>
                  <w:spacing w:val="-2"/>
                  <w:w w:val="105"/>
                  <w:vertAlign w:val="subscript"/>
                </w:rPr>
                <m:t>it</m:t>
              </m:r>
            </m:sub>
          </m:sSub>
          <m:r>
            <m:rPr>
              <m:sty m:val="p"/>
            </m:rPr>
            <w:rPr>
              <w:rFonts w:ascii="Cambria Math" w:eastAsia="Cambria Math" w:hAnsi="Cambria Math"/>
              <w:spacing w:val="-2"/>
              <w:w w:val="105"/>
            </w:rPr>
            <m:t>+</m:t>
          </m:r>
          <m:r>
            <m:rPr>
              <m:sty m:val="p"/>
            </m:rPr>
            <w:rPr>
              <w:rFonts w:ascii="Cambria Math" w:eastAsia="Cambria Math" w:hAnsi="Cambria Math"/>
              <w:spacing w:val="-12"/>
              <w:w w:val="105"/>
            </w:rPr>
            <m:t xml:space="preserve"> </m:t>
          </m:r>
          <m:sSub>
            <m:sSubPr>
              <m:ctrlPr>
                <w:rPr>
                  <w:rFonts w:ascii="Cambria Math" w:eastAsia="Cambria Math" w:hAnsi="Cambria Math"/>
                  <w:spacing w:val="-2"/>
                  <w:w w:val="105"/>
                </w:rPr>
              </m:ctrlPr>
            </m:sSubPr>
            <m:e>
              <m:r>
                <m:rPr>
                  <m:sty m:val="p"/>
                </m:rPr>
                <w:rPr>
                  <w:rFonts w:ascii="Cambria Math" w:eastAsia="Cambria Math" w:hAnsi="Cambria Math"/>
                  <w:spacing w:val="-2"/>
                  <w:w w:val="105"/>
                </w:rPr>
                <m:t>β</m:t>
              </m:r>
              <m:ctrlPr>
                <w:rPr>
                  <w:rFonts w:ascii="Cambria Math" w:eastAsia="Cambria Math" w:hAnsi="Cambria Math"/>
                  <w:spacing w:val="-12"/>
                  <w:w w:val="105"/>
                </w:rPr>
              </m:ctrlPr>
            </m:e>
            <m:sub>
              <m:r>
                <m:rPr>
                  <m:sty m:val="p"/>
                </m:rPr>
                <w:rPr>
                  <w:rFonts w:ascii="Cambria Math" w:eastAsia="Cambria Math" w:hAnsi="Cambria Math"/>
                  <w:spacing w:val="-2"/>
                  <w:w w:val="105"/>
                  <w:vertAlign w:val="subscript"/>
                </w:rPr>
                <m:t>5</m:t>
              </m:r>
            </m:sub>
          </m:sSub>
          <m:r>
            <w:rPr>
              <w:rFonts w:ascii="Cambria Math" w:eastAsia="Cambria Math" w:hAnsi="Cambria Math"/>
              <w:spacing w:val="-2"/>
              <w:w w:val="105"/>
            </w:rPr>
            <m:t>Log</m:t>
          </m:r>
          <m:sSub>
            <m:sSubPr>
              <m:ctrlPr>
                <w:rPr>
                  <w:rFonts w:ascii="Cambria Math" w:eastAsia="Cambria Math" w:hAnsi="Cambria Math"/>
                  <w:spacing w:val="-2"/>
                  <w:w w:val="105"/>
                </w:rPr>
              </m:ctrlPr>
            </m:sSubPr>
            <m:e>
              <m:r>
                <w:rPr>
                  <w:rFonts w:ascii="Cambria Math" w:eastAsia="Cambria Math" w:hAnsi="Cambria Math"/>
                  <w:spacing w:val="-2"/>
                  <w:w w:val="105"/>
                </w:rPr>
                <m:t>(TCost)</m:t>
              </m:r>
            </m:e>
            <m:sub>
              <m:r>
                <m:rPr>
                  <m:sty m:val="p"/>
                </m:rPr>
                <w:rPr>
                  <w:rFonts w:ascii="Cambria Math" w:eastAsia="Cambria Math" w:hAnsi="Cambria Math"/>
                  <w:spacing w:val="-2"/>
                  <w:w w:val="105"/>
                  <w:vertAlign w:val="subscript"/>
                </w:rPr>
                <m:t>it</m:t>
              </m:r>
            </m:sub>
          </m:sSub>
          <m:r>
            <m:rPr>
              <m:sty m:val="p"/>
            </m:rPr>
            <w:rPr>
              <w:rFonts w:ascii="Cambria Math" w:eastAsia="Cambria Math" w:hAnsi="Cambria Math"/>
              <w:spacing w:val="-2"/>
              <w:w w:val="105"/>
            </w:rPr>
            <m:t>+</m:t>
          </m:r>
          <m:sSub>
            <m:sSubPr>
              <m:ctrlPr>
                <w:rPr>
                  <w:rFonts w:ascii="Cambria Math" w:eastAsia="Cambria Math" w:hAnsi="Cambria Math"/>
                  <w:spacing w:val="-2"/>
                  <w:w w:val="105"/>
                </w:rPr>
              </m:ctrlPr>
            </m:sSubPr>
            <m:e>
              <m:sSub>
                <m:sSubPr>
                  <m:ctrlPr>
                    <w:rPr>
                      <w:rFonts w:ascii="Cambria Math" w:eastAsia="Cambria Math" w:hAnsi="Cambria Math"/>
                      <w:spacing w:val="-2"/>
                      <w:w w:val="105"/>
                      <w:vertAlign w:val="subscript"/>
                    </w:rPr>
                  </m:ctrlPr>
                </m:sSubPr>
                <m:e>
                  <m:r>
                    <m:rPr>
                      <m:sty m:val="p"/>
                    </m:rPr>
                    <w:rPr>
                      <w:rFonts w:ascii="Cambria Math" w:eastAsia="Cambria Math" w:hAnsi="Cambria Math"/>
                      <w:spacing w:val="-2"/>
                      <w:w w:val="105"/>
                    </w:rPr>
                    <m:t>β</m:t>
                  </m:r>
                  <m:ctrlPr>
                    <w:rPr>
                      <w:rFonts w:ascii="Cambria Math" w:eastAsia="Cambria Math" w:hAnsi="Cambria Math"/>
                      <w:spacing w:val="-2"/>
                      <w:w w:val="105"/>
                    </w:rPr>
                  </m:ctrlPr>
                </m:e>
                <m:sub>
                  <m:r>
                    <m:rPr>
                      <m:sty m:val="p"/>
                    </m:rPr>
                    <w:rPr>
                      <w:rFonts w:ascii="Cambria Math" w:eastAsia="Cambria Math" w:hAnsi="Cambria Math"/>
                      <w:spacing w:val="-2"/>
                      <w:w w:val="105"/>
                      <w:vertAlign w:val="subscript"/>
                    </w:rPr>
                    <m:t>6</m:t>
                  </m:r>
                </m:sub>
              </m:sSub>
              <m:r>
                <m:rPr>
                  <m:sty m:val="p"/>
                </m:rPr>
                <w:rPr>
                  <w:rFonts w:ascii="Cambria Math" w:eastAsia="Cambria Math" w:hAnsi="Cambria Math"/>
                  <w:spacing w:val="-2"/>
                  <w:w w:val="105"/>
                </w:rPr>
                <m:t>ADT</m:t>
              </m:r>
            </m:e>
            <m:sub>
              <m:r>
                <m:rPr>
                  <m:sty m:val="p"/>
                </m:rPr>
                <w:rPr>
                  <w:rFonts w:ascii="Cambria Math" w:eastAsia="Cambria Math" w:hAnsi="Cambria Math"/>
                  <w:spacing w:val="-2"/>
                  <w:w w:val="105"/>
                </w:rPr>
                <m:t>it</m:t>
              </m:r>
            </m:sub>
          </m:sSub>
          <m:r>
            <m:rPr>
              <m:sty m:val="p"/>
            </m:rPr>
            <w:rPr>
              <w:rFonts w:ascii="Cambria Math" w:eastAsia="Cambria Math" w:hAnsi="Cambria Math"/>
              <w:spacing w:val="-2"/>
              <w:w w:val="105"/>
            </w:rPr>
            <m:t>+</m:t>
          </m:r>
          <m:sSub>
            <m:sSubPr>
              <m:ctrlPr>
                <w:rPr>
                  <w:rFonts w:ascii="Cambria Math" w:eastAsia="Cambria Math" w:hAnsi="Cambria Math"/>
                  <w:spacing w:val="-2"/>
                  <w:w w:val="105"/>
                </w:rPr>
              </m:ctrlPr>
            </m:sSubPr>
            <m:e>
              <m:r>
                <m:rPr>
                  <m:sty m:val="p"/>
                </m:rPr>
                <w:rPr>
                  <w:rFonts w:ascii="Cambria Math" w:eastAsia="Cambria Math" w:hAnsi="Cambria Math"/>
                  <w:spacing w:val="-2"/>
                  <w:w w:val="105"/>
                </w:rPr>
                <m:t>Ζ</m:t>
              </m:r>
            </m:e>
            <m:sub>
              <m:r>
                <m:rPr>
                  <m:sty m:val="p"/>
                </m:rPr>
                <w:rPr>
                  <w:rFonts w:ascii="Cambria Math" w:eastAsia="Cambria Math" w:hAnsi="Cambria Math"/>
                  <w:spacing w:val="-2"/>
                  <w:w w:val="105"/>
                </w:rPr>
                <m:t>it</m:t>
              </m:r>
            </m:sub>
          </m:sSub>
          <m:r>
            <m:rPr>
              <m:sty m:val="p"/>
            </m:rPr>
            <w:rPr>
              <w:rFonts w:ascii="Cambria Math" w:eastAsia="Cambria Math" w:hAnsi="Cambria Math"/>
              <w:spacing w:val="-2"/>
              <w:w w:val="105"/>
            </w:rPr>
            <m:t>+</m:t>
          </m:r>
          <m:sSub>
            <m:sSubPr>
              <m:ctrlPr>
                <w:rPr>
                  <w:rFonts w:ascii="Cambria Math" w:eastAsia="Cambria Math" w:hAnsi="Cambria Math"/>
                  <w:spacing w:val="-2"/>
                  <w:w w:val="105"/>
                </w:rPr>
              </m:ctrlPr>
            </m:sSubPr>
            <m:e>
              <m:sSub>
                <m:sSubPr>
                  <m:ctrlPr>
                    <w:rPr>
                      <w:rFonts w:ascii="Cambria Math" w:eastAsia="Cambria Math" w:hAnsi="Cambria Math"/>
                      <w:spacing w:val="-2"/>
                      <w:w w:val="105"/>
                      <w:vertAlign w:val="subscript"/>
                    </w:rPr>
                  </m:ctrlPr>
                </m:sSubPr>
                <m:e>
                  <m:r>
                    <m:rPr>
                      <m:sty m:val="p"/>
                    </m:rPr>
                    <w:rPr>
                      <w:rFonts w:ascii="Cambria Math" w:eastAsia="Cambria Math" w:hAnsi="Cambria Math"/>
                      <w:spacing w:val="-2"/>
                      <w:w w:val="105"/>
                    </w:rPr>
                    <m:t>ϑ</m:t>
                  </m:r>
                  <m:ctrlPr>
                    <w:rPr>
                      <w:rFonts w:ascii="Cambria Math" w:eastAsia="Cambria Math" w:hAnsi="Cambria Math"/>
                      <w:spacing w:val="-2"/>
                      <w:w w:val="105"/>
                    </w:rPr>
                  </m:ctrlPr>
                </m:e>
                <m:sub>
                  <m:r>
                    <m:rPr>
                      <m:sty m:val="p"/>
                    </m:rPr>
                    <w:rPr>
                      <w:rFonts w:ascii="Cambria Math" w:eastAsia="Cambria Math" w:hAnsi="Cambria Math"/>
                      <w:spacing w:val="-2"/>
                      <w:w w:val="105"/>
                      <w:vertAlign w:val="subscript"/>
                    </w:rPr>
                    <m:t>8</m:t>
                  </m:r>
                </m:sub>
              </m:sSub>
              <m:r>
                <m:rPr>
                  <m:sty m:val="p"/>
                </m:rPr>
                <w:rPr>
                  <w:rFonts w:ascii="Cambria Math" w:eastAsia="Cambria Math" w:hAnsi="Cambria Math"/>
                  <w:spacing w:val="-2"/>
                  <w:w w:val="105"/>
                </w:rPr>
                <m:t>TAX</m:t>
              </m:r>
            </m:e>
            <m:sub>
              <m:r>
                <w:rPr>
                  <w:rFonts w:ascii="Cambria Math" w:eastAsia="Cambria Math" w:hAnsi="Cambria Math"/>
                  <w:spacing w:val="-2"/>
                  <w:w w:val="105"/>
                </w:rPr>
                <m:t>it</m:t>
              </m:r>
            </m:sub>
          </m:sSub>
          <m:r>
            <m:rPr>
              <m:sty m:val="p"/>
            </m:rPr>
            <w:rPr>
              <w:rFonts w:ascii="Cambria Math" w:eastAsia="Cambria Math" w:hAnsi="Cambria Math"/>
              <w:spacing w:val="-4"/>
              <w:w w:val="105"/>
            </w:rPr>
            <m:t>+</m:t>
          </m:r>
          <m:sSub>
            <m:sSubPr>
              <m:ctrlPr>
                <w:rPr>
                  <w:rFonts w:ascii="Cambria Math" w:eastAsia="Cambria Math" w:hAnsi="Cambria Math"/>
                  <w:spacing w:val="-4"/>
                  <w:w w:val="105"/>
                </w:rPr>
              </m:ctrlPr>
            </m:sSubPr>
            <m:e>
              <m:r>
                <m:rPr>
                  <m:sty m:val="p"/>
                </m:rPr>
                <w:rPr>
                  <w:rFonts w:ascii="Cambria Math" w:eastAsia="Cambria Math" w:hAnsi="Cambria Math"/>
                  <w:spacing w:val="-4"/>
                  <w:w w:val="105"/>
                </w:rPr>
                <m:t>T</m:t>
              </m:r>
            </m:e>
            <m:sub>
              <m:r>
                <w:rPr>
                  <w:rFonts w:ascii="Cambria Math" w:eastAsia="Cambria Math" w:hAnsi="Cambria Math"/>
                  <w:spacing w:val="-4"/>
                  <w:w w:val="105"/>
                </w:rPr>
                <m:t>t</m:t>
              </m:r>
            </m:sub>
          </m:sSub>
          <m:r>
            <m:rPr>
              <m:sty m:val="p"/>
            </m:rPr>
            <w:rPr>
              <w:rFonts w:ascii="Cambria Math" w:eastAsia="Cambria Math" w:hAnsi="Cambria Math"/>
              <w:spacing w:val="-4"/>
              <w:w w:val="105"/>
            </w:rPr>
            <m:t>w+</m:t>
          </m:r>
          <m:sSub>
            <m:sSubPr>
              <m:ctrlPr>
                <w:rPr>
                  <w:rFonts w:ascii="Cambria Math" w:eastAsia="Cambria Math" w:hAnsi="Cambria Math"/>
                  <w:spacing w:val="-4"/>
                  <w:w w:val="105"/>
                </w:rPr>
              </m:ctrlPr>
            </m:sSubPr>
            <m:e>
              <m:r>
                <m:rPr>
                  <m:sty m:val="p"/>
                </m:rPr>
                <w:rPr>
                  <w:rFonts w:ascii="Cambria Math" w:eastAsia="Cambria Math" w:hAnsi="Cambria Math"/>
                  <w:spacing w:val="-4"/>
                  <w:w w:val="105"/>
                </w:rPr>
                <m:t>ε</m:t>
              </m:r>
            </m:e>
            <m:sub>
              <m:r>
                <m:rPr>
                  <m:sty m:val="p"/>
                </m:rPr>
                <w:rPr>
                  <w:rFonts w:ascii="Cambria Math" w:eastAsia="Cambria Math" w:hAnsi="Cambria Math"/>
                  <w:spacing w:val="-4"/>
                  <w:w w:val="105"/>
                  <w:vertAlign w:val="subscript"/>
                </w:rPr>
                <m:t>it</m:t>
              </m:r>
            </m:sub>
          </m:sSub>
        </m:oMath>
      </m:oMathPara>
    </w:p>
    <w:p w14:paraId="44F35C2B" w14:textId="77777777" w:rsidR="005B14BF" w:rsidRPr="005513D8" w:rsidRDefault="005B14BF" w:rsidP="00155715">
      <w:pPr>
        <w:jc w:val="both"/>
      </w:pPr>
    </w:p>
    <w:p w14:paraId="4723BA4F" w14:textId="77777777" w:rsidR="005B14BF" w:rsidRPr="0020072E" w:rsidRDefault="005B14BF" w:rsidP="00155715">
      <w:pPr>
        <w:jc w:val="both"/>
        <w:rPr>
          <w:lang w:val="es-ES"/>
        </w:rPr>
      </w:pPr>
      <w:r w:rsidRPr="0020072E">
        <w:rPr>
          <w:lang w:val="es-ES"/>
        </w:rPr>
        <w:t xml:space="preserve">En donde las variables o grupos de variables representan: </w:t>
      </w:r>
    </w:p>
    <w:p w14:paraId="40AF36A0" w14:textId="77777777" w:rsidR="005B14BF" w:rsidRPr="0020072E" w:rsidRDefault="005B14BF" w:rsidP="00155715">
      <w:pPr>
        <w:jc w:val="both"/>
        <w:rPr>
          <w:lang w:val="es-ES"/>
        </w:rPr>
      </w:pPr>
    </w:p>
    <w:p w14:paraId="1CCF6E5F" w14:textId="77777777" w:rsidR="005B14BF" w:rsidRPr="0020072E" w:rsidRDefault="005B14BF" w:rsidP="00CB6F49">
      <w:pPr>
        <w:pStyle w:val="ListParagraph"/>
        <w:numPr>
          <w:ilvl w:val="0"/>
          <w:numId w:val="32"/>
        </w:numPr>
        <w:spacing w:after="0" w:line="240" w:lineRule="auto"/>
        <w:jc w:val="both"/>
        <w:rPr>
          <w:szCs w:val="24"/>
          <w:lang w:val="es-ES"/>
        </w:rPr>
      </w:pPr>
      <m:oMath>
        <m:r>
          <w:rPr>
            <w:rFonts w:ascii="Cambria Math" w:hAnsi="Cambria Math"/>
            <w:szCs w:val="24"/>
          </w:rPr>
          <m:t>Log</m:t>
        </m:r>
        <m:r>
          <w:rPr>
            <w:rFonts w:ascii="Cambria Math" w:hAnsi="Cambria Math"/>
            <w:szCs w:val="24"/>
            <w:lang w:val="es-ES"/>
          </w:rPr>
          <m:t xml:space="preserve"> </m:t>
        </m:r>
        <m:r>
          <w:rPr>
            <w:rFonts w:ascii="Cambria Math" w:hAnsi="Cambria Math"/>
            <w:szCs w:val="24"/>
          </w:rPr>
          <m:t>IE</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it</m:t>
            </m:r>
          </m:sub>
        </m:sSub>
      </m:oMath>
      <w:r w:rsidRPr="0020072E">
        <w:rPr>
          <w:rFonts w:eastAsiaTheme="minorEastAsia"/>
          <w:szCs w:val="24"/>
          <w:lang w:val="es-ES"/>
        </w:rPr>
        <w:t xml:space="preserve">: Refiere a los flujos de IED saliente de </w:t>
      </w:r>
      <w:proofErr w:type="gramStart"/>
      <w:r w:rsidRPr="0020072E">
        <w:rPr>
          <w:rFonts w:eastAsiaTheme="minorEastAsia"/>
          <w:szCs w:val="24"/>
          <w:lang w:val="es-ES"/>
        </w:rPr>
        <w:t>EE.UU</w:t>
      </w:r>
      <w:proofErr w:type="gramEnd"/>
      <w:r w:rsidRPr="0020072E">
        <w:rPr>
          <w:rFonts w:eastAsiaTheme="minorEastAsia"/>
          <w:szCs w:val="24"/>
          <w:lang w:val="es-ES"/>
        </w:rPr>
        <w:t xml:space="preserve"> hacia a un país </w:t>
      </w:r>
      <w:r w:rsidRPr="0020072E">
        <w:rPr>
          <w:rFonts w:eastAsiaTheme="minorEastAsia"/>
          <w:i/>
          <w:iCs/>
          <w:spacing w:val="-2"/>
          <w:w w:val="105"/>
          <w:szCs w:val="24"/>
          <w:lang w:val="es-ES"/>
        </w:rPr>
        <w:t>(</w:t>
      </w:r>
      <m:oMath>
        <m:r>
          <w:rPr>
            <w:rFonts w:ascii="Cambria Math" w:eastAsia="Cambria Math" w:hAnsi="Cambria Math"/>
            <w:spacing w:val="-2"/>
            <w:w w:val="105"/>
            <w:szCs w:val="24"/>
          </w:rPr>
          <m:t>i</m:t>
        </m:r>
      </m:oMath>
      <w:r w:rsidRPr="0020072E">
        <w:rPr>
          <w:rFonts w:eastAsiaTheme="minorEastAsia"/>
          <w:i/>
          <w:iCs/>
          <w:spacing w:val="-2"/>
          <w:w w:val="105"/>
          <w:szCs w:val="24"/>
          <w:lang w:val="es-ES"/>
        </w:rPr>
        <w:t>)</w:t>
      </w:r>
      <w:r w:rsidRPr="0020072E">
        <w:rPr>
          <w:rFonts w:eastAsiaTheme="minorEastAsia"/>
          <w:spacing w:val="-2"/>
          <w:w w:val="105"/>
          <w:szCs w:val="24"/>
          <w:lang w:val="es-ES"/>
        </w:rPr>
        <w:t xml:space="preserve"> en el tiempo </w:t>
      </w:r>
      <w:r w:rsidRPr="0020072E">
        <w:rPr>
          <w:rFonts w:eastAsiaTheme="minorEastAsia"/>
          <w:i/>
          <w:iCs/>
          <w:spacing w:val="-2"/>
          <w:w w:val="105"/>
          <w:szCs w:val="24"/>
          <w:lang w:val="es-ES"/>
        </w:rPr>
        <w:t>(</w:t>
      </w:r>
      <m:oMath>
        <m:r>
          <w:rPr>
            <w:rFonts w:ascii="Cambria Math" w:eastAsia="Cambria Math" w:hAnsi="Cambria Math"/>
            <w:spacing w:val="-2"/>
            <w:w w:val="105"/>
            <w:szCs w:val="24"/>
          </w:rPr>
          <m:t>t</m:t>
        </m:r>
      </m:oMath>
      <w:r w:rsidRPr="0020072E">
        <w:rPr>
          <w:rFonts w:eastAsiaTheme="minorEastAsia"/>
          <w:i/>
          <w:iCs/>
          <w:spacing w:val="-2"/>
          <w:w w:val="105"/>
          <w:szCs w:val="24"/>
          <w:lang w:val="es-ES"/>
        </w:rPr>
        <w:t>).</w:t>
      </w:r>
    </w:p>
    <w:p w14:paraId="5CC9E89C" w14:textId="77777777" w:rsidR="005B14BF" w:rsidRPr="0020072E" w:rsidRDefault="00540F24" w:rsidP="00CB6F49">
      <w:pPr>
        <w:pStyle w:val="ListParagraph"/>
        <w:numPr>
          <w:ilvl w:val="0"/>
          <w:numId w:val="32"/>
        </w:numPr>
        <w:spacing w:after="0" w:line="240" w:lineRule="auto"/>
        <w:jc w:val="both"/>
        <w:rPr>
          <w:szCs w:val="24"/>
          <w:lang w:val="es-ES"/>
        </w:rPr>
      </w:pPr>
      <m:oMath>
        <m:sSub>
          <m:sSubPr>
            <m:ctrlPr>
              <w:rPr>
                <w:rFonts w:ascii="Cambria Math" w:eastAsia="Cambria Math" w:hAnsi="Cambria Math"/>
                <w:spacing w:val="-2"/>
                <w:w w:val="105"/>
                <w:szCs w:val="24"/>
              </w:rPr>
            </m:ctrlPr>
          </m:sSubPr>
          <m:e>
            <m:r>
              <m:rPr>
                <m:sty m:val="p"/>
              </m:rPr>
              <w:rPr>
                <w:rFonts w:ascii="Cambria Math" w:eastAsia="Cambria Math" w:hAnsi="Cambria Math"/>
                <w:spacing w:val="-2"/>
                <w:w w:val="105"/>
                <w:szCs w:val="24"/>
                <w:lang w:val="es-ES"/>
              </w:rPr>
              <m:t>Log(PIB)</m:t>
            </m:r>
          </m:e>
          <m:sub>
            <m:r>
              <m:rPr>
                <m:sty m:val="p"/>
              </m:rPr>
              <w:rPr>
                <w:rFonts w:ascii="Cambria Math" w:eastAsia="Cambria Math" w:hAnsi="Cambria Math"/>
                <w:spacing w:val="-2"/>
                <w:w w:val="105"/>
                <w:szCs w:val="24"/>
                <w:vertAlign w:val="subscript"/>
                <w:lang w:val="es-ES"/>
              </w:rPr>
              <m:t>it</m:t>
            </m:r>
          </m:sub>
        </m:sSub>
      </m:oMath>
      <w:r w:rsidR="005B14BF" w:rsidRPr="0020072E">
        <w:rPr>
          <w:rFonts w:eastAsiaTheme="minorEastAsia"/>
          <w:spacing w:val="-2"/>
          <w:w w:val="105"/>
          <w:szCs w:val="24"/>
          <w:lang w:val="es-ES"/>
        </w:rPr>
        <w:t xml:space="preserve">: Refiere al Producto Interno Bruto de un </w:t>
      </w:r>
      <w:r w:rsidR="005B14BF" w:rsidRPr="0020072E">
        <w:rPr>
          <w:rFonts w:eastAsiaTheme="minorEastAsia"/>
          <w:szCs w:val="24"/>
          <w:lang w:val="es-ES"/>
        </w:rPr>
        <w:t xml:space="preserve">a un país </w:t>
      </w:r>
      <w:r w:rsidR="005B14BF" w:rsidRPr="0020072E">
        <w:rPr>
          <w:rFonts w:eastAsiaTheme="minorEastAsia"/>
          <w:i/>
          <w:iCs/>
          <w:spacing w:val="-2"/>
          <w:w w:val="105"/>
          <w:szCs w:val="24"/>
          <w:lang w:val="es-ES"/>
        </w:rPr>
        <w:t>(</w:t>
      </w:r>
      <m:oMath>
        <m:r>
          <w:rPr>
            <w:rFonts w:ascii="Cambria Math" w:eastAsia="Cambria Math" w:hAnsi="Cambria Math"/>
            <w:spacing w:val="-2"/>
            <w:w w:val="105"/>
            <w:szCs w:val="24"/>
          </w:rPr>
          <m:t>i</m:t>
        </m:r>
      </m:oMath>
      <w:r w:rsidR="005B14BF" w:rsidRPr="0020072E">
        <w:rPr>
          <w:rFonts w:eastAsiaTheme="minorEastAsia"/>
          <w:i/>
          <w:iCs/>
          <w:spacing w:val="-2"/>
          <w:w w:val="105"/>
          <w:szCs w:val="24"/>
          <w:lang w:val="es-ES"/>
        </w:rPr>
        <w:t>)</w:t>
      </w:r>
      <w:r w:rsidR="005B14BF" w:rsidRPr="0020072E">
        <w:rPr>
          <w:rFonts w:eastAsiaTheme="minorEastAsia"/>
          <w:spacing w:val="-2"/>
          <w:w w:val="105"/>
          <w:szCs w:val="24"/>
          <w:lang w:val="es-ES"/>
        </w:rPr>
        <w:t xml:space="preserve"> en el tiempo </w:t>
      </w:r>
      <w:r w:rsidR="005B14BF" w:rsidRPr="0020072E">
        <w:rPr>
          <w:rFonts w:eastAsiaTheme="minorEastAsia"/>
          <w:i/>
          <w:iCs/>
          <w:spacing w:val="-2"/>
          <w:w w:val="105"/>
          <w:szCs w:val="24"/>
          <w:lang w:val="es-ES"/>
        </w:rPr>
        <w:t>(</w:t>
      </w:r>
      <m:oMath>
        <m:r>
          <w:rPr>
            <w:rFonts w:ascii="Cambria Math" w:eastAsia="Cambria Math" w:hAnsi="Cambria Math"/>
            <w:spacing w:val="-2"/>
            <w:w w:val="105"/>
            <w:szCs w:val="24"/>
          </w:rPr>
          <m:t>t</m:t>
        </m:r>
      </m:oMath>
      <w:r w:rsidR="005B14BF" w:rsidRPr="0020072E">
        <w:rPr>
          <w:rFonts w:eastAsiaTheme="minorEastAsia"/>
          <w:i/>
          <w:iCs/>
          <w:spacing w:val="-2"/>
          <w:w w:val="105"/>
          <w:szCs w:val="24"/>
          <w:lang w:val="es-ES"/>
        </w:rPr>
        <w:t>).</w:t>
      </w:r>
    </w:p>
    <w:p w14:paraId="48ED880E" w14:textId="77777777" w:rsidR="005B14BF" w:rsidRPr="0020072E" w:rsidRDefault="00540F24" w:rsidP="00CB6F49">
      <w:pPr>
        <w:pStyle w:val="ListParagraph"/>
        <w:numPr>
          <w:ilvl w:val="0"/>
          <w:numId w:val="32"/>
        </w:numPr>
        <w:spacing w:after="0" w:line="240" w:lineRule="auto"/>
        <w:jc w:val="both"/>
        <w:rPr>
          <w:b/>
          <w:bCs/>
          <w:szCs w:val="24"/>
          <w:lang w:val="es-ES"/>
        </w:rPr>
      </w:pPr>
      <m:oMath>
        <m:sSub>
          <m:sSubPr>
            <m:ctrlPr>
              <w:rPr>
                <w:rFonts w:ascii="Cambria Math" w:eastAsia="Cambria Math" w:hAnsi="Cambria Math"/>
                <w:spacing w:val="-2"/>
                <w:w w:val="105"/>
                <w:szCs w:val="24"/>
              </w:rPr>
            </m:ctrlPr>
          </m:sSubPr>
          <m:e>
            <m:r>
              <m:rPr>
                <m:sty m:val="p"/>
              </m:rPr>
              <w:rPr>
                <w:rFonts w:ascii="Cambria Math" w:eastAsia="Cambria Math" w:hAnsi="Cambria Math"/>
                <w:spacing w:val="-2"/>
                <w:w w:val="105"/>
                <w:szCs w:val="24"/>
                <w:lang w:val="es-ES"/>
              </w:rPr>
              <m:t>Distancia</m:t>
            </m:r>
          </m:e>
          <m:sub>
            <m:r>
              <m:rPr>
                <m:sty m:val="p"/>
              </m:rPr>
              <w:rPr>
                <w:rFonts w:ascii="Cambria Math" w:eastAsia="Cambria Math" w:hAnsi="Cambria Math"/>
                <w:spacing w:val="-2"/>
                <w:w w:val="105"/>
                <w:szCs w:val="24"/>
                <w:vertAlign w:val="subscript"/>
                <w:lang w:val="es-ES"/>
              </w:rPr>
              <m:t>i</m:t>
            </m:r>
          </m:sub>
        </m:sSub>
        <m:r>
          <w:rPr>
            <w:rFonts w:ascii="Cambria Math" w:eastAsia="Cambria Math" w:hAnsi="Cambria Math"/>
            <w:spacing w:val="-2"/>
            <w:w w:val="105"/>
            <w:szCs w:val="24"/>
            <w:lang w:val="es-ES"/>
          </w:rPr>
          <m:t>:</m:t>
        </m:r>
      </m:oMath>
      <w:r w:rsidR="005B14BF" w:rsidRPr="0020072E">
        <w:rPr>
          <w:rFonts w:eastAsiaTheme="minorEastAsia"/>
          <w:spacing w:val="-2"/>
          <w:w w:val="105"/>
          <w:szCs w:val="24"/>
          <w:lang w:val="es-ES"/>
        </w:rPr>
        <w:t xml:space="preserve"> Distancia física del país </w:t>
      </w:r>
      <w:r w:rsidR="005B14BF" w:rsidRPr="0020072E">
        <w:rPr>
          <w:rFonts w:eastAsiaTheme="minorEastAsia"/>
          <w:i/>
          <w:iCs/>
          <w:spacing w:val="-2"/>
          <w:w w:val="105"/>
          <w:szCs w:val="24"/>
          <w:lang w:val="es-ES"/>
        </w:rPr>
        <w:t>(</w:t>
      </w:r>
      <m:oMath>
        <m:r>
          <w:rPr>
            <w:rFonts w:ascii="Cambria Math" w:eastAsia="Cambria Math" w:hAnsi="Cambria Math"/>
            <w:spacing w:val="-2"/>
            <w:w w:val="105"/>
            <w:szCs w:val="24"/>
          </w:rPr>
          <m:t>i</m:t>
        </m:r>
      </m:oMath>
      <w:r w:rsidR="005B14BF" w:rsidRPr="0020072E">
        <w:rPr>
          <w:rFonts w:eastAsiaTheme="minorEastAsia"/>
          <w:i/>
          <w:iCs/>
          <w:spacing w:val="-2"/>
          <w:w w:val="105"/>
          <w:szCs w:val="24"/>
          <w:lang w:val="es-ES"/>
        </w:rPr>
        <w:t xml:space="preserve">) </w:t>
      </w:r>
      <w:r w:rsidR="005B14BF" w:rsidRPr="0020072E">
        <w:rPr>
          <w:rFonts w:eastAsiaTheme="minorEastAsia"/>
          <w:spacing w:val="-2"/>
          <w:w w:val="105"/>
          <w:szCs w:val="24"/>
          <w:lang w:val="es-ES"/>
        </w:rPr>
        <w:t xml:space="preserve">desde </w:t>
      </w:r>
      <w:proofErr w:type="gramStart"/>
      <w:r w:rsidR="005B14BF" w:rsidRPr="0020072E">
        <w:rPr>
          <w:rFonts w:eastAsiaTheme="minorEastAsia"/>
          <w:spacing w:val="-2"/>
          <w:w w:val="105"/>
          <w:szCs w:val="24"/>
          <w:lang w:val="es-ES"/>
        </w:rPr>
        <w:t>EE.UU.</w:t>
      </w:r>
      <w:proofErr w:type="gramEnd"/>
    </w:p>
    <w:p w14:paraId="5B8963B1" w14:textId="77777777" w:rsidR="005B14BF" w:rsidRPr="0020072E" w:rsidRDefault="00540F24" w:rsidP="00CB6F49">
      <w:pPr>
        <w:pStyle w:val="ListParagraph"/>
        <w:numPr>
          <w:ilvl w:val="0"/>
          <w:numId w:val="32"/>
        </w:numPr>
        <w:spacing w:after="0" w:line="240" w:lineRule="auto"/>
        <w:jc w:val="both"/>
        <w:rPr>
          <w:szCs w:val="24"/>
          <w:lang w:val="es-ES"/>
        </w:rPr>
      </w:pPr>
      <m:oMath>
        <m:sSub>
          <m:sSubPr>
            <m:ctrlPr>
              <w:rPr>
                <w:rFonts w:ascii="Cambria Math" w:eastAsia="Cambria Math" w:hAnsi="Cambria Math"/>
                <w:spacing w:val="-2"/>
                <w:w w:val="105"/>
                <w:szCs w:val="24"/>
              </w:rPr>
            </m:ctrlPr>
          </m:sSubPr>
          <m:e>
            <m:d>
              <m:dPr>
                <m:ctrlPr>
                  <w:rPr>
                    <w:rFonts w:ascii="Cambria Math" w:eastAsia="Cambria Math" w:hAnsi="Cambria Math"/>
                    <w:spacing w:val="-2"/>
                    <w:w w:val="105"/>
                    <w:szCs w:val="24"/>
                  </w:rPr>
                </m:ctrlPr>
              </m:dPr>
              <m:e>
                <m:r>
                  <m:rPr>
                    <m:sty m:val="p"/>
                  </m:rPr>
                  <w:rPr>
                    <w:rFonts w:ascii="Cambria Math" w:eastAsia="Cambria Math" w:hAnsi="Cambria Math"/>
                    <w:spacing w:val="-2"/>
                    <w:w w:val="105"/>
                    <w:szCs w:val="24"/>
                    <w:lang w:val="es-ES"/>
                  </w:rPr>
                  <m:t>TFP</m:t>
                </m:r>
              </m:e>
            </m:d>
            <m:ctrlPr>
              <w:rPr>
                <w:rFonts w:ascii="Cambria Math" w:eastAsia="Cambria Math" w:hAnsi="Cambria Math"/>
                <w:spacing w:val="-2"/>
                <w:w w:val="105"/>
                <w:szCs w:val="24"/>
                <w:vertAlign w:val="subscript"/>
              </w:rPr>
            </m:ctrlPr>
          </m:e>
          <m:sub>
            <m:r>
              <m:rPr>
                <m:sty m:val="p"/>
              </m:rPr>
              <w:rPr>
                <w:rFonts w:ascii="Cambria Math" w:eastAsia="Cambria Math" w:hAnsi="Cambria Math"/>
                <w:spacing w:val="-2"/>
                <w:w w:val="105"/>
                <w:szCs w:val="24"/>
                <w:vertAlign w:val="subscript"/>
                <w:lang w:val="es-ES"/>
              </w:rPr>
              <m:t>it</m:t>
            </m:r>
          </m:sub>
        </m:sSub>
      </m:oMath>
      <w:r w:rsidR="005B14BF" w:rsidRPr="0020072E">
        <w:rPr>
          <w:spacing w:val="-2"/>
          <w:w w:val="105"/>
          <w:szCs w:val="24"/>
          <w:lang w:val="es-ES"/>
        </w:rPr>
        <w:t xml:space="preserve">: La Productividad Total de los Factores (PTF) del </w:t>
      </w:r>
      <w:r w:rsidR="005B14BF" w:rsidRPr="0020072E">
        <w:rPr>
          <w:rFonts w:eastAsiaTheme="minorEastAsia"/>
          <w:szCs w:val="24"/>
          <w:lang w:val="es-ES"/>
        </w:rPr>
        <w:t xml:space="preserve">país </w:t>
      </w:r>
      <w:r w:rsidR="005B14BF" w:rsidRPr="0020072E">
        <w:rPr>
          <w:rFonts w:eastAsiaTheme="minorEastAsia"/>
          <w:i/>
          <w:iCs/>
          <w:spacing w:val="-2"/>
          <w:w w:val="105"/>
          <w:szCs w:val="24"/>
          <w:lang w:val="es-ES"/>
        </w:rPr>
        <w:t>(</w:t>
      </w:r>
      <m:oMath>
        <m:r>
          <w:rPr>
            <w:rFonts w:ascii="Cambria Math" w:eastAsia="Cambria Math" w:hAnsi="Cambria Math"/>
            <w:spacing w:val="-2"/>
            <w:w w:val="105"/>
            <w:szCs w:val="24"/>
          </w:rPr>
          <m:t>i</m:t>
        </m:r>
      </m:oMath>
      <w:r w:rsidR="005B14BF" w:rsidRPr="0020072E">
        <w:rPr>
          <w:rFonts w:eastAsiaTheme="minorEastAsia"/>
          <w:i/>
          <w:iCs/>
          <w:spacing w:val="-2"/>
          <w:w w:val="105"/>
          <w:szCs w:val="24"/>
          <w:lang w:val="es-ES"/>
        </w:rPr>
        <w:t>)</w:t>
      </w:r>
      <w:r w:rsidR="005B14BF" w:rsidRPr="0020072E">
        <w:rPr>
          <w:rFonts w:eastAsiaTheme="minorEastAsia"/>
          <w:spacing w:val="-2"/>
          <w:w w:val="105"/>
          <w:szCs w:val="24"/>
          <w:lang w:val="es-ES"/>
        </w:rPr>
        <w:t xml:space="preserve"> en el tiempo </w:t>
      </w:r>
      <w:r w:rsidR="005B14BF" w:rsidRPr="0020072E">
        <w:rPr>
          <w:rFonts w:eastAsiaTheme="minorEastAsia"/>
          <w:i/>
          <w:iCs/>
          <w:spacing w:val="-2"/>
          <w:w w:val="105"/>
          <w:szCs w:val="24"/>
          <w:lang w:val="es-ES"/>
        </w:rPr>
        <w:t>(</w:t>
      </w:r>
      <m:oMath>
        <m:r>
          <w:rPr>
            <w:rFonts w:ascii="Cambria Math" w:eastAsia="Cambria Math" w:hAnsi="Cambria Math"/>
            <w:spacing w:val="-2"/>
            <w:w w:val="105"/>
            <w:szCs w:val="24"/>
          </w:rPr>
          <m:t>t</m:t>
        </m:r>
      </m:oMath>
      <w:r w:rsidR="005B14BF" w:rsidRPr="0020072E">
        <w:rPr>
          <w:rFonts w:eastAsiaTheme="minorEastAsia"/>
          <w:i/>
          <w:iCs/>
          <w:spacing w:val="-2"/>
          <w:w w:val="105"/>
          <w:szCs w:val="24"/>
          <w:lang w:val="es-ES"/>
        </w:rPr>
        <w:t>).</w:t>
      </w:r>
    </w:p>
    <w:p w14:paraId="40C258A3" w14:textId="77777777" w:rsidR="005B14BF" w:rsidRPr="0020072E" w:rsidRDefault="005B14BF" w:rsidP="00CB6F49">
      <w:pPr>
        <w:pStyle w:val="ListParagraph"/>
        <w:numPr>
          <w:ilvl w:val="0"/>
          <w:numId w:val="32"/>
        </w:numPr>
        <w:spacing w:after="0" w:line="240" w:lineRule="auto"/>
        <w:jc w:val="both"/>
        <w:rPr>
          <w:szCs w:val="24"/>
          <w:lang w:val="es-ES"/>
        </w:rPr>
      </w:pPr>
      <m:oMath>
        <m:r>
          <m:rPr>
            <m:sty m:val="p"/>
          </m:rPr>
          <w:rPr>
            <w:rFonts w:ascii="Cambria Math" w:eastAsia="Cambria Math" w:hAnsi="Cambria Math"/>
            <w:spacing w:val="-2"/>
            <w:w w:val="105"/>
            <w:szCs w:val="24"/>
            <w:lang w:val="es-ES"/>
          </w:rPr>
          <m:t>Log</m:t>
        </m:r>
        <m:sSub>
          <m:sSubPr>
            <m:ctrlPr>
              <w:rPr>
                <w:rFonts w:ascii="Cambria Math" w:eastAsia="Cambria Math" w:hAnsi="Cambria Math"/>
                <w:spacing w:val="-2"/>
                <w:w w:val="105"/>
                <w:szCs w:val="24"/>
              </w:rPr>
            </m:ctrlPr>
          </m:sSubPr>
          <m:e>
            <m:d>
              <m:dPr>
                <m:ctrlPr>
                  <w:rPr>
                    <w:rFonts w:ascii="Cambria Math" w:eastAsia="Cambria Math" w:hAnsi="Cambria Math"/>
                    <w:spacing w:val="-2"/>
                    <w:w w:val="105"/>
                    <w:szCs w:val="24"/>
                  </w:rPr>
                </m:ctrlPr>
              </m:dPr>
              <m:e>
                <m:r>
                  <m:rPr>
                    <m:sty m:val="p"/>
                  </m:rPr>
                  <w:rPr>
                    <w:rFonts w:ascii="Cambria Math" w:eastAsia="Cambria Math" w:hAnsi="Cambria Math"/>
                    <w:spacing w:val="-2"/>
                    <w:w w:val="105"/>
                    <w:szCs w:val="24"/>
                    <w:lang w:val="es-ES"/>
                  </w:rPr>
                  <m:t>HC</m:t>
                </m:r>
              </m:e>
            </m:d>
            <m:ctrlPr>
              <w:rPr>
                <w:rFonts w:ascii="Cambria Math" w:eastAsia="Cambria Math" w:hAnsi="Cambria Math"/>
                <w:spacing w:val="-2"/>
                <w:w w:val="105"/>
                <w:szCs w:val="24"/>
                <w:vertAlign w:val="subscript"/>
              </w:rPr>
            </m:ctrlPr>
          </m:e>
          <m:sub>
            <m:r>
              <m:rPr>
                <m:sty m:val="p"/>
              </m:rPr>
              <w:rPr>
                <w:rFonts w:ascii="Cambria Math" w:eastAsia="Cambria Math" w:hAnsi="Cambria Math"/>
                <w:spacing w:val="-2"/>
                <w:w w:val="105"/>
                <w:szCs w:val="24"/>
                <w:vertAlign w:val="subscript"/>
                <w:lang w:val="es-ES"/>
              </w:rPr>
              <m:t>it</m:t>
            </m:r>
          </m:sub>
        </m:sSub>
      </m:oMath>
      <w:r w:rsidRPr="0020072E">
        <w:rPr>
          <w:spacing w:val="-2"/>
          <w:w w:val="105"/>
          <w:szCs w:val="24"/>
          <w:lang w:val="es-ES"/>
        </w:rPr>
        <w:t xml:space="preserve">: Referencia al nivel relativo de capital humano. </w:t>
      </w:r>
    </w:p>
    <w:p w14:paraId="7ACF4F29" w14:textId="77777777" w:rsidR="005B14BF" w:rsidRPr="0020072E" w:rsidRDefault="005B14BF" w:rsidP="00CB6F49">
      <w:pPr>
        <w:pStyle w:val="ListParagraph"/>
        <w:numPr>
          <w:ilvl w:val="0"/>
          <w:numId w:val="32"/>
        </w:numPr>
        <w:spacing w:after="0" w:line="240" w:lineRule="auto"/>
        <w:jc w:val="both"/>
        <w:rPr>
          <w:szCs w:val="24"/>
          <w:lang w:val="es-ES"/>
        </w:rPr>
      </w:pPr>
      <m:oMath>
        <m:r>
          <w:rPr>
            <w:rFonts w:ascii="Cambria Math" w:eastAsia="Cambria Math" w:hAnsi="Cambria Math"/>
            <w:spacing w:val="-2"/>
            <w:w w:val="105"/>
            <w:szCs w:val="24"/>
          </w:rPr>
          <m:t>Log</m:t>
        </m:r>
        <m:sSub>
          <m:sSubPr>
            <m:ctrlPr>
              <w:rPr>
                <w:rFonts w:ascii="Cambria Math" w:eastAsia="Cambria Math" w:hAnsi="Cambria Math"/>
                <w:spacing w:val="-2"/>
                <w:w w:val="105"/>
                <w:szCs w:val="24"/>
              </w:rPr>
            </m:ctrlPr>
          </m:sSubPr>
          <m:e>
            <m:r>
              <w:rPr>
                <w:rFonts w:ascii="Cambria Math" w:eastAsia="Cambria Math" w:hAnsi="Cambria Math"/>
                <w:spacing w:val="-2"/>
                <w:w w:val="105"/>
                <w:szCs w:val="24"/>
                <w:lang w:val="es-ES"/>
              </w:rPr>
              <m:t>(</m:t>
            </m:r>
            <m:r>
              <w:rPr>
                <w:rFonts w:ascii="Cambria Math" w:eastAsia="Cambria Math" w:hAnsi="Cambria Math"/>
                <w:spacing w:val="-2"/>
                <w:w w:val="105"/>
                <w:szCs w:val="24"/>
              </w:rPr>
              <m:t>TCost</m:t>
            </m:r>
            <m:r>
              <w:rPr>
                <w:rFonts w:ascii="Cambria Math" w:eastAsia="Cambria Math" w:hAnsi="Cambria Math"/>
                <w:spacing w:val="-2"/>
                <w:w w:val="105"/>
                <w:szCs w:val="24"/>
                <w:lang w:val="es-ES"/>
              </w:rPr>
              <m:t>)</m:t>
            </m:r>
          </m:e>
          <m:sub>
            <m:r>
              <m:rPr>
                <m:sty m:val="p"/>
              </m:rPr>
              <w:rPr>
                <w:rFonts w:ascii="Cambria Math" w:eastAsia="Cambria Math" w:hAnsi="Cambria Math"/>
                <w:spacing w:val="-2"/>
                <w:w w:val="105"/>
                <w:szCs w:val="24"/>
                <w:vertAlign w:val="subscript"/>
                <w:lang w:val="es-ES"/>
              </w:rPr>
              <m:t>it</m:t>
            </m:r>
          </m:sub>
        </m:sSub>
      </m:oMath>
      <w:r w:rsidRPr="0020072E">
        <w:rPr>
          <w:rFonts w:eastAsiaTheme="minorEastAsia"/>
          <w:spacing w:val="-2"/>
          <w:w w:val="105"/>
          <w:szCs w:val="24"/>
          <w:lang w:val="es-ES"/>
        </w:rPr>
        <w:t xml:space="preserve">: Referencia al promedio geométrico del arancel promedio entre </w:t>
      </w:r>
      <w:proofErr w:type="gramStart"/>
      <w:r w:rsidRPr="0020072E">
        <w:rPr>
          <w:rFonts w:eastAsiaTheme="minorEastAsia"/>
          <w:spacing w:val="-2"/>
          <w:w w:val="105"/>
          <w:szCs w:val="24"/>
          <w:lang w:val="es-ES"/>
        </w:rPr>
        <w:t>EE.UU</w:t>
      </w:r>
      <w:proofErr w:type="gramEnd"/>
      <w:r w:rsidRPr="0020072E">
        <w:rPr>
          <w:rFonts w:eastAsiaTheme="minorEastAsia"/>
          <w:spacing w:val="-2"/>
          <w:w w:val="105"/>
          <w:szCs w:val="24"/>
          <w:lang w:val="es-ES"/>
        </w:rPr>
        <w:t xml:space="preserve"> y el país</w:t>
      </w:r>
      <w:r w:rsidRPr="0020072E">
        <w:rPr>
          <w:rFonts w:eastAsiaTheme="minorEastAsia"/>
          <w:i/>
          <w:iCs/>
          <w:spacing w:val="-2"/>
          <w:w w:val="105"/>
          <w:szCs w:val="24"/>
          <w:lang w:val="es-ES"/>
        </w:rPr>
        <w:t>(</w:t>
      </w:r>
      <m:oMath>
        <m:r>
          <w:rPr>
            <w:rFonts w:ascii="Cambria Math" w:eastAsia="Cambria Math" w:hAnsi="Cambria Math"/>
            <w:spacing w:val="-2"/>
            <w:w w:val="105"/>
            <w:szCs w:val="24"/>
          </w:rPr>
          <m:t>i</m:t>
        </m:r>
      </m:oMath>
      <w:r w:rsidRPr="0020072E">
        <w:rPr>
          <w:rFonts w:eastAsiaTheme="minorEastAsia"/>
          <w:i/>
          <w:iCs/>
          <w:spacing w:val="-2"/>
          <w:w w:val="105"/>
          <w:szCs w:val="24"/>
          <w:lang w:val="es-ES"/>
        </w:rPr>
        <w:t>)</w:t>
      </w:r>
      <w:r w:rsidRPr="0020072E">
        <w:rPr>
          <w:rFonts w:eastAsiaTheme="minorEastAsia"/>
          <w:spacing w:val="-2"/>
          <w:w w:val="105"/>
          <w:szCs w:val="24"/>
          <w:lang w:val="es-ES"/>
        </w:rPr>
        <w:t xml:space="preserve"> en el tiempo </w:t>
      </w:r>
      <w:r w:rsidRPr="0020072E">
        <w:rPr>
          <w:rFonts w:eastAsiaTheme="minorEastAsia"/>
          <w:i/>
          <w:iCs/>
          <w:spacing w:val="-2"/>
          <w:w w:val="105"/>
          <w:szCs w:val="24"/>
          <w:lang w:val="es-ES"/>
        </w:rPr>
        <w:t>(</w:t>
      </w:r>
      <m:oMath>
        <m:r>
          <w:rPr>
            <w:rFonts w:ascii="Cambria Math" w:eastAsia="Cambria Math" w:hAnsi="Cambria Math"/>
            <w:spacing w:val="-2"/>
            <w:w w:val="105"/>
            <w:szCs w:val="24"/>
          </w:rPr>
          <m:t>t</m:t>
        </m:r>
      </m:oMath>
      <w:r w:rsidRPr="0020072E">
        <w:rPr>
          <w:rFonts w:eastAsiaTheme="minorEastAsia"/>
          <w:i/>
          <w:iCs/>
          <w:spacing w:val="-2"/>
          <w:w w:val="105"/>
          <w:szCs w:val="24"/>
          <w:lang w:val="es-ES"/>
        </w:rPr>
        <w:t>).</w:t>
      </w:r>
    </w:p>
    <w:p w14:paraId="7E1CD1F3" w14:textId="77777777" w:rsidR="005B14BF" w:rsidRPr="0020072E" w:rsidRDefault="00540F24" w:rsidP="00CB6F49">
      <w:pPr>
        <w:pStyle w:val="ListParagraph"/>
        <w:numPr>
          <w:ilvl w:val="0"/>
          <w:numId w:val="32"/>
        </w:numPr>
        <w:spacing w:after="0" w:line="240" w:lineRule="auto"/>
        <w:jc w:val="both"/>
        <w:rPr>
          <w:szCs w:val="24"/>
          <w:lang w:val="es-ES"/>
        </w:rPr>
      </w:pPr>
      <m:oMath>
        <m:sSub>
          <m:sSubPr>
            <m:ctrlPr>
              <w:rPr>
                <w:rFonts w:ascii="Cambria Math" w:eastAsia="Cambria Math" w:hAnsi="Cambria Math"/>
                <w:spacing w:val="-2"/>
                <w:w w:val="105"/>
                <w:szCs w:val="24"/>
              </w:rPr>
            </m:ctrlPr>
          </m:sSubPr>
          <m:e>
            <m:r>
              <w:rPr>
                <w:rFonts w:ascii="Cambria Math" w:eastAsia="Cambria Math" w:hAnsi="Cambria Math"/>
                <w:spacing w:val="-2"/>
                <w:w w:val="105"/>
                <w:szCs w:val="24"/>
              </w:rPr>
              <m:t>ADT</m:t>
            </m:r>
            <m:ctrlPr>
              <w:rPr>
                <w:rFonts w:ascii="Cambria Math" w:eastAsia="Cambria Math" w:hAnsi="Cambria Math"/>
                <w:spacing w:val="-2"/>
                <w:w w:val="105"/>
                <w:szCs w:val="24"/>
                <w:vertAlign w:val="subscript"/>
              </w:rPr>
            </m:ctrlPr>
          </m:e>
          <m:sub>
            <m:r>
              <m:rPr>
                <m:sty m:val="p"/>
              </m:rPr>
              <w:rPr>
                <w:rFonts w:ascii="Cambria Math" w:eastAsia="Cambria Math" w:hAnsi="Cambria Math"/>
                <w:spacing w:val="-2"/>
                <w:w w:val="105"/>
                <w:szCs w:val="24"/>
                <w:vertAlign w:val="subscript"/>
                <w:lang w:val="es-ES"/>
              </w:rPr>
              <m:t>it</m:t>
            </m:r>
          </m:sub>
        </m:sSub>
      </m:oMath>
      <w:r w:rsidR="005B14BF" w:rsidRPr="0020072E">
        <w:rPr>
          <w:rFonts w:eastAsiaTheme="minorEastAsia"/>
          <w:spacing w:val="-2"/>
          <w:w w:val="105"/>
          <w:szCs w:val="24"/>
          <w:lang w:val="es-ES"/>
        </w:rPr>
        <w:t xml:space="preserve">: Variable dummy que toma el valor de 1 si el país tiene ADT con </w:t>
      </w:r>
      <w:proofErr w:type="gramStart"/>
      <w:r w:rsidR="005B14BF" w:rsidRPr="0020072E">
        <w:rPr>
          <w:rFonts w:eastAsiaTheme="minorEastAsia"/>
          <w:spacing w:val="-2"/>
          <w:w w:val="105"/>
          <w:szCs w:val="24"/>
          <w:lang w:val="es-ES"/>
        </w:rPr>
        <w:t>EE.UU</w:t>
      </w:r>
      <w:proofErr w:type="gramEnd"/>
      <w:r w:rsidR="005B14BF" w:rsidRPr="0020072E">
        <w:rPr>
          <w:rFonts w:eastAsiaTheme="minorEastAsia"/>
          <w:spacing w:val="-2"/>
          <w:w w:val="105"/>
          <w:szCs w:val="24"/>
          <w:lang w:val="es-ES"/>
        </w:rPr>
        <w:t xml:space="preserve"> o no.</w:t>
      </w:r>
    </w:p>
    <w:p w14:paraId="32AF536F" w14:textId="77777777" w:rsidR="005B14BF" w:rsidRPr="0020072E" w:rsidRDefault="00540F24" w:rsidP="00CB6F49">
      <w:pPr>
        <w:pStyle w:val="ListParagraph"/>
        <w:numPr>
          <w:ilvl w:val="0"/>
          <w:numId w:val="32"/>
        </w:numPr>
        <w:spacing w:after="0" w:line="240" w:lineRule="auto"/>
        <w:jc w:val="both"/>
        <w:rPr>
          <w:szCs w:val="24"/>
          <w:lang w:val="es-ES"/>
        </w:rPr>
      </w:pPr>
      <m:oMath>
        <m:sSub>
          <m:sSubPr>
            <m:ctrlPr>
              <w:rPr>
                <w:rFonts w:ascii="Cambria Math" w:eastAsia="Cambria Math" w:hAnsi="Cambria Math"/>
                <w:spacing w:val="-2"/>
                <w:w w:val="105"/>
                <w:szCs w:val="24"/>
              </w:rPr>
            </m:ctrlPr>
          </m:sSubPr>
          <m:e>
            <m:r>
              <m:rPr>
                <m:sty m:val="p"/>
              </m:rPr>
              <w:rPr>
                <w:rFonts w:ascii="Cambria Math" w:eastAsia="Cambria Math" w:hAnsi="Cambria Math"/>
                <w:spacing w:val="-2"/>
                <w:w w:val="105"/>
                <w:szCs w:val="24"/>
              </w:rPr>
              <m:t>Ζ</m:t>
            </m:r>
          </m:e>
          <m:sub>
            <m:r>
              <m:rPr>
                <m:sty m:val="p"/>
              </m:rPr>
              <w:rPr>
                <w:rFonts w:ascii="Cambria Math" w:eastAsia="Cambria Math" w:hAnsi="Cambria Math"/>
                <w:spacing w:val="-2"/>
                <w:w w:val="105"/>
                <w:szCs w:val="24"/>
                <w:lang w:val="es-ES"/>
              </w:rPr>
              <m:t>it</m:t>
            </m:r>
          </m:sub>
        </m:sSub>
      </m:oMath>
      <w:r w:rsidR="005B14BF" w:rsidRPr="0020072E">
        <w:rPr>
          <w:rFonts w:eastAsiaTheme="minorEastAsia"/>
          <w:szCs w:val="24"/>
          <w:lang w:val="es-ES"/>
        </w:rPr>
        <w:t>: Vector que agrupa acuerdos económicos bilaterales y multilaterales d</w:t>
      </w:r>
      <w:r w:rsidR="005B14BF" w:rsidRPr="0020072E">
        <w:rPr>
          <w:rFonts w:eastAsiaTheme="minorEastAsia"/>
          <w:spacing w:val="-2"/>
          <w:w w:val="105"/>
          <w:szCs w:val="24"/>
          <w:lang w:val="es-ES"/>
        </w:rPr>
        <w:t xml:space="preserve">el </w:t>
      </w:r>
      <w:proofErr w:type="gramStart"/>
      <w:r w:rsidR="005B14BF" w:rsidRPr="0020072E">
        <w:rPr>
          <w:rFonts w:eastAsiaTheme="minorEastAsia"/>
          <w:spacing w:val="-2"/>
          <w:w w:val="105"/>
          <w:szCs w:val="24"/>
          <w:lang w:val="es-ES"/>
        </w:rPr>
        <w:t>país</w:t>
      </w:r>
      <w:r w:rsidR="005B14BF" w:rsidRPr="0020072E">
        <w:rPr>
          <w:rFonts w:eastAsiaTheme="minorEastAsia"/>
          <w:i/>
          <w:iCs/>
          <w:spacing w:val="-2"/>
          <w:w w:val="105"/>
          <w:szCs w:val="24"/>
          <w:lang w:val="es-ES"/>
        </w:rPr>
        <w:t>(</w:t>
      </w:r>
      <w:proofErr w:type="gramEnd"/>
      <m:oMath>
        <m:r>
          <w:rPr>
            <w:rFonts w:ascii="Cambria Math" w:eastAsia="Cambria Math" w:hAnsi="Cambria Math"/>
            <w:spacing w:val="-2"/>
            <w:w w:val="105"/>
            <w:szCs w:val="24"/>
          </w:rPr>
          <m:t>i</m:t>
        </m:r>
      </m:oMath>
      <w:r w:rsidR="005B14BF" w:rsidRPr="0020072E">
        <w:rPr>
          <w:rFonts w:eastAsiaTheme="minorEastAsia"/>
          <w:i/>
          <w:iCs/>
          <w:spacing w:val="-2"/>
          <w:w w:val="105"/>
          <w:szCs w:val="24"/>
          <w:lang w:val="es-ES"/>
        </w:rPr>
        <w:t>)</w:t>
      </w:r>
      <w:r w:rsidR="005B14BF" w:rsidRPr="0020072E">
        <w:rPr>
          <w:rFonts w:eastAsiaTheme="minorEastAsia"/>
          <w:spacing w:val="-2"/>
          <w:w w:val="105"/>
          <w:szCs w:val="24"/>
          <w:lang w:val="es-ES"/>
        </w:rPr>
        <w:t xml:space="preserve"> en el tiempo </w:t>
      </w:r>
      <w:r w:rsidR="005B14BF" w:rsidRPr="0020072E">
        <w:rPr>
          <w:rFonts w:eastAsiaTheme="minorEastAsia"/>
          <w:i/>
          <w:iCs/>
          <w:spacing w:val="-2"/>
          <w:w w:val="105"/>
          <w:szCs w:val="24"/>
          <w:lang w:val="es-ES"/>
        </w:rPr>
        <w:t>(</w:t>
      </w:r>
      <m:oMath>
        <m:r>
          <w:rPr>
            <w:rFonts w:ascii="Cambria Math" w:eastAsia="Cambria Math" w:hAnsi="Cambria Math"/>
            <w:spacing w:val="-2"/>
            <w:w w:val="105"/>
            <w:szCs w:val="24"/>
          </w:rPr>
          <m:t>t</m:t>
        </m:r>
      </m:oMath>
      <w:r w:rsidR="005B14BF" w:rsidRPr="0020072E">
        <w:rPr>
          <w:rFonts w:eastAsiaTheme="minorEastAsia"/>
          <w:i/>
          <w:iCs/>
          <w:spacing w:val="-2"/>
          <w:w w:val="105"/>
          <w:szCs w:val="24"/>
          <w:lang w:val="es-ES"/>
        </w:rPr>
        <w:t>).</w:t>
      </w:r>
    </w:p>
    <w:p w14:paraId="0B20A26B" w14:textId="77777777" w:rsidR="005B14BF" w:rsidRPr="0020072E" w:rsidRDefault="00540F24" w:rsidP="00CB6F49">
      <w:pPr>
        <w:pStyle w:val="ListParagraph"/>
        <w:numPr>
          <w:ilvl w:val="0"/>
          <w:numId w:val="32"/>
        </w:numPr>
        <w:spacing w:after="0" w:line="240" w:lineRule="auto"/>
        <w:jc w:val="both"/>
        <w:rPr>
          <w:szCs w:val="24"/>
          <w:lang w:val="es-ES"/>
        </w:rPr>
      </w:pPr>
      <m:oMath>
        <m:sSub>
          <m:sSubPr>
            <m:ctrlPr>
              <w:rPr>
                <w:rFonts w:ascii="Cambria Math" w:eastAsia="Cambria Math" w:hAnsi="Cambria Math"/>
                <w:spacing w:val="-2"/>
                <w:w w:val="105"/>
                <w:szCs w:val="24"/>
              </w:rPr>
            </m:ctrlPr>
          </m:sSubPr>
          <m:e>
            <m:r>
              <m:rPr>
                <m:sty m:val="p"/>
              </m:rPr>
              <w:rPr>
                <w:rFonts w:ascii="Cambria Math" w:eastAsia="Cambria Math" w:hAnsi="Cambria Math"/>
                <w:spacing w:val="-2"/>
                <w:w w:val="105"/>
                <w:szCs w:val="24"/>
                <w:lang w:val="es-ES"/>
              </w:rPr>
              <m:t>TAX</m:t>
            </m:r>
          </m:e>
          <m:sub>
            <m:r>
              <w:rPr>
                <w:rFonts w:ascii="Cambria Math" w:eastAsia="Cambria Math" w:hAnsi="Cambria Math"/>
                <w:spacing w:val="-2"/>
                <w:w w:val="105"/>
                <w:szCs w:val="24"/>
              </w:rPr>
              <m:t>it</m:t>
            </m:r>
          </m:sub>
        </m:sSub>
      </m:oMath>
      <w:r w:rsidR="005B14BF" w:rsidRPr="0020072E">
        <w:rPr>
          <w:rFonts w:eastAsiaTheme="minorEastAsia"/>
          <w:spacing w:val="-2"/>
          <w:w w:val="105"/>
          <w:szCs w:val="24"/>
          <w:lang w:val="es-ES"/>
        </w:rPr>
        <w:t xml:space="preserve">: Vector que agrupa las variables tributarias </w:t>
      </w:r>
      <w:r w:rsidR="005B14BF" w:rsidRPr="0020072E">
        <w:rPr>
          <w:rFonts w:eastAsiaTheme="minorEastAsia"/>
          <w:szCs w:val="24"/>
          <w:lang w:val="es-ES"/>
        </w:rPr>
        <w:t>d</w:t>
      </w:r>
      <w:r w:rsidR="005B14BF" w:rsidRPr="0020072E">
        <w:rPr>
          <w:rFonts w:eastAsiaTheme="minorEastAsia"/>
          <w:spacing w:val="-2"/>
          <w:w w:val="105"/>
          <w:szCs w:val="24"/>
          <w:lang w:val="es-ES"/>
        </w:rPr>
        <w:t xml:space="preserve">el </w:t>
      </w:r>
      <w:proofErr w:type="gramStart"/>
      <w:r w:rsidR="005B14BF" w:rsidRPr="0020072E">
        <w:rPr>
          <w:rFonts w:eastAsiaTheme="minorEastAsia"/>
          <w:spacing w:val="-2"/>
          <w:w w:val="105"/>
          <w:szCs w:val="24"/>
          <w:lang w:val="es-ES"/>
        </w:rPr>
        <w:t>país</w:t>
      </w:r>
      <w:r w:rsidR="005B14BF" w:rsidRPr="0020072E">
        <w:rPr>
          <w:rFonts w:eastAsiaTheme="minorEastAsia"/>
          <w:i/>
          <w:iCs/>
          <w:spacing w:val="-2"/>
          <w:w w:val="105"/>
          <w:szCs w:val="24"/>
          <w:lang w:val="es-ES"/>
        </w:rPr>
        <w:t>(</w:t>
      </w:r>
      <w:proofErr w:type="gramEnd"/>
      <m:oMath>
        <m:r>
          <w:rPr>
            <w:rFonts w:ascii="Cambria Math" w:eastAsia="Cambria Math" w:hAnsi="Cambria Math"/>
            <w:spacing w:val="-2"/>
            <w:w w:val="105"/>
            <w:szCs w:val="24"/>
          </w:rPr>
          <m:t>i</m:t>
        </m:r>
      </m:oMath>
      <w:r w:rsidR="005B14BF" w:rsidRPr="0020072E">
        <w:rPr>
          <w:rFonts w:eastAsiaTheme="minorEastAsia"/>
          <w:i/>
          <w:iCs/>
          <w:spacing w:val="-2"/>
          <w:w w:val="105"/>
          <w:szCs w:val="24"/>
          <w:lang w:val="es-ES"/>
        </w:rPr>
        <w:t>)</w:t>
      </w:r>
      <w:r w:rsidR="005B14BF" w:rsidRPr="0020072E">
        <w:rPr>
          <w:rFonts w:eastAsiaTheme="minorEastAsia"/>
          <w:spacing w:val="-2"/>
          <w:w w:val="105"/>
          <w:szCs w:val="24"/>
          <w:lang w:val="es-ES"/>
        </w:rPr>
        <w:t xml:space="preserve"> en el tiempo </w:t>
      </w:r>
      <w:r w:rsidR="005B14BF" w:rsidRPr="0020072E">
        <w:rPr>
          <w:rFonts w:eastAsiaTheme="minorEastAsia"/>
          <w:i/>
          <w:iCs/>
          <w:spacing w:val="-2"/>
          <w:w w:val="105"/>
          <w:szCs w:val="24"/>
          <w:lang w:val="es-ES"/>
        </w:rPr>
        <w:t>(</w:t>
      </w:r>
      <m:oMath>
        <m:r>
          <w:rPr>
            <w:rFonts w:ascii="Cambria Math" w:eastAsia="Cambria Math" w:hAnsi="Cambria Math"/>
            <w:spacing w:val="-2"/>
            <w:w w:val="105"/>
            <w:szCs w:val="24"/>
          </w:rPr>
          <m:t>t</m:t>
        </m:r>
      </m:oMath>
      <w:r w:rsidR="005B14BF" w:rsidRPr="0020072E">
        <w:rPr>
          <w:rFonts w:eastAsiaTheme="minorEastAsia"/>
          <w:i/>
          <w:iCs/>
          <w:spacing w:val="-2"/>
          <w:w w:val="105"/>
          <w:szCs w:val="24"/>
          <w:lang w:val="es-ES"/>
        </w:rPr>
        <w:t>).</w:t>
      </w:r>
    </w:p>
    <w:p w14:paraId="7E039538" w14:textId="77777777" w:rsidR="005B14BF" w:rsidRPr="0020072E" w:rsidRDefault="00540F24" w:rsidP="00CB6F49">
      <w:pPr>
        <w:pStyle w:val="ListParagraph"/>
        <w:numPr>
          <w:ilvl w:val="0"/>
          <w:numId w:val="32"/>
        </w:numPr>
        <w:spacing w:after="0" w:line="240" w:lineRule="auto"/>
        <w:jc w:val="both"/>
        <w:rPr>
          <w:szCs w:val="24"/>
          <w:lang w:val="es-ES"/>
        </w:rPr>
      </w:pPr>
      <m:oMath>
        <m:sSub>
          <m:sSubPr>
            <m:ctrlPr>
              <w:rPr>
                <w:rFonts w:ascii="Cambria Math" w:eastAsia="Cambria Math" w:hAnsi="Cambria Math"/>
                <w:spacing w:val="-4"/>
                <w:w w:val="105"/>
                <w:szCs w:val="24"/>
              </w:rPr>
            </m:ctrlPr>
          </m:sSubPr>
          <m:e>
            <m:r>
              <m:rPr>
                <m:sty m:val="p"/>
              </m:rPr>
              <w:rPr>
                <w:rFonts w:ascii="Cambria Math" w:eastAsia="Cambria Math" w:hAnsi="Cambria Math"/>
                <w:spacing w:val="-4"/>
                <w:w w:val="105"/>
                <w:szCs w:val="24"/>
                <w:lang w:val="es-ES"/>
              </w:rPr>
              <m:t>T</m:t>
            </m:r>
          </m:e>
          <m:sub>
            <m:r>
              <w:rPr>
                <w:rFonts w:ascii="Cambria Math" w:eastAsia="Cambria Math" w:hAnsi="Cambria Math"/>
                <w:spacing w:val="-4"/>
                <w:w w:val="105"/>
                <w:szCs w:val="24"/>
              </w:rPr>
              <m:t>t</m:t>
            </m:r>
          </m:sub>
        </m:sSub>
        <m:r>
          <m:rPr>
            <m:sty m:val="p"/>
          </m:rPr>
          <w:rPr>
            <w:rFonts w:ascii="Cambria Math" w:eastAsia="Cambria Math" w:hAnsi="Cambria Math"/>
            <w:spacing w:val="-4"/>
            <w:w w:val="105"/>
            <w:szCs w:val="24"/>
            <w:lang w:val="es-ES"/>
          </w:rPr>
          <m:t>w:</m:t>
        </m:r>
      </m:oMath>
      <w:r w:rsidR="005B14BF" w:rsidRPr="0020072E">
        <w:rPr>
          <w:rFonts w:eastAsiaTheme="minorEastAsia"/>
          <w:spacing w:val="-4"/>
          <w:w w:val="105"/>
          <w:szCs w:val="24"/>
          <w:lang w:val="es-ES"/>
        </w:rPr>
        <w:t xml:space="preserve"> Vector que referencia los años dummies. </w:t>
      </w:r>
    </w:p>
    <w:p w14:paraId="6A8087F1" w14:textId="77777777" w:rsidR="005B14BF" w:rsidRPr="005513D8" w:rsidRDefault="00540F24" w:rsidP="00CB6F49">
      <w:pPr>
        <w:pStyle w:val="ListParagraph"/>
        <w:numPr>
          <w:ilvl w:val="0"/>
          <w:numId w:val="32"/>
        </w:numPr>
        <w:spacing w:after="0" w:line="240" w:lineRule="auto"/>
        <w:jc w:val="both"/>
        <w:rPr>
          <w:rFonts w:eastAsiaTheme="minorEastAsia"/>
          <w:b/>
          <w:bCs/>
          <w:szCs w:val="24"/>
        </w:rPr>
      </w:pPr>
      <m:oMath>
        <m:sSub>
          <m:sSubPr>
            <m:ctrlPr>
              <w:rPr>
                <w:rFonts w:ascii="Cambria Math" w:eastAsia="Cambria Math" w:hAnsi="Cambria Math"/>
                <w:b/>
                <w:bCs/>
                <w:spacing w:val="-4"/>
                <w:w w:val="105"/>
                <w:szCs w:val="24"/>
              </w:rPr>
            </m:ctrlPr>
          </m:sSubPr>
          <m:e>
            <m:r>
              <m:rPr>
                <m:sty m:val="b"/>
              </m:rPr>
              <w:rPr>
                <w:rFonts w:ascii="Cambria Math" w:eastAsia="Cambria Math" w:hAnsi="Cambria Math"/>
                <w:spacing w:val="-4"/>
                <w:w w:val="105"/>
                <w:szCs w:val="24"/>
              </w:rPr>
              <m:t>ε</m:t>
            </m:r>
          </m:e>
          <m:sub>
            <m:r>
              <m:rPr>
                <m:sty m:val="b"/>
              </m:rPr>
              <w:rPr>
                <w:rFonts w:ascii="Cambria Math" w:eastAsia="Cambria Math" w:hAnsi="Cambria Math"/>
                <w:spacing w:val="-4"/>
                <w:w w:val="105"/>
                <w:szCs w:val="24"/>
                <w:vertAlign w:val="subscript"/>
              </w:rPr>
              <m:t>it</m:t>
            </m:r>
          </m:sub>
        </m:sSub>
      </m:oMath>
      <w:r w:rsidR="005B14BF" w:rsidRPr="005513D8">
        <w:rPr>
          <w:rFonts w:eastAsiaTheme="minorEastAsia"/>
          <w:b/>
          <w:bCs/>
          <w:spacing w:val="-4"/>
          <w:w w:val="105"/>
          <w:szCs w:val="24"/>
        </w:rPr>
        <w:t>:</w:t>
      </w:r>
      <w:r w:rsidR="005B14BF" w:rsidRPr="005513D8">
        <w:rPr>
          <w:rFonts w:eastAsiaTheme="minorEastAsia"/>
          <w:spacing w:val="-4"/>
          <w:w w:val="105"/>
          <w:szCs w:val="24"/>
        </w:rPr>
        <w:t xml:space="preserve"> Error</w:t>
      </w:r>
    </w:p>
    <w:p w14:paraId="5FEC1977" w14:textId="77777777" w:rsidR="005B14BF" w:rsidRPr="005513D8" w:rsidRDefault="005B14BF" w:rsidP="00155715">
      <w:pPr>
        <w:jc w:val="both"/>
      </w:pPr>
    </w:p>
    <w:p w14:paraId="7F99E02A" w14:textId="39042DFE" w:rsidR="005B14BF" w:rsidRPr="0020072E" w:rsidRDefault="005B14BF" w:rsidP="00155715">
      <w:pPr>
        <w:jc w:val="both"/>
        <w:rPr>
          <w:lang w:val="es-ES"/>
        </w:rPr>
      </w:pPr>
      <w:r w:rsidRPr="0020072E">
        <w:rPr>
          <w:lang w:val="es-ES"/>
        </w:rPr>
        <w:t xml:space="preserve">Los resultados de este </w:t>
      </w:r>
      <w:proofErr w:type="spellStart"/>
      <w:proofErr w:type="gramStart"/>
      <w:r w:rsidRPr="0020072E">
        <w:rPr>
          <w:i/>
          <w:iCs/>
          <w:lang w:val="es-ES"/>
        </w:rPr>
        <w:t>paper</w:t>
      </w:r>
      <w:proofErr w:type="spellEnd"/>
      <w:proofErr w:type="gramEnd"/>
      <w:r w:rsidRPr="0020072E">
        <w:rPr>
          <w:lang w:val="es-ES"/>
        </w:rPr>
        <w:t xml:space="preserve"> establecen tanto para las estimaciones de efectos fijos como efectos aleatorios un aumento de 59,6% en los flujos de IED de EE.UU</w:t>
      </w:r>
      <w:r w:rsidR="00B40833" w:rsidRPr="0020072E">
        <w:rPr>
          <w:lang w:val="es-ES"/>
        </w:rPr>
        <w:t>.</w:t>
      </w:r>
      <w:r w:rsidRPr="0020072E">
        <w:rPr>
          <w:lang w:val="es-ES"/>
        </w:rPr>
        <w:t xml:space="preserve"> y un país con el que tiene ADT y 56,6% respectivamente. </w:t>
      </w:r>
    </w:p>
    <w:p w14:paraId="616AC761" w14:textId="77777777" w:rsidR="00A82430" w:rsidRPr="0020072E" w:rsidRDefault="00A82430" w:rsidP="00155715">
      <w:pPr>
        <w:jc w:val="both"/>
        <w:rPr>
          <w:lang w:val="es-ES"/>
        </w:rPr>
      </w:pPr>
    </w:p>
    <w:p w14:paraId="14D8DFCD" w14:textId="630CB804" w:rsidR="006F06F2" w:rsidRPr="00CD503F" w:rsidRDefault="0020072E" w:rsidP="00155715">
      <w:pPr>
        <w:pStyle w:val="Heading2"/>
        <w:jc w:val="both"/>
        <w:rPr>
          <w:szCs w:val="24"/>
          <w:lang w:val="es-ES"/>
        </w:rPr>
      </w:pPr>
      <w:r w:rsidRPr="00CD503F">
        <w:rPr>
          <w:szCs w:val="24"/>
          <w:lang w:val="es-ES"/>
        </w:rPr>
        <w:t xml:space="preserve">Descripción de los </w:t>
      </w:r>
      <w:r w:rsidR="006D2288" w:rsidRPr="00CD503F">
        <w:rPr>
          <w:szCs w:val="24"/>
          <w:lang w:val="es-ES"/>
        </w:rPr>
        <w:t>Datos</w:t>
      </w:r>
    </w:p>
    <w:p w14:paraId="4659023F" w14:textId="33896BA8" w:rsidR="006F06F2" w:rsidRPr="00CD503F" w:rsidRDefault="006F06F2" w:rsidP="00155715">
      <w:pPr>
        <w:jc w:val="both"/>
        <w:rPr>
          <w:highlight w:val="yellow"/>
          <w:lang w:val="es-ES"/>
        </w:rPr>
      </w:pPr>
    </w:p>
    <w:p w14:paraId="687AABC0" w14:textId="2736118C" w:rsidR="00396C36" w:rsidRPr="0052702F" w:rsidRDefault="00396C36" w:rsidP="00396C36">
      <w:pPr>
        <w:keepNext/>
        <w:jc w:val="both"/>
        <w:rPr>
          <w:lang w:val="es-ES"/>
        </w:rPr>
      </w:pPr>
      <w:r w:rsidRPr="0052702F">
        <w:rPr>
          <w:lang w:val="es-ES"/>
        </w:rPr>
        <w:t xml:space="preserve">Nuestro panel de datos por </w:t>
      </w:r>
      <w:r>
        <w:rPr>
          <w:lang w:val="es-ES"/>
        </w:rPr>
        <w:t xml:space="preserve">países proviene de varias fuentes de datos, incluyendo el Banco de la República, la Organización para la Cooperación y el Desarrollo Económico (OCDE), la Conferencia de las Naciones Unidas sobre Comercio y Desarrollo (UNCTAD por sus siglas en inglés), la Dirección de Impuestos y de Aduanas Nacionales (DIAN), </w:t>
      </w:r>
      <w:proofErr w:type="spellStart"/>
      <w:r w:rsidR="009F5D62">
        <w:rPr>
          <w:lang w:val="es-ES"/>
        </w:rPr>
        <w:t>Tax</w:t>
      </w:r>
      <w:proofErr w:type="spellEnd"/>
      <w:r w:rsidR="009F5D62">
        <w:rPr>
          <w:lang w:val="es-ES"/>
        </w:rPr>
        <w:t xml:space="preserve"> </w:t>
      </w:r>
      <w:proofErr w:type="spellStart"/>
      <w:r w:rsidR="009F5D62">
        <w:rPr>
          <w:lang w:val="es-ES"/>
        </w:rPr>
        <w:t>Foundation</w:t>
      </w:r>
      <w:proofErr w:type="spellEnd"/>
      <w:r>
        <w:rPr>
          <w:lang w:val="es-ES"/>
        </w:rPr>
        <w:t>, entre otras.</w:t>
      </w:r>
    </w:p>
    <w:p w14:paraId="169B8CF1" w14:textId="77777777" w:rsidR="00396C36" w:rsidRDefault="00396C36" w:rsidP="00635027">
      <w:pPr>
        <w:jc w:val="both"/>
        <w:rPr>
          <w:lang w:val="es-ES"/>
        </w:rPr>
      </w:pPr>
    </w:p>
    <w:p w14:paraId="550AB61B" w14:textId="173991D0" w:rsidR="00635027" w:rsidRDefault="00CD503F" w:rsidP="00635027">
      <w:pPr>
        <w:jc w:val="both"/>
        <w:rPr>
          <w:lang w:val="es-ES"/>
        </w:rPr>
      </w:pPr>
      <w:r>
        <w:rPr>
          <w:lang w:val="es-ES"/>
        </w:rPr>
        <w:t>Como el</w:t>
      </w:r>
      <w:r w:rsidR="00367173" w:rsidRPr="0020072E">
        <w:rPr>
          <w:lang w:val="es-ES"/>
        </w:rPr>
        <w:t xml:space="preserve"> análisis s</w:t>
      </w:r>
      <w:r w:rsidR="00CA76EA">
        <w:rPr>
          <w:lang w:val="es-ES"/>
        </w:rPr>
        <w:t>e centra en</w:t>
      </w:r>
      <w:r w:rsidR="00367173" w:rsidRPr="0020072E">
        <w:rPr>
          <w:lang w:val="es-ES"/>
        </w:rPr>
        <w:t xml:space="preserve"> los flujos de inversión extranjera </w:t>
      </w:r>
      <w:r w:rsidR="006330DE">
        <w:rPr>
          <w:lang w:val="es-ES"/>
        </w:rPr>
        <w:t>hacia</w:t>
      </w:r>
      <w:r w:rsidR="00367173" w:rsidRPr="0020072E">
        <w:rPr>
          <w:lang w:val="es-ES"/>
        </w:rPr>
        <w:t xml:space="preserve"> Colombia, el</w:t>
      </w:r>
      <w:r w:rsidR="006F06F2" w:rsidRPr="0020072E">
        <w:rPr>
          <w:lang w:val="es-ES"/>
        </w:rPr>
        <w:t xml:space="preserve"> punto de partida para </w:t>
      </w:r>
      <w:r w:rsidR="009260BD">
        <w:rPr>
          <w:lang w:val="es-ES"/>
        </w:rPr>
        <w:t xml:space="preserve">construir </w:t>
      </w:r>
      <w:r w:rsidR="00F64EFC">
        <w:rPr>
          <w:lang w:val="es-ES"/>
        </w:rPr>
        <w:t xml:space="preserve">el panel de </w:t>
      </w:r>
      <w:r w:rsidR="006F06F2" w:rsidRPr="0020072E">
        <w:rPr>
          <w:lang w:val="es-ES"/>
        </w:rPr>
        <w:t>datos</w:t>
      </w:r>
      <w:r w:rsidR="006D2288" w:rsidRPr="0020072E">
        <w:rPr>
          <w:lang w:val="es-ES"/>
        </w:rPr>
        <w:t xml:space="preserve"> </w:t>
      </w:r>
      <w:r w:rsidR="006F06F2" w:rsidRPr="0020072E">
        <w:rPr>
          <w:lang w:val="es-ES"/>
        </w:rPr>
        <w:t xml:space="preserve">son los flujos </w:t>
      </w:r>
      <w:r w:rsidR="00B87B51">
        <w:rPr>
          <w:lang w:val="es-ES"/>
        </w:rPr>
        <w:t>trime</w:t>
      </w:r>
      <w:r w:rsidR="00E2015B">
        <w:rPr>
          <w:lang w:val="es-ES"/>
        </w:rPr>
        <w:t>s</w:t>
      </w:r>
      <w:r w:rsidR="00B87B51">
        <w:rPr>
          <w:lang w:val="es-ES"/>
        </w:rPr>
        <w:t xml:space="preserve">trales </w:t>
      </w:r>
      <w:r w:rsidR="006F06F2" w:rsidRPr="0020072E">
        <w:rPr>
          <w:lang w:val="es-ES"/>
        </w:rPr>
        <w:t xml:space="preserve">de IED </w:t>
      </w:r>
      <w:r w:rsidR="00000A8A">
        <w:rPr>
          <w:lang w:val="es-ES"/>
        </w:rPr>
        <w:t xml:space="preserve">por país </w:t>
      </w:r>
      <w:r w:rsidR="006F06F2" w:rsidRPr="0020072E">
        <w:rPr>
          <w:lang w:val="es-ES"/>
        </w:rPr>
        <w:t>disponibles en el Banco de la República</w:t>
      </w:r>
      <w:r w:rsidR="00A14809">
        <w:rPr>
          <w:lang w:val="es-ES"/>
        </w:rPr>
        <w:t>.</w:t>
      </w:r>
      <w:r w:rsidR="00286D03">
        <w:rPr>
          <w:lang w:val="es-ES"/>
        </w:rPr>
        <w:t xml:space="preserve"> </w:t>
      </w:r>
      <w:r w:rsidR="0056126B">
        <w:rPr>
          <w:lang w:val="es-ES"/>
        </w:rPr>
        <w:t>La</w:t>
      </w:r>
      <w:r w:rsidR="00286D03">
        <w:rPr>
          <w:lang w:val="es-ES"/>
        </w:rPr>
        <w:t xml:space="preserve"> base de datos</w:t>
      </w:r>
      <w:r w:rsidR="00223642">
        <w:rPr>
          <w:lang w:val="es-ES"/>
        </w:rPr>
        <w:t xml:space="preserve"> </w:t>
      </w:r>
      <w:r w:rsidR="0056126B">
        <w:rPr>
          <w:lang w:val="es-ES"/>
        </w:rPr>
        <w:t xml:space="preserve">del banco </w:t>
      </w:r>
      <w:r w:rsidR="00223642">
        <w:rPr>
          <w:lang w:val="es-ES"/>
        </w:rPr>
        <w:t xml:space="preserve">tiene </w:t>
      </w:r>
      <w:r w:rsidR="00275658" w:rsidRPr="0020072E">
        <w:rPr>
          <w:lang w:val="es-ES"/>
        </w:rPr>
        <w:t>cifras de IED en millones de dólares para 77 países</w:t>
      </w:r>
      <w:r w:rsidR="00275658">
        <w:rPr>
          <w:lang w:val="es-ES"/>
        </w:rPr>
        <w:t xml:space="preserve"> </w:t>
      </w:r>
      <w:r w:rsidR="002B5A65">
        <w:rPr>
          <w:lang w:val="es-ES"/>
        </w:rPr>
        <w:t>en</w:t>
      </w:r>
      <w:r w:rsidR="00F10ED6">
        <w:rPr>
          <w:lang w:val="es-ES"/>
        </w:rPr>
        <w:t xml:space="preserve"> </w:t>
      </w:r>
      <w:r w:rsidR="002B5A65">
        <w:rPr>
          <w:lang w:val="es-ES"/>
        </w:rPr>
        <w:t xml:space="preserve">un </w:t>
      </w:r>
      <w:r w:rsidR="00DF6EEC">
        <w:rPr>
          <w:lang w:val="es-ES"/>
        </w:rPr>
        <w:t>período</w:t>
      </w:r>
      <w:r w:rsidR="00223642">
        <w:rPr>
          <w:lang w:val="es-ES"/>
        </w:rPr>
        <w:t xml:space="preserve"> </w:t>
      </w:r>
      <w:r w:rsidR="00635027">
        <w:rPr>
          <w:lang w:val="es-ES"/>
        </w:rPr>
        <w:t xml:space="preserve">comprendido entre </w:t>
      </w:r>
      <w:r w:rsidR="006F06F2" w:rsidRPr="0020072E">
        <w:rPr>
          <w:lang w:val="es-ES"/>
        </w:rPr>
        <w:t xml:space="preserve">2007 </w:t>
      </w:r>
      <w:r w:rsidR="00635027">
        <w:rPr>
          <w:lang w:val="es-ES"/>
        </w:rPr>
        <w:t xml:space="preserve">y </w:t>
      </w:r>
      <w:r w:rsidR="006F06F2" w:rsidRPr="0020072E">
        <w:rPr>
          <w:lang w:val="es-ES"/>
        </w:rPr>
        <w:t xml:space="preserve">2022. </w:t>
      </w:r>
    </w:p>
    <w:p w14:paraId="77420E08" w14:textId="77777777" w:rsidR="002372A8" w:rsidRDefault="002372A8" w:rsidP="00635027">
      <w:pPr>
        <w:jc w:val="both"/>
        <w:rPr>
          <w:lang w:val="es-ES"/>
        </w:rPr>
      </w:pPr>
    </w:p>
    <w:p w14:paraId="22D87626" w14:textId="6E06B7C7" w:rsidR="00C05E48" w:rsidRDefault="006F06F2" w:rsidP="00155715">
      <w:pPr>
        <w:jc w:val="both"/>
        <w:rPr>
          <w:lang w:val="es-ES"/>
        </w:rPr>
      </w:pPr>
      <w:r w:rsidRPr="0020072E">
        <w:rPr>
          <w:lang w:val="es-ES"/>
        </w:rPr>
        <w:t xml:space="preserve">De los 77 países </w:t>
      </w:r>
      <w:r w:rsidR="00DE41A0" w:rsidRPr="0020072E">
        <w:rPr>
          <w:lang w:val="es-ES"/>
        </w:rPr>
        <w:t>para los cuales</w:t>
      </w:r>
      <w:r w:rsidRPr="0020072E">
        <w:rPr>
          <w:lang w:val="es-ES"/>
        </w:rPr>
        <w:t xml:space="preserve"> se tiene registro,</w:t>
      </w:r>
      <w:r w:rsidR="004146D4" w:rsidRPr="0020072E">
        <w:rPr>
          <w:lang w:val="es-ES"/>
        </w:rPr>
        <w:t xml:space="preserve"> </w:t>
      </w:r>
      <w:r w:rsidRPr="0020072E">
        <w:rPr>
          <w:lang w:val="es-ES"/>
        </w:rPr>
        <w:t>3</w:t>
      </w:r>
      <w:r w:rsidR="000A7939" w:rsidRPr="0020072E">
        <w:rPr>
          <w:lang w:val="es-ES"/>
        </w:rPr>
        <w:t>6</w:t>
      </w:r>
      <w:r w:rsidRPr="0020072E">
        <w:rPr>
          <w:lang w:val="es-ES"/>
        </w:rPr>
        <w:t xml:space="preserve"> </w:t>
      </w:r>
      <w:r w:rsidR="006F016A">
        <w:rPr>
          <w:lang w:val="es-ES"/>
        </w:rPr>
        <w:t>de ellos tuvieron</w:t>
      </w:r>
      <w:r w:rsidRPr="0020072E">
        <w:rPr>
          <w:lang w:val="es-ES"/>
        </w:rPr>
        <w:t xml:space="preserve"> </w:t>
      </w:r>
      <w:r w:rsidR="00FC6FCA" w:rsidRPr="0020072E">
        <w:rPr>
          <w:lang w:val="es-ES"/>
        </w:rPr>
        <w:t xml:space="preserve">un promedio de </w:t>
      </w:r>
      <w:r w:rsidRPr="0020072E">
        <w:rPr>
          <w:lang w:val="es-ES"/>
        </w:rPr>
        <w:t>flujos de IED meno</w:t>
      </w:r>
      <w:r w:rsidR="00FC6FCA" w:rsidRPr="0020072E">
        <w:rPr>
          <w:lang w:val="es-ES"/>
        </w:rPr>
        <w:t>r</w:t>
      </w:r>
      <w:r w:rsidR="00A55D9F" w:rsidRPr="0020072E">
        <w:rPr>
          <w:lang w:val="es-ES"/>
        </w:rPr>
        <w:t xml:space="preserve"> </w:t>
      </w:r>
      <w:r w:rsidRPr="0020072E">
        <w:rPr>
          <w:lang w:val="es-ES"/>
        </w:rPr>
        <w:t>a USD $1 millón</w:t>
      </w:r>
      <w:r w:rsidR="003E1169" w:rsidRPr="0020072E">
        <w:rPr>
          <w:lang w:val="es-ES"/>
        </w:rPr>
        <w:t xml:space="preserve">, </w:t>
      </w:r>
      <w:r w:rsidR="00C34899">
        <w:rPr>
          <w:lang w:val="es-ES"/>
        </w:rPr>
        <w:t>lo cual</w:t>
      </w:r>
      <w:r w:rsidR="003E1169" w:rsidRPr="0020072E">
        <w:rPr>
          <w:lang w:val="es-ES"/>
        </w:rPr>
        <w:t xml:space="preserve"> </w:t>
      </w:r>
      <w:r w:rsidR="00C34899">
        <w:rPr>
          <w:lang w:val="es-ES"/>
        </w:rPr>
        <w:t xml:space="preserve">representa </w:t>
      </w:r>
      <w:r w:rsidR="003E1169" w:rsidRPr="0020072E">
        <w:rPr>
          <w:lang w:val="es-ES"/>
        </w:rPr>
        <w:t xml:space="preserve">tan sólo </w:t>
      </w:r>
      <w:r w:rsidR="00631415" w:rsidRPr="0020072E">
        <w:rPr>
          <w:lang w:val="es-ES"/>
        </w:rPr>
        <w:t>el 0,2</w:t>
      </w:r>
      <w:r w:rsidR="00AD3414" w:rsidRPr="0020072E">
        <w:rPr>
          <w:lang w:val="es-ES"/>
        </w:rPr>
        <w:t>8</w:t>
      </w:r>
      <w:r w:rsidR="00631415" w:rsidRPr="0020072E">
        <w:rPr>
          <w:lang w:val="es-ES"/>
        </w:rPr>
        <w:t>% del total acumulado de IED</w:t>
      </w:r>
      <w:r w:rsidR="00C76E56" w:rsidRPr="0020072E">
        <w:rPr>
          <w:lang w:val="es-ES"/>
        </w:rPr>
        <w:t>.</w:t>
      </w:r>
      <w:r w:rsidR="000A7939" w:rsidRPr="0020072E">
        <w:rPr>
          <w:lang w:val="es-ES"/>
        </w:rPr>
        <w:t xml:space="preserve"> </w:t>
      </w:r>
      <w:r w:rsidR="00E61209" w:rsidRPr="0020072E">
        <w:rPr>
          <w:lang w:val="es-ES"/>
        </w:rPr>
        <w:t>P</w:t>
      </w:r>
      <w:r w:rsidR="000A7939" w:rsidRPr="0020072E">
        <w:rPr>
          <w:lang w:val="es-ES"/>
        </w:rPr>
        <w:t>or lo tanto</w:t>
      </w:r>
      <w:r w:rsidR="00E61209" w:rsidRPr="0020072E">
        <w:rPr>
          <w:lang w:val="es-ES"/>
        </w:rPr>
        <w:t>,</w:t>
      </w:r>
      <w:r w:rsidR="000A7939" w:rsidRPr="0020072E">
        <w:rPr>
          <w:lang w:val="es-ES"/>
        </w:rPr>
        <w:t xml:space="preserve"> </w:t>
      </w:r>
      <w:r w:rsidR="00F35B3B" w:rsidRPr="0020072E">
        <w:rPr>
          <w:lang w:val="es-ES"/>
        </w:rPr>
        <w:t>estos</w:t>
      </w:r>
      <w:r w:rsidRPr="0020072E">
        <w:rPr>
          <w:lang w:val="es-ES"/>
        </w:rPr>
        <w:t xml:space="preserve"> países fueron excluidos de la base de datos</w:t>
      </w:r>
      <w:r w:rsidR="007A0E1E" w:rsidRPr="0020072E">
        <w:rPr>
          <w:lang w:val="es-ES"/>
        </w:rPr>
        <w:t xml:space="preserve">, exceptuando </w:t>
      </w:r>
      <w:r w:rsidR="00036C83">
        <w:rPr>
          <w:lang w:val="es-ES_tradnl"/>
        </w:rPr>
        <w:t xml:space="preserve">a </w:t>
      </w:r>
      <w:r w:rsidR="007A0E1E" w:rsidRPr="0020072E">
        <w:rPr>
          <w:lang w:val="es-ES"/>
        </w:rPr>
        <w:t>Bolivia</w:t>
      </w:r>
      <w:r w:rsidR="0075085F" w:rsidRPr="0020072E">
        <w:rPr>
          <w:lang w:val="es-ES"/>
        </w:rPr>
        <w:t>,</w:t>
      </w:r>
      <w:r w:rsidR="007A0E1E" w:rsidRPr="0020072E">
        <w:rPr>
          <w:lang w:val="es-ES"/>
        </w:rPr>
        <w:t xml:space="preserve"> que </w:t>
      </w:r>
      <w:r w:rsidR="00D95ADE">
        <w:rPr>
          <w:lang w:val="es-ES"/>
        </w:rPr>
        <w:t>se consideró</w:t>
      </w:r>
      <w:r w:rsidR="006C776C" w:rsidRPr="0020072E">
        <w:rPr>
          <w:lang w:val="es-ES"/>
        </w:rPr>
        <w:t xml:space="preserve"> debido</w:t>
      </w:r>
      <w:r w:rsidR="00CC3343" w:rsidRPr="0020072E">
        <w:rPr>
          <w:lang w:val="es-ES"/>
        </w:rPr>
        <w:t xml:space="preserve"> a</w:t>
      </w:r>
      <w:r w:rsidR="00EF1F95" w:rsidRPr="0020072E">
        <w:rPr>
          <w:lang w:val="es-ES"/>
        </w:rPr>
        <w:t xml:space="preserve"> </w:t>
      </w:r>
      <w:r w:rsidR="001D5F42" w:rsidRPr="0020072E">
        <w:rPr>
          <w:lang w:val="es-ES"/>
        </w:rPr>
        <w:t>la existencia de un ADT vigente</w:t>
      </w:r>
      <w:r w:rsidR="00C446D9" w:rsidRPr="0020072E">
        <w:rPr>
          <w:lang w:val="es-ES"/>
        </w:rPr>
        <w:t xml:space="preserve"> con la Comunidad Andina de </w:t>
      </w:r>
      <w:r w:rsidR="00C446D9" w:rsidRPr="0020072E">
        <w:rPr>
          <w:lang w:val="es-ES"/>
        </w:rPr>
        <w:lastRenderedPageBreak/>
        <w:t>Naciones (CAN)</w:t>
      </w:r>
      <w:r w:rsidR="00DA3B62" w:rsidRPr="0020072E">
        <w:rPr>
          <w:lang w:val="es-ES"/>
        </w:rPr>
        <w:t>,</w:t>
      </w:r>
      <w:r w:rsidR="001C2E57" w:rsidRPr="0020072E">
        <w:rPr>
          <w:lang w:val="es-ES"/>
        </w:rPr>
        <w:t xml:space="preserve"> </w:t>
      </w:r>
      <w:r w:rsidR="005A0F11">
        <w:rPr>
          <w:lang w:val="es-ES"/>
        </w:rPr>
        <w:t>cuyos miembros incluyen</w:t>
      </w:r>
      <w:r w:rsidR="00483B30" w:rsidRPr="0020072E">
        <w:rPr>
          <w:lang w:val="es-ES"/>
        </w:rPr>
        <w:t xml:space="preserve"> a</w:t>
      </w:r>
      <w:r w:rsidR="00F94AA9" w:rsidRPr="0020072E">
        <w:rPr>
          <w:lang w:val="es-ES"/>
        </w:rPr>
        <w:t xml:space="preserve"> Bolivia.</w:t>
      </w:r>
      <w:r w:rsidR="00C22183" w:rsidRPr="0020072E">
        <w:rPr>
          <w:lang w:val="es-ES"/>
        </w:rPr>
        <w:t xml:space="preserve"> </w:t>
      </w:r>
      <w:r w:rsidR="005C42EE" w:rsidRPr="0020072E">
        <w:rPr>
          <w:lang w:val="es-ES"/>
        </w:rPr>
        <w:t>También</w:t>
      </w:r>
      <w:r w:rsidR="00A82803">
        <w:rPr>
          <w:lang w:val="es-ES"/>
        </w:rPr>
        <w:t>,</w:t>
      </w:r>
      <w:r w:rsidR="005C42EE" w:rsidRPr="0020072E">
        <w:rPr>
          <w:lang w:val="es-ES"/>
        </w:rPr>
        <w:t xml:space="preserve"> las Antillas Holandesas</w:t>
      </w:r>
      <w:r w:rsidR="00A64BB6">
        <w:rPr>
          <w:lang w:val="es-ES"/>
        </w:rPr>
        <w:t xml:space="preserve"> fueron excluidas</w:t>
      </w:r>
      <w:r w:rsidR="005C42EE" w:rsidRPr="0020072E">
        <w:rPr>
          <w:lang w:val="es-ES"/>
        </w:rPr>
        <w:t xml:space="preserve"> debido a </w:t>
      </w:r>
      <w:r w:rsidR="004F443C">
        <w:rPr>
          <w:lang w:val="es-ES"/>
        </w:rPr>
        <w:t>su</w:t>
      </w:r>
      <w:r w:rsidR="0019664B" w:rsidRPr="0020072E">
        <w:rPr>
          <w:lang w:val="es-ES"/>
        </w:rPr>
        <w:t xml:space="preserve"> disol</w:t>
      </w:r>
      <w:r w:rsidR="004F443C">
        <w:rPr>
          <w:lang w:val="es-ES"/>
        </w:rPr>
        <w:t>ución</w:t>
      </w:r>
      <w:r w:rsidR="0019664B" w:rsidRPr="0020072E">
        <w:rPr>
          <w:lang w:val="es-ES"/>
        </w:rPr>
        <w:t xml:space="preserve"> e</w:t>
      </w:r>
      <w:r w:rsidR="009E782E">
        <w:rPr>
          <w:lang w:val="es-ES"/>
        </w:rPr>
        <w:t>n</w:t>
      </w:r>
      <w:r w:rsidR="0019664B" w:rsidRPr="0020072E">
        <w:rPr>
          <w:lang w:val="es-ES"/>
        </w:rPr>
        <w:t xml:space="preserve"> octubre de 2010</w:t>
      </w:r>
      <w:r w:rsidR="007A6C49" w:rsidRPr="0020072E">
        <w:rPr>
          <w:lang w:val="es-ES"/>
        </w:rPr>
        <w:t xml:space="preserve">, y </w:t>
      </w:r>
      <w:r w:rsidR="007277CC">
        <w:rPr>
          <w:lang w:val="es-ES"/>
        </w:rPr>
        <w:t xml:space="preserve">por tener flujos acumulados de </w:t>
      </w:r>
      <w:r w:rsidR="006E17E1">
        <w:rPr>
          <w:lang w:val="es-ES"/>
        </w:rPr>
        <w:t xml:space="preserve">sólo </w:t>
      </w:r>
      <w:r w:rsidR="00EE60E5" w:rsidRPr="0020072E">
        <w:rPr>
          <w:lang w:val="es-ES"/>
        </w:rPr>
        <w:t xml:space="preserve">USD $1 millón. La Gráfica </w:t>
      </w:r>
      <w:r w:rsidR="002E7A50">
        <w:rPr>
          <w:lang w:val="es-ES"/>
        </w:rPr>
        <w:t>4</w:t>
      </w:r>
      <w:r w:rsidR="00EE60E5" w:rsidRPr="0020072E">
        <w:rPr>
          <w:lang w:val="es-ES"/>
        </w:rPr>
        <w:t xml:space="preserve"> </w:t>
      </w:r>
      <w:r w:rsidR="00787EDA">
        <w:rPr>
          <w:lang w:val="es-ES"/>
        </w:rPr>
        <w:t xml:space="preserve">muestra </w:t>
      </w:r>
      <w:r w:rsidR="006D0459" w:rsidRPr="0020072E">
        <w:rPr>
          <w:lang w:val="es-ES"/>
        </w:rPr>
        <w:t>los países excluidos</w:t>
      </w:r>
      <w:r w:rsidR="00787EDA">
        <w:rPr>
          <w:lang w:val="es-ES"/>
        </w:rPr>
        <w:t xml:space="preserve"> a la derecha de la línea punteada</w:t>
      </w:r>
      <w:r w:rsidR="00EE60E5" w:rsidRPr="0020072E">
        <w:rPr>
          <w:lang w:val="es-ES"/>
        </w:rPr>
        <w:t xml:space="preserve"> y </w:t>
      </w:r>
      <w:r w:rsidR="007075CB">
        <w:rPr>
          <w:lang w:val="es-ES"/>
        </w:rPr>
        <w:t>presenta</w:t>
      </w:r>
      <w:r w:rsidR="00EE60E5" w:rsidRPr="0020072E">
        <w:rPr>
          <w:lang w:val="es-ES"/>
        </w:rPr>
        <w:t xml:space="preserve"> el Pareto de IED acumulado por país.</w:t>
      </w:r>
    </w:p>
    <w:p w14:paraId="34E29EF6" w14:textId="77777777" w:rsidR="00EB5B1C" w:rsidRDefault="00EB5B1C" w:rsidP="00155715">
      <w:pPr>
        <w:jc w:val="both"/>
        <w:rPr>
          <w:lang w:val="es-ES"/>
        </w:rPr>
      </w:pPr>
    </w:p>
    <w:p w14:paraId="2F8079DF" w14:textId="77777777" w:rsidR="00EB5B1C" w:rsidRDefault="00EB5B1C" w:rsidP="002E7A50">
      <w:pPr>
        <w:keepNext/>
        <w:jc w:val="center"/>
      </w:pPr>
      <w:r>
        <w:rPr>
          <w:noProof/>
        </w:rPr>
        <w:drawing>
          <wp:inline distT="0" distB="0" distL="0" distR="0" wp14:anchorId="3320406F" wp14:editId="36F4C4C3">
            <wp:extent cx="5612130" cy="2927985"/>
            <wp:effectExtent l="0" t="0" r="1270" b="5715"/>
            <wp:docPr id="1403088951" name="Picture 1403088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088951" name=""/>
                    <pic:cNvPicPr/>
                  </pic:nvPicPr>
                  <pic:blipFill>
                    <a:blip r:embed="rId14"/>
                    <a:stretch>
                      <a:fillRect/>
                    </a:stretch>
                  </pic:blipFill>
                  <pic:spPr>
                    <a:xfrm>
                      <a:off x="0" y="0"/>
                      <a:ext cx="5612130" cy="2927985"/>
                    </a:xfrm>
                    <a:prstGeom prst="rect">
                      <a:avLst/>
                    </a:prstGeom>
                  </pic:spPr>
                </pic:pic>
              </a:graphicData>
            </a:graphic>
          </wp:inline>
        </w:drawing>
      </w:r>
    </w:p>
    <w:p w14:paraId="6258217F" w14:textId="3F2F8302" w:rsidR="00C05E48" w:rsidRPr="002E7A50" w:rsidRDefault="00EB5B1C" w:rsidP="002E7A50">
      <w:pPr>
        <w:pStyle w:val="Caption"/>
        <w:jc w:val="center"/>
        <w:rPr>
          <w:rFonts w:ascii="Garamond" w:hAnsi="Garamond"/>
          <w:color w:val="262626" w:themeColor="text1" w:themeTint="D9"/>
          <w:sz w:val="22"/>
          <w:szCs w:val="22"/>
          <w:lang w:val="es-ES"/>
        </w:rPr>
      </w:pPr>
      <w:r w:rsidRPr="002E7A50">
        <w:rPr>
          <w:rFonts w:ascii="Garamond" w:hAnsi="Garamond"/>
          <w:color w:val="262626" w:themeColor="text1" w:themeTint="D9"/>
          <w:sz w:val="22"/>
          <w:szCs w:val="22"/>
          <w:lang w:val="es-ES"/>
        </w:rPr>
        <w:t xml:space="preserve">Gráfica </w:t>
      </w:r>
      <w:r w:rsidRPr="002E7A50">
        <w:rPr>
          <w:rFonts w:ascii="Garamond" w:hAnsi="Garamond"/>
          <w:color w:val="262626" w:themeColor="text1" w:themeTint="D9"/>
          <w:sz w:val="22"/>
          <w:szCs w:val="22"/>
          <w:lang w:val="es-ES"/>
        </w:rPr>
        <w:fldChar w:fldCharType="begin"/>
      </w:r>
      <w:r w:rsidRPr="002E7A50">
        <w:rPr>
          <w:rFonts w:ascii="Garamond" w:hAnsi="Garamond"/>
          <w:color w:val="262626" w:themeColor="text1" w:themeTint="D9"/>
          <w:sz w:val="22"/>
          <w:szCs w:val="22"/>
          <w:lang w:val="es-ES"/>
        </w:rPr>
        <w:instrText xml:space="preserve"> SEQ Gráfica \* ARABIC </w:instrText>
      </w:r>
      <w:r w:rsidRPr="002E7A50">
        <w:rPr>
          <w:rFonts w:ascii="Garamond" w:hAnsi="Garamond"/>
          <w:color w:val="262626" w:themeColor="text1" w:themeTint="D9"/>
          <w:sz w:val="22"/>
          <w:szCs w:val="22"/>
          <w:lang w:val="es-ES"/>
        </w:rPr>
        <w:fldChar w:fldCharType="separate"/>
      </w:r>
      <w:r w:rsidR="00470EC2">
        <w:rPr>
          <w:rFonts w:ascii="Garamond" w:hAnsi="Garamond"/>
          <w:noProof/>
          <w:color w:val="262626" w:themeColor="text1" w:themeTint="D9"/>
          <w:sz w:val="22"/>
          <w:szCs w:val="22"/>
          <w:lang w:val="es-ES"/>
        </w:rPr>
        <w:t>4</w:t>
      </w:r>
      <w:r w:rsidRPr="002E7A50">
        <w:rPr>
          <w:rFonts w:ascii="Garamond" w:hAnsi="Garamond"/>
          <w:color w:val="262626" w:themeColor="text1" w:themeTint="D9"/>
          <w:sz w:val="22"/>
          <w:szCs w:val="22"/>
          <w:lang w:val="es-ES"/>
        </w:rPr>
        <w:fldChar w:fldCharType="end"/>
      </w:r>
      <w:r w:rsidRPr="002E7A50">
        <w:rPr>
          <w:rFonts w:ascii="Garamond" w:hAnsi="Garamond"/>
          <w:color w:val="262626" w:themeColor="text1" w:themeTint="D9"/>
          <w:sz w:val="22"/>
          <w:szCs w:val="22"/>
          <w:lang w:val="es-ES"/>
        </w:rPr>
        <w:t>. IED por país. A la derecha de la línea punteada se encuentra los países excluidos de la base de datos, exceptuando Bolivia.</w:t>
      </w:r>
    </w:p>
    <w:p w14:paraId="2A3372B3" w14:textId="7D0D9776" w:rsidR="00381A9C" w:rsidRDefault="000868B4" w:rsidP="00155715">
      <w:pPr>
        <w:keepNext/>
        <w:jc w:val="both"/>
        <w:rPr>
          <w:lang w:val="es-ES_tradnl"/>
        </w:rPr>
      </w:pPr>
      <w:r w:rsidRPr="0020072E">
        <w:rPr>
          <w:lang w:val="es-ES"/>
        </w:rPr>
        <w:t>Para la metodología</w:t>
      </w:r>
      <w:r w:rsidR="00D70FA4" w:rsidRPr="0020072E">
        <w:rPr>
          <w:lang w:val="es-ES"/>
        </w:rPr>
        <w:t>,</w:t>
      </w:r>
      <w:r w:rsidRPr="0020072E">
        <w:rPr>
          <w:lang w:val="es-ES"/>
        </w:rPr>
        <w:t xml:space="preserve"> se requiere identificar los </w:t>
      </w:r>
      <w:r w:rsidR="007A44B6">
        <w:rPr>
          <w:lang w:val="es-ES"/>
        </w:rPr>
        <w:t>grupo</w:t>
      </w:r>
      <w:r w:rsidR="001834F9">
        <w:rPr>
          <w:lang w:val="es-ES"/>
        </w:rPr>
        <w:t>s</w:t>
      </w:r>
      <w:r w:rsidR="007A44B6">
        <w:rPr>
          <w:lang w:val="es-ES"/>
        </w:rPr>
        <w:t xml:space="preserve"> de tratamiento y control</w:t>
      </w:r>
      <w:r w:rsidR="00356611">
        <w:rPr>
          <w:lang w:val="es-ES"/>
        </w:rPr>
        <w:t xml:space="preserve">, por lo </w:t>
      </w:r>
      <w:r w:rsidR="006E7E9C">
        <w:rPr>
          <w:lang w:val="es-ES"/>
        </w:rPr>
        <w:t>tanto,</w:t>
      </w:r>
      <w:r w:rsidR="00356611">
        <w:rPr>
          <w:lang w:val="es-ES"/>
        </w:rPr>
        <w:t xml:space="preserve"> los </w:t>
      </w:r>
      <w:r w:rsidRPr="0020072E">
        <w:rPr>
          <w:lang w:val="es-ES"/>
        </w:rPr>
        <w:t>países tratados</w:t>
      </w:r>
      <w:r w:rsidR="001A0070">
        <w:rPr>
          <w:rStyle w:val="FootnoteReference"/>
        </w:rPr>
        <w:footnoteReference w:id="16"/>
      </w:r>
      <w:r w:rsidR="00356611">
        <w:rPr>
          <w:lang w:val="es-ES"/>
        </w:rPr>
        <w:t xml:space="preserve"> </w:t>
      </w:r>
      <w:r w:rsidR="006E6D3A">
        <w:rPr>
          <w:lang w:val="es-ES"/>
        </w:rPr>
        <w:t>son aquellos</w:t>
      </w:r>
      <w:r w:rsidRPr="0020072E">
        <w:rPr>
          <w:lang w:val="es-ES"/>
        </w:rPr>
        <w:t xml:space="preserve"> con acuerdos vigentes</w:t>
      </w:r>
      <w:r w:rsidR="00F222EF" w:rsidRPr="0020072E">
        <w:rPr>
          <w:lang w:val="es-ES"/>
        </w:rPr>
        <w:t xml:space="preserve"> con Colombia</w:t>
      </w:r>
      <w:r w:rsidR="00FA75A2" w:rsidRPr="0020072E">
        <w:rPr>
          <w:lang w:val="es-ES"/>
        </w:rPr>
        <w:t xml:space="preserve">. El resto de </w:t>
      </w:r>
      <w:r w:rsidR="00AB432C" w:rsidRPr="0020072E">
        <w:rPr>
          <w:lang w:val="es-ES"/>
        </w:rPr>
        <w:t>los países</w:t>
      </w:r>
      <w:r w:rsidR="00AC073C">
        <w:rPr>
          <w:lang w:val="es-ES"/>
        </w:rPr>
        <w:t>,</w:t>
      </w:r>
      <w:r w:rsidR="00FA75A2" w:rsidRPr="0020072E">
        <w:rPr>
          <w:lang w:val="es-ES"/>
        </w:rPr>
        <w:t xml:space="preserve"> </w:t>
      </w:r>
      <w:r w:rsidR="005E771A">
        <w:rPr>
          <w:lang w:val="es-ES"/>
        </w:rPr>
        <w:t xml:space="preserve">sin acuerdos </w:t>
      </w:r>
      <w:r w:rsidR="00154E59">
        <w:rPr>
          <w:lang w:val="es-ES_tradnl"/>
        </w:rPr>
        <w:t xml:space="preserve">pactados, </w:t>
      </w:r>
      <w:r w:rsidR="008D45E2">
        <w:rPr>
          <w:lang w:val="es-ES_tradnl"/>
        </w:rPr>
        <w:t>con</w:t>
      </w:r>
      <w:r w:rsidR="00B529F3">
        <w:rPr>
          <w:lang w:val="es-ES"/>
        </w:rPr>
        <w:t>forman</w:t>
      </w:r>
      <w:r w:rsidR="00FA75A2" w:rsidRPr="0020072E">
        <w:rPr>
          <w:lang w:val="es-ES"/>
        </w:rPr>
        <w:t xml:space="preserve"> </w:t>
      </w:r>
      <w:r w:rsidR="00B529F3">
        <w:rPr>
          <w:lang w:val="es-ES"/>
        </w:rPr>
        <w:t>el</w:t>
      </w:r>
      <w:r w:rsidR="00FA75A2" w:rsidRPr="0020072E">
        <w:rPr>
          <w:lang w:val="es-ES"/>
        </w:rPr>
        <w:t xml:space="preserve"> grupo de control.</w:t>
      </w:r>
      <w:r w:rsidR="003F6B1D">
        <w:rPr>
          <w:lang w:val="es-ES"/>
        </w:rPr>
        <w:t xml:space="preserve"> Así,</w:t>
      </w:r>
      <w:r w:rsidR="00907010">
        <w:rPr>
          <w:lang w:val="es-ES"/>
        </w:rPr>
        <w:t xml:space="preserve"> la base de datos está compuesta por</w:t>
      </w:r>
      <w:r w:rsidR="00FC1215">
        <w:rPr>
          <w:lang w:val="es-ES"/>
        </w:rPr>
        <w:t xml:space="preserve"> </w:t>
      </w:r>
      <w:r w:rsidR="00EB2465">
        <w:rPr>
          <w:lang w:val="es-ES"/>
        </w:rPr>
        <w:t xml:space="preserve">un total de </w:t>
      </w:r>
      <w:r w:rsidR="0069599A">
        <w:rPr>
          <w:lang w:val="es-ES_tradnl"/>
        </w:rPr>
        <w:t>41 países</w:t>
      </w:r>
      <w:r w:rsidR="00907010">
        <w:rPr>
          <w:lang w:val="es-ES_tradnl"/>
        </w:rPr>
        <w:t>, incluyendo tanto</w:t>
      </w:r>
      <w:r w:rsidR="00C66B43">
        <w:rPr>
          <w:lang w:val="es-ES_tradnl"/>
        </w:rPr>
        <w:t xml:space="preserve"> </w:t>
      </w:r>
      <w:r w:rsidR="00907010">
        <w:rPr>
          <w:lang w:val="es-ES_tradnl"/>
        </w:rPr>
        <w:t>el grupo de control como el grupo tratado</w:t>
      </w:r>
      <w:r w:rsidR="00980C12">
        <w:rPr>
          <w:lang w:val="es-ES_tradnl"/>
        </w:rPr>
        <w:t>.</w:t>
      </w:r>
      <w:r w:rsidR="00F625D9">
        <w:rPr>
          <w:lang w:val="es-ES_tradnl"/>
        </w:rPr>
        <w:t xml:space="preserve"> </w:t>
      </w:r>
      <w:r w:rsidR="00980C12">
        <w:rPr>
          <w:lang w:val="es-ES_tradnl"/>
        </w:rPr>
        <w:t>P</w:t>
      </w:r>
      <w:r w:rsidR="00F625D9">
        <w:rPr>
          <w:lang w:val="es-ES_tradnl"/>
        </w:rPr>
        <w:t>ara diferenciar los grupos se usó la variable dicotómica ADT</w:t>
      </w:r>
      <w:r w:rsidR="005B1AD7">
        <w:rPr>
          <w:lang w:val="es-ES_tradnl"/>
        </w:rPr>
        <w:t>,</w:t>
      </w:r>
      <w:r w:rsidR="00B7332D">
        <w:rPr>
          <w:lang w:val="es-ES_tradnl"/>
        </w:rPr>
        <w:t xml:space="preserve"> </w:t>
      </w:r>
      <w:r w:rsidR="00B15F7E">
        <w:rPr>
          <w:lang w:val="es-ES_tradnl"/>
        </w:rPr>
        <w:t xml:space="preserve">la cual </w:t>
      </w:r>
      <w:r w:rsidR="00B7332D">
        <w:rPr>
          <w:lang w:val="es-ES_tradnl"/>
        </w:rPr>
        <w:t>toma el valor de 1 si Colombia tiene un acuerdo de doble tributación suscrito con el país</w:t>
      </w:r>
      <w:r w:rsidR="001834F9">
        <w:rPr>
          <w:lang w:val="es-ES_tradnl"/>
        </w:rPr>
        <w:t xml:space="preserve"> correspondiente</w:t>
      </w:r>
      <w:r w:rsidR="00B7332D">
        <w:rPr>
          <w:lang w:val="es-ES_tradnl"/>
        </w:rPr>
        <w:t>, y toma el valor de 0 en caso contrario.</w:t>
      </w:r>
    </w:p>
    <w:p w14:paraId="6E70EAEF" w14:textId="77777777" w:rsidR="00F65E60" w:rsidRPr="00AC5D1C" w:rsidRDefault="00F65E60" w:rsidP="00155715">
      <w:pPr>
        <w:keepNext/>
        <w:jc w:val="both"/>
        <w:rPr>
          <w:lang w:val="es-ES"/>
        </w:rPr>
      </w:pPr>
    </w:p>
    <w:p w14:paraId="2D1E765D" w14:textId="2142DE9A" w:rsidR="007A483E" w:rsidRPr="00E012A5" w:rsidRDefault="007A483E" w:rsidP="00E012A5">
      <w:pPr>
        <w:pStyle w:val="Caption"/>
        <w:keepNext/>
        <w:jc w:val="center"/>
        <w:rPr>
          <w:rFonts w:ascii="Garamond" w:hAnsi="Garamond"/>
          <w:color w:val="404040" w:themeColor="text1" w:themeTint="BF"/>
          <w:sz w:val="22"/>
          <w:szCs w:val="22"/>
          <w:lang w:val="es-ES"/>
        </w:rPr>
      </w:pPr>
      <w:r w:rsidRPr="00E012A5">
        <w:rPr>
          <w:rFonts w:ascii="Garamond" w:hAnsi="Garamond"/>
          <w:color w:val="404040" w:themeColor="text1" w:themeTint="BF"/>
          <w:sz w:val="22"/>
          <w:szCs w:val="22"/>
          <w:lang w:val="es-ES"/>
        </w:rPr>
        <w:t xml:space="preserve">Tabla </w:t>
      </w:r>
      <w:r w:rsidRPr="00E012A5">
        <w:rPr>
          <w:rFonts w:ascii="Garamond" w:hAnsi="Garamond"/>
          <w:color w:val="404040" w:themeColor="text1" w:themeTint="BF"/>
          <w:sz w:val="22"/>
          <w:szCs w:val="22"/>
        </w:rPr>
        <w:fldChar w:fldCharType="begin"/>
      </w:r>
      <w:r w:rsidRPr="00E012A5">
        <w:rPr>
          <w:rFonts w:ascii="Garamond" w:hAnsi="Garamond"/>
          <w:color w:val="404040" w:themeColor="text1" w:themeTint="BF"/>
          <w:sz w:val="22"/>
          <w:szCs w:val="22"/>
          <w:lang w:val="es-ES"/>
        </w:rPr>
        <w:instrText xml:space="preserve"> SEQ Tabla \* ARABIC </w:instrText>
      </w:r>
      <w:r w:rsidRPr="00E012A5">
        <w:rPr>
          <w:rFonts w:ascii="Garamond" w:hAnsi="Garamond"/>
          <w:color w:val="404040" w:themeColor="text1" w:themeTint="BF"/>
          <w:sz w:val="22"/>
          <w:szCs w:val="22"/>
        </w:rPr>
        <w:fldChar w:fldCharType="separate"/>
      </w:r>
      <w:r w:rsidR="00B74590">
        <w:rPr>
          <w:rFonts w:ascii="Garamond" w:hAnsi="Garamond"/>
          <w:noProof/>
          <w:color w:val="404040" w:themeColor="text1" w:themeTint="BF"/>
          <w:sz w:val="22"/>
          <w:szCs w:val="22"/>
          <w:lang w:val="es-ES"/>
        </w:rPr>
        <w:t>1</w:t>
      </w:r>
      <w:r w:rsidRPr="00E012A5">
        <w:rPr>
          <w:rFonts w:ascii="Garamond" w:hAnsi="Garamond"/>
          <w:color w:val="404040" w:themeColor="text1" w:themeTint="BF"/>
          <w:sz w:val="22"/>
          <w:szCs w:val="22"/>
        </w:rPr>
        <w:fldChar w:fldCharType="end"/>
      </w:r>
      <w:r w:rsidRPr="00E012A5">
        <w:rPr>
          <w:rFonts w:ascii="Garamond" w:hAnsi="Garamond"/>
          <w:color w:val="404040" w:themeColor="text1" w:themeTint="BF"/>
          <w:sz w:val="22"/>
          <w:szCs w:val="22"/>
          <w:lang w:val="es-ES"/>
        </w:rPr>
        <w:t>. Países del grupo de Tratamiento</w:t>
      </w:r>
    </w:p>
    <w:tbl>
      <w:tblPr>
        <w:tblStyle w:val="ListTable6Colorful"/>
        <w:tblW w:w="5362" w:type="dxa"/>
        <w:jc w:val="center"/>
        <w:tblLook w:val="04A0" w:firstRow="1" w:lastRow="0" w:firstColumn="1" w:lastColumn="0" w:noHBand="0" w:noVBand="1"/>
      </w:tblPr>
      <w:tblGrid>
        <w:gridCol w:w="1509"/>
        <w:gridCol w:w="2004"/>
        <w:gridCol w:w="1849"/>
      </w:tblGrid>
      <w:tr w:rsidR="00381A9C" w:rsidRPr="00086F01" w14:paraId="71BB8107" w14:textId="77777777" w:rsidTr="007A35C6">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5362" w:type="dxa"/>
            <w:gridSpan w:val="3"/>
            <w:noWrap/>
          </w:tcPr>
          <w:p w14:paraId="693A0415" w14:textId="60ECFCFE" w:rsidR="00381A9C" w:rsidRPr="00086F01" w:rsidRDefault="00381A9C" w:rsidP="00CD0352">
            <w:pPr>
              <w:jc w:val="center"/>
              <w:rPr>
                <w:color w:val="000000"/>
                <w:sz w:val="20"/>
                <w:szCs w:val="20"/>
                <w:lang w:val="es-ES"/>
              </w:rPr>
            </w:pPr>
            <w:r w:rsidRPr="007A35C6">
              <w:rPr>
                <w:color w:val="000000"/>
                <w:sz w:val="20"/>
                <w:szCs w:val="20"/>
                <w:lang w:val="es-ES_tradnl"/>
              </w:rPr>
              <w:t>Países del grupo de Tratamiento</w:t>
            </w:r>
            <w:r w:rsidR="00BA2CA5" w:rsidRPr="007A35C6">
              <w:rPr>
                <w:rStyle w:val="FootnoteReference"/>
                <w:color w:val="000000"/>
                <w:sz w:val="20"/>
                <w:szCs w:val="20"/>
                <w:lang w:val="es-ES_tradnl"/>
              </w:rPr>
              <w:footnoteReference w:id="17"/>
            </w:r>
          </w:p>
        </w:tc>
      </w:tr>
      <w:tr w:rsidR="00381A9C" w:rsidRPr="007A35C6" w14:paraId="4C966619" w14:textId="77777777" w:rsidTr="007A35C6">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509" w:type="dxa"/>
            <w:shd w:val="clear" w:color="auto" w:fill="auto"/>
            <w:noWrap/>
            <w:hideMark/>
          </w:tcPr>
          <w:p w14:paraId="57A01BBD" w14:textId="77777777" w:rsidR="009D4EB7" w:rsidRPr="007A35C6" w:rsidRDefault="009D4EB7" w:rsidP="00155715">
            <w:pPr>
              <w:jc w:val="both"/>
              <w:rPr>
                <w:b w:val="0"/>
                <w:bCs w:val="0"/>
                <w:color w:val="000000"/>
                <w:sz w:val="20"/>
                <w:szCs w:val="20"/>
              </w:rPr>
            </w:pPr>
            <w:r w:rsidRPr="007A35C6">
              <w:rPr>
                <w:b w:val="0"/>
                <w:bCs w:val="0"/>
                <w:color w:val="000000"/>
                <w:sz w:val="20"/>
                <w:szCs w:val="20"/>
              </w:rPr>
              <w:t>Bolivia</w:t>
            </w:r>
          </w:p>
        </w:tc>
        <w:tc>
          <w:tcPr>
            <w:tcW w:w="2004" w:type="dxa"/>
            <w:shd w:val="clear" w:color="auto" w:fill="auto"/>
            <w:noWrap/>
            <w:hideMark/>
          </w:tcPr>
          <w:p w14:paraId="3455028B" w14:textId="77777777" w:rsidR="009D4EB7" w:rsidRPr="007A35C6" w:rsidRDefault="009D4EB7" w:rsidP="00155715">
            <w:pPr>
              <w:jc w:val="both"/>
              <w:cnfStyle w:val="000000100000" w:firstRow="0" w:lastRow="0" w:firstColumn="0" w:lastColumn="0" w:oddVBand="0" w:evenVBand="0" w:oddHBand="1" w:evenHBand="0" w:firstRowFirstColumn="0" w:firstRowLastColumn="0" w:lastRowFirstColumn="0" w:lastRowLastColumn="0"/>
              <w:rPr>
                <w:color w:val="000000"/>
                <w:sz w:val="20"/>
                <w:szCs w:val="20"/>
              </w:rPr>
            </w:pPr>
            <w:r w:rsidRPr="007A35C6">
              <w:rPr>
                <w:color w:val="000000"/>
                <w:sz w:val="20"/>
                <w:szCs w:val="20"/>
              </w:rPr>
              <w:t>Suiza</w:t>
            </w:r>
          </w:p>
        </w:tc>
        <w:tc>
          <w:tcPr>
            <w:tcW w:w="1848" w:type="dxa"/>
            <w:shd w:val="clear" w:color="auto" w:fill="auto"/>
            <w:noWrap/>
            <w:hideMark/>
          </w:tcPr>
          <w:p w14:paraId="3C4F6304" w14:textId="77777777" w:rsidR="009D4EB7" w:rsidRPr="007A35C6" w:rsidRDefault="009D4EB7" w:rsidP="00155715">
            <w:pPr>
              <w:jc w:val="both"/>
              <w:cnfStyle w:val="000000100000" w:firstRow="0" w:lastRow="0" w:firstColumn="0" w:lastColumn="0" w:oddVBand="0" w:evenVBand="0" w:oddHBand="1" w:evenHBand="0" w:firstRowFirstColumn="0" w:firstRowLastColumn="0" w:lastRowFirstColumn="0" w:lastRowLastColumn="0"/>
              <w:rPr>
                <w:color w:val="000000"/>
                <w:sz w:val="20"/>
                <w:szCs w:val="20"/>
              </w:rPr>
            </w:pPr>
            <w:r w:rsidRPr="007A35C6">
              <w:rPr>
                <w:color w:val="000000"/>
                <w:sz w:val="20"/>
                <w:szCs w:val="20"/>
              </w:rPr>
              <w:t>Portugal</w:t>
            </w:r>
          </w:p>
        </w:tc>
      </w:tr>
      <w:tr w:rsidR="00381A9C" w:rsidRPr="007A35C6" w14:paraId="2F962644" w14:textId="77777777" w:rsidTr="007A35C6">
        <w:trPr>
          <w:trHeight w:val="283"/>
          <w:jc w:val="center"/>
        </w:trPr>
        <w:tc>
          <w:tcPr>
            <w:cnfStyle w:val="001000000000" w:firstRow="0" w:lastRow="0" w:firstColumn="1" w:lastColumn="0" w:oddVBand="0" w:evenVBand="0" w:oddHBand="0" w:evenHBand="0" w:firstRowFirstColumn="0" w:firstRowLastColumn="0" w:lastRowFirstColumn="0" w:lastRowLastColumn="0"/>
            <w:tcW w:w="1509" w:type="dxa"/>
            <w:shd w:val="clear" w:color="auto" w:fill="auto"/>
            <w:noWrap/>
            <w:hideMark/>
          </w:tcPr>
          <w:p w14:paraId="40D79829" w14:textId="77777777" w:rsidR="009D4EB7" w:rsidRPr="007A35C6" w:rsidRDefault="009D4EB7" w:rsidP="00155715">
            <w:pPr>
              <w:jc w:val="both"/>
              <w:rPr>
                <w:b w:val="0"/>
                <w:bCs w:val="0"/>
                <w:color w:val="000000"/>
                <w:sz w:val="20"/>
                <w:szCs w:val="20"/>
              </w:rPr>
            </w:pPr>
            <w:r w:rsidRPr="007A35C6">
              <w:rPr>
                <w:b w:val="0"/>
                <w:bCs w:val="0"/>
                <w:color w:val="000000"/>
                <w:sz w:val="20"/>
                <w:szCs w:val="20"/>
              </w:rPr>
              <w:t>Ecuador</w:t>
            </w:r>
          </w:p>
        </w:tc>
        <w:tc>
          <w:tcPr>
            <w:tcW w:w="2004" w:type="dxa"/>
            <w:shd w:val="clear" w:color="auto" w:fill="auto"/>
            <w:noWrap/>
            <w:hideMark/>
          </w:tcPr>
          <w:p w14:paraId="29F536E3" w14:textId="77777777" w:rsidR="009D4EB7" w:rsidRPr="007A35C6" w:rsidRDefault="009D4EB7" w:rsidP="00155715">
            <w:pPr>
              <w:jc w:val="both"/>
              <w:cnfStyle w:val="000000000000" w:firstRow="0" w:lastRow="0" w:firstColumn="0" w:lastColumn="0" w:oddVBand="0" w:evenVBand="0" w:oddHBand="0" w:evenHBand="0" w:firstRowFirstColumn="0" w:firstRowLastColumn="0" w:lastRowFirstColumn="0" w:lastRowLastColumn="0"/>
              <w:rPr>
                <w:color w:val="000000"/>
                <w:sz w:val="20"/>
                <w:szCs w:val="20"/>
              </w:rPr>
            </w:pPr>
            <w:r w:rsidRPr="007A35C6">
              <w:rPr>
                <w:color w:val="000000"/>
                <w:sz w:val="20"/>
                <w:szCs w:val="20"/>
              </w:rPr>
              <w:t>Canadá</w:t>
            </w:r>
          </w:p>
        </w:tc>
        <w:tc>
          <w:tcPr>
            <w:tcW w:w="1848" w:type="dxa"/>
            <w:shd w:val="clear" w:color="auto" w:fill="auto"/>
            <w:noWrap/>
            <w:hideMark/>
          </w:tcPr>
          <w:p w14:paraId="3F475BB6" w14:textId="77777777" w:rsidR="009D4EB7" w:rsidRPr="007A35C6" w:rsidRDefault="009D4EB7" w:rsidP="00155715">
            <w:pPr>
              <w:jc w:val="both"/>
              <w:cnfStyle w:val="000000000000" w:firstRow="0" w:lastRow="0" w:firstColumn="0" w:lastColumn="0" w:oddVBand="0" w:evenVBand="0" w:oddHBand="0" w:evenHBand="0" w:firstRowFirstColumn="0" w:firstRowLastColumn="0" w:lastRowFirstColumn="0" w:lastRowLastColumn="0"/>
              <w:rPr>
                <w:color w:val="000000"/>
                <w:sz w:val="20"/>
                <w:szCs w:val="20"/>
              </w:rPr>
            </w:pPr>
            <w:r w:rsidRPr="007A35C6">
              <w:rPr>
                <w:color w:val="000000"/>
                <w:sz w:val="20"/>
                <w:szCs w:val="20"/>
              </w:rPr>
              <w:t>Reino Unido</w:t>
            </w:r>
          </w:p>
        </w:tc>
      </w:tr>
      <w:tr w:rsidR="00381A9C" w:rsidRPr="007A35C6" w14:paraId="3713A0EA" w14:textId="77777777" w:rsidTr="007A35C6">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509" w:type="dxa"/>
            <w:shd w:val="clear" w:color="auto" w:fill="auto"/>
            <w:noWrap/>
            <w:hideMark/>
          </w:tcPr>
          <w:p w14:paraId="2E46CDAE" w14:textId="77777777" w:rsidR="009D4EB7" w:rsidRPr="007A35C6" w:rsidRDefault="009D4EB7" w:rsidP="00155715">
            <w:pPr>
              <w:jc w:val="both"/>
              <w:rPr>
                <w:b w:val="0"/>
                <w:bCs w:val="0"/>
                <w:color w:val="000000"/>
                <w:sz w:val="20"/>
                <w:szCs w:val="20"/>
              </w:rPr>
            </w:pPr>
            <w:r w:rsidRPr="007A35C6">
              <w:rPr>
                <w:b w:val="0"/>
                <w:bCs w:val="0"/>
                <w:color w:val="000000"/>
                <w:sz w:val="20"/>
                <w:szCs w:val="20"/>
              </w:rPr>
              <w:t>Perú</w:t>
            </w:r>
          </w:p>
        </w:tc>
        <w:tc>
          <w:tcPr>
            <w:tcW w:w="2004" w:type="dxa"/>
            <w:shd w:val="clear" w:color="auto" w:fill="auto"/>
            <w:noWrap/>
            <w:hideMark/>
          </w:tcPr>
          <w:p w14:paraId="6D4D50EB" w14:textId="77777777" w:rsidR="009D4EB7" w:rsidRPr="007A35C6" w:rsidRDefault="009D4EB7" w:rsidP="00155715">
            <w:pPr>
              <w:jc w:val="both"/>
              <w:cnfStyle w:val="000000100000" w:firstRow="0" w:lastRow="0" w:firstColumn="0" w:lastColumn="0" w:oddVBand="0" w:evenVBand="0" w:oddHBand="1" w:evenHBand="0" w:firstRowFirstColumn="0" w:firstRowLastColumn="0" w:lastRowFirstColumn="0" w:lastRowLastColumn="0"/>
              <w:rPr>
                <w:color w:val="000000"/>
                <w:sz w:val="20"/>
                <w:szCs w:val="20"/>
              </w:rPr>
            </w:pPr>
            <w:r w:rsidRPr="007A35C6">
              <w:rPr>
                <w:color w:val="000000"/>
                <w:sz w:val="20"/>
                <w:szCs w:val="20"/>
              </w:rPr>
              <w:t>México</w:t>
            </w:r>
          </w:p>
        </w:tc>
        <w:tc>
          <w:tcPr>
            <w:tcW w:w="1848" w:type="dxa"/>
            <w:shd w:val="clear" w:color="auto" w:fill="auto"/>
            <w:noWrap/>
            <w:hideMark/>
          </w:tcPr>
          <w:p w14:paraId="4A2636DD" w14:textId="77777777" w:rsidR="009D4EB7" w:rsidRPr="007A35C6" w:rsidRDefault="009D4EB7" w:rsidP="00155715">
            <w:pPr>
              <w:jc w:val="both"/>
              <w:cnfStyle w:val="000000100000" w:firstRow="0" w:lastRow="0" w:firstColumn="0" w:lastColumn="0" w:oddVBand="0" w:evenVBand="0" w:oddHBand="1" w:evenHBand="0" w:firstRowFirstColumn="0" w:firstRowLastColumn="0" w:lastRowFirstColumn="0" w:lastRowLastColumn="0"/>
              <w:rPr>
                <w:color w:val="000000"/>
                <w:sz w:val="20"/>
                <w:szCs w:val="20"/>
              </w:rPr>
            </w:pPr>
            <w:r w:rsidRPr="007A35C6">
              <w:rPr>
                <w:color w:val="000000"/>
                <w:sz w:val="20"/>
                <w:szCs w:val="20"/>
              </w:rPr>
              <w:t>Italia</w:t>
            </w:r>
          </w:p>
        </w:tc>
      </w:tr>
      <w:tr w:rsidR="00381A9C" w:rsidRPr="007A35C6" w14:paraId="0731E3F6" w14:textId="77777777" w:rsidTr="007A35C6">
        <w:trPr>
          <w:trHeight w:val="283"/>
          <w:jc w:val="center"/>
        </w:trPr>
        <w:tc>
          <w:tcPr>
            <w:cnfStyle w:val="001000000000" w:firstRow="0" w:lastRow="0" w:firstColumn="1" w:lastColumn="0" w:oddVBand="0" w:evenVBand="0" w:oddHBand="0" w:evenHBand="0" w:firstRowFirstColumn="0" w:firstRowLastColumn="0" w:lastRowFirstColumn="0" w:lastRowLastColumn="0"/>
            <w:tcW w:w="1509" w:type="dxa"/>
            <w:shd w:val="clear" w:color="auto" w:fill="auto"/>
            <w:noWrap/>
            <w:hideMark/>
          </w:tcPr>
          <w:p w14:paraId="071108AD" w14:textId="77777777" w:rsidR="009D4EB7" w:rsidRPr="007A35C6" w:rsidRDefault="009D4EB7" w:rsidP="00155715">
            <w:pPr>
              <w:jc w:val="both"/>
              <w:rPr>
                <w:b w:val="0"/>
                <w:bCs w:val="0"/>
                <w:color w:val="000000"/>
                <w:sz w:val="20"/>
                <w:szCs w:val="20"/>
              </w:rPr>
            </w:pPr>
            <w:r w:rsidRPr="007A35C6">
              <w:rPr>
                <w:b w:val="0"/>
                <w:bCs w:val="0"/>
                <w:color w:val="000000"/>
                <w:sz w:val="20"/>
                <w:szCs w:val="20"/>
              </w:rPr>
              <w:t>España</w:t>
            </w:r>
          </w:p>
        </w:tc>
        <w:tc>
          <w:tcPr>
            <w:tcW w:w="2004" w:type="dxa"/>
            <w:shd w:val="clear" w:color="auto" w:fill="auto"/>
            <w:noWrap/>
            <w:hideMark/>
          </w:tcPr>
          <w:p w14:paraId="33869C41" w14:textId="77777777" w:rsidR="009D4EB7" w:rsidRPr="007A35C6" w:rsidRDefault="009D4EB7" w:rsidP="00155715">
            <w:pPr>
              <w:jc w:val="both"/>
              <w:cnfStyle w:val="000000000000" w:firstRow="0" w:lastRow="0" w:firstColumn="0" w:lastColumn="0" w:oddVBand="0" w:evenVBand="0" w:oddHBand="0" w:evenHBand="0" w:firstRowFirstColumn="0" w:firstRowLastColumn="0" w:lastRowFirstColumn="0" w:lastRowLastColumn="0"/>
              <w:rPr>
                <w:color w:val="000000"/>
                <w:sz w:val="20"/>
                <w:szCs w:val="20"/>
              </w:rPr>
            </w:pPr>
            <w:r w:rsidRPr="007A35C6">
              <w:rPr>
                <w:color w:val="000000"/>
                <w:sz w:val="20"/>
                <w:szCs w:val="20"/>
              </w:rPr>
              <w:t>República de Corea</w:t>
            </w:r>
          </w:p>
        </w:tc>
        <w:tc>
          <w:tcPr>
            <w:tcW w:w="1848" w:type="dxa"/>
            <w:shd w:val="clear" w:color="auto" w:fill="auto"/>
            <w:noWrap/>
            <w:hideMark/>
          </w:tcPr>
          <w:p w14:paraId="4E25476C" w14:textId="77777777" w:rsidR="009D4EB7" w:rsidRPr="007A35C6" w:rsidRDefault="009D4EB7" w:rsidP="00155715">
            <w:pPr>
              <w:jc w:val="both"/>
              <w:cnfStyle w:val="000000000000" w:firstRow="0" w:lastRow="0" w:firstColumn="0" w:lastColumn="0" w:oddVBand="0" w:evenVBand="0" w:oddHBand="0" w:evenHBand="0" w:firstRowFirstColumn="0" w:firstRowLastColumn="0" w:lastRowFirstColumn="0" w:lastRowLastColumn="0"/>
              <w:rPr>
                <w:color w:val="000000"/>
                <w:sz w:val="20"/>
                <w:szCs w:val="20"/>
              </w:rPr>
            </w:pPr>
            <w:r w:rsidRPr="007A35C6">
              <w:rPr>
                <w:color w:val="000000"/>
                <w:sz w:val="20"/>
                <w:szCs w:val="20"/>
              </w:rPr>
              <w:t>Francia</w:t>
            </w:r>
          </w:p>
        </w:tc>
      </w:tr>
      <w:tr w:rsidR="00381A9C" w:rsidRPr="007A35C6" w14:paraId="5D68716F" w14:textId="77777777" w:rsidTr="007A35C6">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509" w:type="dxa"/>
            <w:shd w:val="clear" w:color="auto" w:fill="auto"/>
            <w:noWrap/>
            <w:hideMark/>
          </w:tcPr>
          <w:p w14:paraId="20031329" w14:textId="77777777" w:rsidR="009D4EB7" w:rsidRPr="007A35C6" w:rsidRDefault="009D4EB7" w:rsidP="00155715">
            <w:pPr>
              <w:jc w:val="both"/>
              <w:rPr>
                <w:b w:val="0"/>
                <w:bCs w:val="0"/>
                <w:color w:val="000000"/>
                <w:sz w:val="20"/>
                <w:szCs w:val="20"/>
              </w:rPr>
            </w:pPr>
            <w:r w:rsidRPr="007A35C6">
              <w:rPr>
                <w:b w:val="0"/>
                <w:bCs w:val="0"/>
                <w:color w:val="000000"/>
                <w:sz w:val="20"/>
                <w:szCs w:val="20"/>
              </w:rPr>
              <w:t>Chile</w:t>
            </w:r>
          </w:p>
        </w:tc>
        <w:tc>
          <w:tcPr>
            <w:tcW w:w="2004" w:type="dxa"/>
            <w:shd w:val="clear" w:color="auto" w:fill="auto"/>
            <w:noWrap/>
            <w:hideMark/>
          </w:tcPr>
          <w:p w14:paraId="3102C79D" w14:textId="77777777" w:rsidR="009D4EB7" w:rsidRPr="007A35C6" w:rsidRDefault="009D4EB7" w:rsidP="00155715">
            <w:pPr>
              <w:jc w:val="both"/>
              <w:cnfStyle w:val="000000100000" w:firstRow="0" w:lastRow="0" w:firstColumn="0" w:lastColumn="0" w:oddVBand="0" w:evenVBand="0" w:oddHBand="1" w:evenHBand="0" w:firstRowFirstColumn="0" w:firstRowLastColumn="0" w:lastRowFirstColumn="0" w:lastRowLastColumn="0"/>
              <w:rPr>
                <w:color w:val="000000"/>
                <w:sz w:val="20"/>
                <w:szCs w:val="20"/>
              </w:rPr>
            </w:pPr>
            <w:r w:rsidRPr="007A35C6">
              <w:rPr>
                <w:color w:val="000000"/>
                <w:sz w:val="20"/>
                <w:szCs w:val="20"/>
              </w:rPr>
              <w:t>India</w:t>
            </w:r>
          </w:p>
        </w:tc>
        <w:tc>
          <w:tcPr>
            <w:tcW w:w="1848" w:type="dxa"/>
            <w:shd w:val="clear" w:color="auto" w:fill="auto"/>
            <w:noWrap/>
            <w:hideMark/>
          </w:tcPr>
          <w:p w14:paraId="52B0A2F5" w14:textId="77777777" w:rsidR="009D4EB7" w:rsidRPr="007A35C6" w:rsidRDefault="009D4EB7" w:rsidP="00155715">
            <w:pPr>
              <w:jc w:val="both"/>
              <w:cnfStyle w:val="000000100000" w:firstRow="0" w:lastRow="0" w:firstColumn="0" w:lastColumn="0" w:oddVBand="0" w:evenVBand="0" w:oddHBand="1" w:evenHBand="0" w:firstRowFirstColumn="0" w:firstRowLastColumn="0" w:lastRowFirstColumn="0" w:lastRowLastColumn="0"/>
              <w:rPr>
                <w:color w:val="000000"/>
                <w:sz w:val="20"/>
                <w:szCs w:val="20"/>
              </w:rPr>
            </w:pPr>
            <w:r w:rsidRPr="007A35C6">
              <w:rPr>
                <w:color w:val="000000"/>
                <w:sz w:val="20"/>
                <w:szCs w:val="20"/>
              </w:rPr>
              <w:t>Japón</w:t>
            </w:r>
          </w:p>
        </w:tc>
      </w:tr>
    </w:tbl>
    <w:p w14:paraId="76D17A4A" w14:textId="4F245A49" w:rsidR="007A483E" w:rsidRPr="00AB18D4" w:rsidRDefault="007A483E" w:rsidP="00960D3F">
      <w:pPr>
        <w:pStyle w:val="Caption"/>
        <w:keepNext/>
        <w:jc w:val="center"/>
        <w:rPr>
          <w:rFonts w:ascii="Garamond" w:hAnsi="Garamond"/>
          <w:color w:val="404040" w:themeColor="text1" w:themeTint="BF"/>
          <w:sz w:val="22"/>
          <w:szCs w:val="22"/>
          <w:lang w:val="es-ES"/>
        </w:rPr>
      </w:pPr>
      <w:r w:rsidRPr="00AB18D4">
        <w:rPr>
          <w:rFonts w:ascii="Garamond" w:hAnsi="Garamond"/>
          <w:color w:val="404040" w:themeColor="text1" w:themeTint="BF"/>
          <w:sz w:val="22"/>
          <w:szCs w:val="22"/>
          <w:lang w:val="es-ES"/>
        </w:rPr>
        <w:lastRenderedPageBreak/>
        <w:t xml:space="preserve">Tabla </w:t>
      </w:r>
      <w:r w:rsidRPr="00AB18D4">
        <w:rPr>
          <w:rFonts w:ascii="Garamond" w:hAnsi="Garamond"/>
          <w:color w:val="404040" w:themeColor="text1" w:themeTint="BF"/>
          <w:sz w:val="22"/>
          <w:szCs w:val="22"/>
        </w:rPr>
        <w:fldChar w:fldCharType="begin"/>
      </w:r>
      <w:r w:rsidRPr="00AB18D4">
        <w:rPr>
          <w:rFonts w:ascii="Garamond" w:hAnsi="Garamond"/>
          <w:color w:val="404040" w:themeColor="text1" w:themeTint="BF"/>
          <w:sz w:val="22"/>
          <w:szCs w:val="22"/>
          <w:lang w:val="es-ES"/>
        </w:rPr>
        <w:instrText xml:space="preserve"> SEQ Tabla \* ARABIC </w:instrText>
      </w:r>
      <w:r w:rsidRPr="00AB18D4">
        <w:rPr>
          <w:rFonts w:ascii="Garamond" w:hAnsi="Garamond"/>
          <w:color w:val="404040" w:themeColor="text1" w:themeTint="BF"/>
          <w:sz w:val="22"/>
          <w:szCs w:val="22"/>
        </w:rPr>
        <w:fldChar w:fldCharType="separate"/>
      </w:r>
      <w:r w:rsidR="00B74590">
        <w:rPr>
          <w:rFonts w:ascii="Garamond" w:hAnsi="Garamond"/>
          <w:noProof/>
          <w:color w:val="404040" w:themeColor="text1" w:themeTint="BF"/>
          <w:sz w:val="22"/>
          <w:szCs w:val="22"/>
          <w:lang w:val="es-ES"/>
        </w:rPr>
        <w:t>2</w:t>
      </w:r>
      <w:r w:rsidRPr="00AB18D4">
        <w:rPr>
          <w:rFonts w:ascii="Garamond" w:hAnsi="Garamond"/>
          <w:color w:val="404040" w:themeColor="text1" w:themeTint="BF"/>
          <w:sz w:val="22"/>
          <w:szCs w:val="22"/>
        </w:rPr>
        <w:fldChar w:fldCharType="end"/>
      </w:r>
      <w:r w:rsidRPr="00AB18D4">
        <w:rPr>
          <w:rFonts w:ascii="Garamond" w:hAnsi="Garamond"/>
          <w:color w:val="404040" w:themeColor="text1" w:themeTint="BF"/>
          <w:sz w:val="22"/>
          <w:szCs w:val="22"/>
          <w:lang w:val="es-ES"/>
        </w:rPr>
        <w:t>. Países del grupo de Control</w:t>
      </w:r>
    </w:p>
    <w:tbl>
      <w:tblPr>
        <w:tblStyle w:val="ListTable6Colorful"/>
        <w:tblW w:w="8033" w:type="dxa"/>
        <w:jc w:val="center"/>
        <w:tblLook w:val="04A0" w:firstRow="1" w:lastRow="0" w:firstColumn="1" w:lastColumn="0" w:noHBand="0" w:noVBand="1"/>
      </w:tblPr>
      <w:tblGrid>
        <w:gridCol w:w="1701"/>
        <w:gridCol w:w="1980"/>
        <w:gridCol w:w="2698"/>
        <w:gridCol w:w="1654"/>
      </w:tblGrid>
      <w:tr w:rsidR="003A18B5" w:rsidRPr="00086F01" w14:paraId="4B3CEB12" w14:textId="77777777" w:rsidTr="00960D3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033" w:type="dxa"/>
            <w:gridSpan w:val="4"/>
            <w:noWrap/>
          </w:tcPr>
          <w:p w14:paraId="44FD79F8" w14:textId="0129708A" w:rsidR="003A18B5" w:rsidRPr="007A35C6" w:rsidRDefault="003A18B5">
            <w:pPr>
              <w:jc w:val="center"/>
              <w:rPr>
                <w:color w:val="000000"/>
                <w:sz w:val="20"/>
                <w:szCs w:val="20"/>
                <w:lang w:val="es-ES"/>
              </w:rPr>
            </w:pPr>
            <w:r w:rsidRPr="007A35C6">
              <w:rPr>
                <w:color w:val="000000"/>
                <w:sz w:val="20"/>
                <w:szCs w:val="20"/>
                <w:lang w:val="es-ES_tradnl"/>
              </w:rPr>
              <w:t>Países del grupo de Control</w:t>
            </w:r>
          </w:p>
        </w:tc>
      </w:tr>
      <w:tr w:rsidR="003A18B5" w:rsidRPr="007A35C6" w14:paraId="18A139BE" w14:textId="77777777" w:rsidTr="00960D3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14:paraId="5F5EF628" w14:textId="77777777" w:rsidR="003A18B5" w:rsidRPr="007A35C6" w:rsidRDefault="003A18B5" w:rsidP="003A18B5">
            <w:pPr>
              <w:rPr>
                <w:b w:val="0"/>
                <w:bCs w:val="0"/>
                <w:color w:val="000000"/>
                <w:sz w:val="20"/>
                <w:szCs w:val="20"/>
              </w:rPr>
            </w:pPr>
            <w:proofErr w:type="spellStart"/>
            <w:r w:rsidRPr="007A35C6">
              <w:rPr>
                <w:b w:val="0"/>
                <w:bCs w:val="0"/>
                <w:color w:val="000000"/>
                <w:sz w:val="20"/>
                <w:szCs w:val="20"/>
              </w:rPr>
              <w:t>Alemania</w:t>
            </w:r>
            <w:proofErr w:type="spellEnd"/>
          </w:p>
        </w:tc>
        <w:tc>
          <w:tcPr>
            <w:tcW w:w="1980" w:type="dxa"/>
            <w:shd w:val="clear" w:color="auto" w:fill="auto"/>
            <w:noWrap/>
            <w:hideMark/>
          </w:tcPr>
          <w:p w14:paraId="591638B1" w14:textId="77777777" w:rsidR="003A18B5" w:rsidRPr="007A35C6" w:rsidRDefault="003A18B5" w:rsidP="003A18B5">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7A35C6">
              <w:rPr>
                <w:color w:val="000000"/>
                <w:sz w:val="20"/>
                <w:szCs w:val="20"/>
              </w:rPr>
              <w:t>Bélgica</w:t>
            </w:r>
          </w:p>
        </w:tc>
        <w:tc>
          <w:tcPr>
            <w:tcW w:w="2698" w:type="dxa"/>
            <w:shd w:val="clear" w:color="auto" w:fill="auto"/>
            <w:noWrap/>
            <w:hideMark/>
          </w:tcPr>
          <w:p w14:paraId="4489C82D" w14:textId="77777777" w:rsidR="003A18B5" w:rsidRPr="007A35C6" w:rsidRDefault="003A18B5" w:rsidP="003A18B5">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7A35C6">
              <w:rPr>
                <w:color w:val="000000"/>
                <w:sz w:val="20"/>
                <w:szCs w:val="20"/>
              </w:rPr>
              <w:t>Hong Kong</w:t>
            </w:r>
          </w:p>
        </w:tc>
        <w:tc>
          <w:tcPr>
            <w:tcW w:w="1654" w:type="dxa"/>
            <w:shd w:val="clear" w:color="auto" w:fill="auto"/>
            <w:noWrap/>
            <w:hideMark/>
          </w:tcPr>
          <w:p w14:paraId="74D13312" w14:textId="77777777" w:rsidR="003A18B5" w:rsidRPr="007A35C6" w:rsidRDefault="003A18B5" w:rsidP="003A18B5">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7A35C6">
              <w:rPr>
                <w:color w:val="000000"/>
                <w:sz w:val="20"/>
                <w:szCs w:val="20"/>
              </w:rPr>
              <w:t>Países Bajos</w:t>
            </w:r>
          </w:p>
        </w:tc>
      </w:tr>
      <w:tr w:rsidR="003A18B5" w:rsidRPr="007A35C6" w14:paraId="14CDA925" w14:textId="77777777" w:rsidTr="00960D3F">
        <w:trPr>
          <w:trHeight w:val="30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14:paraId="7C30FFC4" w14:textId="77777777" w:rsidR="003A18B5" w:rsidRPr="007A35C6" w:rsidRDefault="003A18B5" w:rsidP="003A18B5">
            <w:pPr>
              <w:rPr>
                <w:b w:val="0"/>
                <w:bCs w:val="0"/>
                <w:color w:val="000000"/>
                <w:sz w:val="20"/>
                <w:szCs w:val="20"/>
              </w:rPr>
            </w:pPr>
            <w:r w:rsidRPr="007A35C6">
              <w:rPr>
                <w:b w:val="0"/>
                <w:bCs w:val="0"/>
                <w:color w:val="000000"/>
                <w:sz w:val="20"/>
                <w:szCs w:val="20"/>
              </w:rPr>
              <w:t>Anguilla</w:t>
            </w:r>
          </w:p>
        </w:tc>
        <w:tc>
          <w:tcPr>
            <w:tcW w:w="1980" w:type="dxa"/>
            <w:shd w:val="clear" w:color="auto" w:fill="auto"/>
            <w:noWrap/>
            <w:hideMark/>
          </w:tcPr>
          <w:p w14:paraId="7ED108EC" w14:textId="77777777" w:rsidR="003A18B5" w:rsidRPr="007A35C6" w:rsidRDefault="003A18B5" w:rsidP="003A18B5">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7A35C6">
              <w:rPr>
                <w:color w:val="000000"/>
                <w:sz w:val="20"/>
                <w:szCs w:val="20"/>
              </w:rPr>
              <w:t>Bermudas</w:t>
            </w:r>
          </w:p>
        </w:tc>
        <w:tc>
          <w:tcPr>
            <w:tcW w:w="2698" w:type="dxa"/>
            <w:shd w:val="clear" w:color="auto" w:fill="auto"/>
            <w:noWrap/>
            <w:hideMark/>
          </w:tcPr>
          <w:p w14:paraId="34503634" w14:textId="77777777" w:rsidR="003A18B5" w:rsidRPr="007A35C6" w:rsidRDefault="003A18B5" w:rsidP="003A18B5">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7A35C6">
              <w:rPr>
                <w:color w:val="000000"/>
                <w:sz w:val="20"/>
                <w:szCs w:val="20"/>
              </w:rPr>
              <w:t>Irlanda</w:t>
            </w:r>
          </w:p>
        </w:tc>
        <w:tc>
          <w:tcPr>
            <w:tcW w:w="1654" w:type="dxa"/>
            <w:shd w:val="clear" w:color="auto" w:fill="auto"/>
            <w:noWrap/>
            <w:hideMark/>
          </w:tcPr>
          <w:p w14:paraId="043C3519" w14:textId="77777777" w:rsidR="003A18B5" w:rsidRPr="007A35C6" w:rsidRDefault="003A18B5" w:rsidP="003A18B5">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7A35C6">
              <w:rPr>
                <w:color w:val="000000"/>
                <w:sz w:val="20"/>
                <w:szCs w:val="20"/>
              </w:rPr>
              <w:t>Panamá</w:t>
            </w:r>
          </w:p>
        </w:tc>
      </w:tr>
      <w:tr w:rsidR="003A18B5" w:rsidRPr="007A35C6" w14:paraId="3A56C044" w14:textId="77777777" w:rsidTr="00960D3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14:paraId="30DEB899" w14:textId="77777777" w:rsidR="003A18B5" w:rsidRPr="007A35C6" w:rsidRDefault="003A18B5" w:rsidP="003A18B5">
            <w:pPr>
              <w:rPr>
                <w:b w:val="0"/>
                <w:bCs w:val="0"/>
                <w:color w:val="000000"/>
                <w:sz w:val="20"/>
                <w:szCs w:val="20"/>
              </w:rPr>
            </w:pPr>
            <w:r w:rsidRPr="007A35C6">
              <w:rPr>
                <w:b w:val="0"/>
                <w:bCs w:val="0"/>
                <w:color w:val="000000"/>
                <w:sz w:val="20"/>
                <w:szCs w:val="20"/>
              </w:rPr>
              <w:t>Argentina</w:t>
            </w:r>
          </w:p>
        </w:tc>
        <w:tc>
          <w:tcPr>
            <w:tcW w:w="1980" w:type="dxa"/>
            <w:shd w:val="clear" w:color="auto" w:fill="auto"/>
            <w:noWrap/>
            <w:hideMark/>
          </w:tcPr>
          <w:p w14:paraId="6B5C9C59" w14:textId="77777777" w:rsidR="003A18B5" w:rsidRPr="007A35C6" w:rsidRDefault="003A18B5" w:rsidP="003A18B5">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7A35C6">
              <w:rPr>
                <w:color w:val="000000"/>
                <w:sz w:val="20"/>
                <w:szCs w:val="20"/>
              </w:rPr>
              <w:t>Brasil</w:t>
            </w:r>
          </w:p>
        </w:tc>
        <w:tc>
          <w:tcPr>
            <w:tcW w:w="2698" w:type="dxa"/>
            <w:shd w:val="clear" w:color="auto" w:fill="auto"/>
            <w:noWrap/>
            <w:hideMark/>
          </w:tcPr>
          <w:p w14:paraId="5AE6E935" w14:textId="77777777" w:rsidR="003A18B5" w:rsidRPr="007A35C6" w:rsidRDefault="003A18B5" w:rsidP="003A18B5">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7A35C6">
              <w:rPr>
                <w:color w:val="000000"/>
                <w:sz w:val="20"/>
                <w:szCs w:val="20"/>
              </w:rPr>
              <w:t>Islas Caimán</w:t>
            </w:r>
          </w:p>
        </w:tc>
        <w:tc>
          <w:tcPr>
            <w:tcW w:w="1654" w:type="dxa"/>
            <w:shd w:val="clear" w:color="auto" w:fill="auto"/>
            <w:noWrap/>
            <w:hideMark/>
          </w:tcPr>
          <w:p w14:paraId="678D7F3A" w14:textId="77777777" w:rsidR="003A18B5" w:rsidRPr="007A35C6" w:rsidRDefault="003A18B5" w:rsidP="003A18B5">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7A35C6">
              <w:rPr>
                <w:color w:val="000000"/>
                <w:sz w:val="20"/>
                <w:szCs w:val="20"/>
              </w:rPr>
              <w:t>Singapur</w:t>
            </w:r>
          </w:p>
        </w:tc>
      </w:tr>
      <w:tr w:rsidR="003A18B5" w:rsidRPr="007A35C6" w14:paraId="2E90F9A9" w14:textId="77777777" w:rsidTr="00960D3F">
        <w:trPr>
          <w:trHeight w:val="30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14:paraId="2D1AD5A2" w14:textId="77777777" w:rsidR="003A18B5" w:rsidRPr="007A35C6" w:rsidRDefault="003A18B5" w:rsidP="003A18B5">
            <w:pPr>
              <w:rPr>
                <w:b w:val="0"/>
                <w:bCs w:val="0"/>
                <w:color w:val="000000"/>
                <w:sz w:val="20"/>
                <w:szCs w:val="20"/>
              </w:rPr>
            </w:pPr>
            <w:r w:rsidRPr="007A35C6">
              <w:rPr>
                <w:b w:val="0"/>
                <w:bCs w:val="0"/>
                <w:color w:val="000000"/>
                <w:sz w:val="20"/>
                <w:szCs w:val="20"/>
              </w:rPr>
              <w:t>Australia</w:t>
            </w:r>
          </w:p>
        </w:tc>
        <w:tc>
          <w:tcPr>
            <w:tcW w:w="1980" w:type="dxa"/>
            <w:shd w:val="clear" w:color="auto" w:fill="auto"/>
            <w:noWrap/>
            <w:hideMark/>
          </w:tcPr>
          <w:p w14:paraId="79827506" w14:textId="77777777" w:rsidR="003A18B5" w:rsidRPr="007A35C6" w:rsidRDefault="003A18B5" w:rsidP="003A18B5">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7A35C6">
              <w:rPr>
                <w:color w:val="000000"/>
                <w:sz w:val="20"/>
                <w:szCs w:val="20"/>
              </w:rPr>
              <w:t>China</w:t>
            </w:r>
          </w:p>
        </w:tc>
        <w:tc>
          <w:tcPr>
            <w:tcW w:w="2698" w:type="dxa"/>
            <w:shd w:val="clear" w:color="auto" w:fill="auto"/>
            <w:noWrap/>
            <w:hideMark/>
          </w:tcPr>
          <w:p w14:paraId="1CD06AD5" w14:textId="77777777" w:rsidR="003A18B5" w:rsidRPr="007A35C6" w:rsidRDefault="003A18B5" w:rsidP="003A18B5">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7A35C6">
              <w:rPr>
                <w:color w:val="000000"/>
                <w:sz w:val="20"/>
                <w:szCs w:val="20"/>
              </w:rPr>
              <w:t>Islas Vírgenes Británicas</w:t>
            </w:r>
          </w:p>
        </w:tc>
        <w:tc>
          <w:tcPr>
            <w:tcW w:w="1654" w:type="dxa"/>
            <w:shd w:val="clear" w:color="auto" w:fill="auto"/>
            <w:noWrap/>
            <w:hideMark/>
          </w:tcPr>
          <w:p w14:paraId="029F2667" w14:textId="77777777" w:rsidR="003A18B5" w:rsidRPr="007A35C6" w:rsidRDefault="003A18B5" w:rsidP="003A18B5">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7A35C6">
              <w:rPr>
                <w:color w:val="000000"/>
                <w:sz w:val="20"/>
                <w:szCs w:val="20"/>
              </w:rPr>
              <w:t>Suecia</w:t>
            </w:r>
          </w:p>
        </w:tc>
      </w:tr>
      <w:tr w:rsidR="003A18B5" w:rsidRPr="007A35C6" w14:paraId="5659F2C6" w14:textId="77777777" w:rsidTr="00960D3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14:paraId="0AC6A3BD" w14:textId="77777777" w:rsidR="003A18B5" w:rsidRPr="007A35C6" w:rsidRDefault="003A18B5" w:rsidP="003A18B5">
            <w:pPr>
              <w:rPr>
                <w:b w:val="0"/>
                <w:bCs w:val="0"/>
                <w:color w:val="000000"/>
                <w:sz w:val="20"/>
                <w:szCs w:val="20"/>
              </w:rPr>
            </w:pPr>
            <w:r w:rsidRPr="007A35C6">
              <w:rPr>
                <w:b w:val="0"/>
                <w:bCs w:val="0"/>
                <w:color w:val="000000"/>
                <w:sz w:val="20"/>
                <w:szCs w:val="20"/>
              </w:rPr>
              <w:t>Austria</w:t>
            </w:r>
          </w:p>
        </w:tc>
        <w:tc>
          <w:tcPr>
            <w:tcW w:w="1980" w:type="dxa"/>
            <w:shd w:val="clear" w:color="auto" w:fill="auto"/>
            <w:noWrap/>
            <w:hideMark/>
          </w:tcPr>
          <w:p w14:paraId="01843DE4" w14:textId="77777777" w:rsidR="003A18B5" w:rsidRPr="007A35C6" w:rsidRDefault="003A18B5" w:rsidP="003A18B5">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7A35C6">
              <w:rPr>
                <w:color w:val="000000"/>
                <w:sz w:val="20"/>
                <w:szCs w:val="20"/>
              </w:rPr>
              <w:t>Costa Rica</w:t>
            </w:r>
          </w:p>
        </w:tc>
        <w:tc>
          <w:tcPr>
            <w:tcW w:w="2698" w:type="dxa"/>
            <w:shd w:val="clear" w:color="auto" w:fill="auto"/>
            <w:noWrap/>
            <w:hideMark/>
          </w:tcPr>
          <w:p w14:paraId="4946F818" w14:textId="77777777" w:rsidR="003A18B5" w:rsidRPr="007A35C6" w:rsidRDefault="003A18B5" w:rsidP="003A18B5">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7A35C6">
              <w:rPr>
                <w:color w:val="000000"/>
                <w:sz w:val="20"/>
                <w:szCs w:val="20"/>
              </w:rPr>
              <w:t>Luxemburgo</w:t>
            </w:r>
          </w:p>
        </w:tc>
        <w:tc>
          <w:tcPr>
            <w:tcW w:w="1654" w:type="dxa"/>
            <w:shd w:val="clear" w:color="auto" w:fill="auto"/>
            <w:noWrap/>
            <w:hideMark/>
          </w:tcPr>
          <w:p w14:paraId="42A88743" w14:textId="77777777" w:rsidR="003A18B5" w:rsidRPr="007A35C6" w:rsidRDefault="003A18B5" w:rsidP="003A18B5">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7A35C6">
              <w:rPr>
                <w:color w:val="000000"/>
                <w:sz w:val="20"/>
                <w:szCs w:val="20"/>
              </w:rPr>
              <w:t>Uruguay</w:t>
            </w:r>
          </w:p>
        </w:tc>
      </w:tr>
      <w:tr w:rsidR="003A18B5" w:rsidRPr="007A35C6" w14:paraId="2CB4B61A" w14:textId="77777777" w:rsidTr="00960D3F">
        <w:trPr>
          <w:trHeight w:val="30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14:paraId="53C3832D" w14:textId="77777777" w:rsidR="003A18B5" w:rsidRPr="007A35C6" w:rsidRDefault="003A18B5" w:rsidP="003A18B5">
            <w:pPr>
              <w:rPr>
                <w:b w:val="0"/>
                <w:bCs w:val="0"/>
                <w:color w:val="000000"/>
                <w:sz w:val="20"/>
                <w:szCs w:val="20"/>
              </w:rPr>
            </w:pPr>
            <w:r w:rsidRPr="007A35C6">
              <w:rPr>
                <w:b w:val="0"/>
                <w:bCs w:val="0"/>
                <w:color w:val="000000"/>
                <w:sz w:val="20"/>
                <w:szCs w:val="20"/>
              </w:rPr>
              <w:t>Bahamas</w:t>
            </w:r>
          </w:p>
        </w:tc>
        <w:tc>
          <w:tcPr>
            <w:tcW w:w="1980" w:type="dxa"/>
            <w:shd w:val="clear" w:color="auto" w:fill="auto"/>
            <w:noWrap/>
            <w:hideMark/>
          </w:tcPr>
          <w:p w14:paraId="0E8C28BF" w14:textId="77777777" w:rsidR="003A18B5" w:rsidRPr="007A35C6" w:rsidRDefault="003A18B5" w:rsidP="003A18B5">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7A35C6">
              <w:rPr>
                <w:color w:val="000000"/>
                <w:sz w:val="20"/>
                <w:szCs w:val="20"/>
              </w:rPr>
              <w:t>Dinamarca</w:t>
            </w:r>
          </w:p>
        </w:tc>
        <w:tc>
          <w:tcPr>
            <w:tcW w:w="2698" w:type="dxa"/>
            <w:shd w:val="clear" w:color="auto" w:fill="auto"/>
            <w:noWrap/>
            <w:hideMark/>
          </w:tcPr>
          <w:p w14:paraId="3203E13C" w14:textId="77777777" w:rsidR="003A18B5" w:rsidRPr="007A35C6" w:rsidRDefault="003A18B5" w:rsidP="003A18B5">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7A35C6">
              <w:rPr>
                <w:color w:val="000000"/>
                <w:sz w:val="20"/>
                <w:szCs w:val="20"/>
              </w:rPr>
              <w:t>Noruega</w:t>
            </w:r>
          </w:p>
        </w:tc>
        <w:tc>
          <w:tcPr>
            <w:tcW w:w="1654" w:type="dxa"/>
            <w:shd w:val="clear" w:color="auto" w:fill="auto"/>
            <w:noWrap/>
            <w:hideMark/>
          </w:tcPr>
          <w:p w14:paraId="59E476F7" w14:textId="77777777" w:rsidR="003A18B5" w:rsidRPr="007A35C6" w:rsidRDefault="003A18B5" w:rsidP="003A18B5">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7A35C6">
              <w:rPr>
                <w:color w:val="000000"/>
                <w:sz w:val="20"/>
                <w:szCs w:val="20"/>
              </w:rPr>
              <w:t>Venezuela</w:t>
            </w:r>
          </w:p>
        </w:tc>
      </w:tr>
      <w:tr w:rsidR="003A18B5" w:rsidRPr="007A35C6" w14:paraId="647FBEFF" w14:textId="77777777" w:rsidTr="00960D3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14:paraId="2BBACB27" w14:textId="77777777" w:rsidR="003A18B5" w:rsidRPr="007A35C6" w:rsidRDefault="003A18B5" w:rsidP="003A18B5">
            <w:pPr>
              <w:rPr>
                <w:b w:val="0"/>
                <w:bCs w:val="0"/>
                <w:color w:val="000000"/>
                <w:sz w:val="20"/>
                <w:szCs w:val="20"/>
              </w:rPr>
            </w:pPr>
            <w:r w:rsidRPr="007A35C6">
              <w:rPr>
                <w:b w:val="0"/>
                <w:bCs w:val="0"/>
                <w:color w:val="000000"/>
                <w:sz w:val="20"/>
                <w:szCs w:val="20"/>
              </w:rPr>
              <w:t>Barbados</w:t>
            </w:r>
          </w:p>
        </w:tc>
        <w:tc>
          <w:tcPr>
            <w:tcW w:w="1980" w:type="dxa"/>
            <w:shd w:val="clear" w:color="auto" w:fill="auto"/>
            <w:noWrap/>
            <w:hideMark/>
          </w:tcPr>
          <w:p w14:paraId="38106A7D" w14:textId="77777777" w:rsidR="003A18B5" w:rsidRPr="007A35C6" w:rsidRDefault="003A18B5" w:rsidP="003A18B5">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7A35C6">
              <w:rPr>
                <w:color w:val="000000"/>
                <w:sz w:val="20"/>
                <w:szCs w:val="20"/>
              </w:rPr>
              <w:t>Estados Unidos</w:t>
            </w:r>
          </w:p>
        </w:tc>
        <w:tc>
          <w:tcPr>
            <w:tcW w:w="2698" w:type="dxa"/>
            <w:shd w:val="clear" w:color="auto" w:fill="auto"/>
            <w:noWrap/>
            <w:hideMark/>
          </w:tcPr>
          <w:p w14:paraId="68D216A6" w14:textId="77777777" w:rsidR="003A18B5" w:rsidRPr="007A35C6" w:rsidRDefault="003A18B5" w:rsidP="003A18B5">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654" w:type="dxa"/>
            <w:shd w:val="clear" w:color="auto" w:fill="auto"/>
            <w:noWrap/>
            <w:hideMark/>
          </w:tcPr>
          <w:p w14:paraId="5EBBC4F4" w14:textId="77777777" w:rsidR="003A18B5" w:rsidRPr="007A35C6" w:rsidRDefault="003A18B5" w:rsidP="003A18B5">
            <w:pPr>
              <w:cnfStyle w:val="000000100000" w:firstRow="0" w:lastRow="0" w:firstColumn="0" w:lastColumn="0" w:oddVBand="0" w:evenVBand="0" w:oddHBand="1" w:evenHBand="0" w:firstRowFirstColumn="0" w:firstRowLastColumn="0" w:lastRowFirstColumn="0" w:lastRowLastColumn="0"/>
              <w:rPr>
                <w:sz w:val="20"/>
                <w:szCs w:val="20"/>
              </w:rPr>
            </w:pPr>
          </w:p>
        </w:tc>
      </w:tr>
    </w:tbl>
    <w:p w14:paraId="22220120" w14:textId="77777777" w:rsidR="00CA6CE4" w:rsidRDefault="00CA6CE4" w:rsidP="00155715">
      <w:pPr>
        <w:keepNext/>
        <w:jc w:val="both"/>
      </w:pPr>
    </w:p>
    <w:p w14:paraId="7F404E7B" w14:textId="77777777" w:rsidR="00566BF5" w:rsidRDefault="0022289D" w:rsidP="00155715">
      <w:pPr>
        <w:keepNext/>
        <w:jc w:val="both"/>
        <w:rPr>
          <w:lang w:val="es-ES"/>
        </w:rPr>
      </w:pPr>
      <w:r w:rsidRPr="0022289D">
        <w:rPr>
          <w:lang w:val="es-ES"/>
        </w:rPr>
        <w:t xml:space="preserve">El panel de datos contiene variables </w:t>
      </w:r>
      <w:r>
        <w:rPr>
          <w:lang w:val="es-ES"/>
        </w:rPr>
        <w:t xml:space="preserve">macroeconómicas </w:t>
      </w:r>
      <w:r w:rsidR="00E8703E">
        <w:rPr>
          <w:lang w:val="es-ES"/>
        </w:rPr>
        <w:t>de cada país</w:t>
      </w:r>
      <w:r w:rsidR="00BA6C49">
        <w:rPr>
          <w:lang w:val="es-ES"/>
        </w:rPr>
        <w:t>,</w:t>
      </w:r>
      <w:r w:rsidR="00E8703E">
        <w:rPr>
          <w:lang w:val="es-ES"/>
        </w:rPr>
        <w:t xml:space="preserve"> como el P</w:t>
      </w:r>
      <w:r w:rsidR="00240DBD">
        <w:rPr>
          <w:lang w:val="es-ES"/>
        </w:rPr>
        <w:t>IB</w:t>
      </w:r>
      <w:r w:rsidR="008A4B3E">
        <w:rPr>
          <w:lang w:val="es-ES"/>
        </w:rPr>
        <w:t xml:space="preserve"> </w:t>
      </w:r>
      <w:r w:rsidR="00EF2E4F">
        <w:rPr>
          <w:lang w:val="es-ES"/>
        </w:rPr>
        <w:t>e IPC</w:t>
      </w:r>
      <w:r w:rsidR="00BA6C49">
        <w:rPr>
          <w:lang w:val="es-ES"/>
        </w:rPr>
        <w:t>,</w:t>
      </w:r>
      <w:r w:rsidR="00EF2E4F">
        <w:rPr>
          <w:lang w:val="es-ES"/>
        </w:rPr>
        <w:t xml:space="preserve"> que </w:t>
      </w:r>
      <w:r w:rsidR="003100BA">
        <w:rPr>
          <w:lang w:val="es-ES"/>
        </w:rPr>
        <w:t>muestran</w:t>
      </w:r>
      <w:r w:rsidR="008A4B3E">
        <w:rPr>
          <w:lang w:val="es-ES"/>
        </w:rPr>
        <w:t xml:space="preserve"> la variación </w:t>
      </w:r>
      <w:r w:rsidR="009D7263">
        <w:rPr>
          <w:lang w:val="es-ES"/>
        </w:rPr>
        <w:t xml:space="preserve">con respecto al mismo período anterior, y el PIB per cápita ajustado </w:t>
      </w:r>
      <w:r w:rsidR="00E22005">
        <w:rPr>
          <w:lang w:val="es-ES"/>
        </w:rPr>
        <w:t>por la Paridad de Poder Adquisitivo (PPP por sus siglas en inglés).</w:t>
      </w:r>
      <w:r w:rsidR="00DC1C6B">
        <w:rPr>
          <w:lang w:val="es-ES"/>
        </w:rPr>
        <w:t xml:space="preserve"> Estos datos provienen de </w:t>
      </w:r>
      <w:r w:rsidR="0060779F">
        <w:rPr>
          <w:lang w:val="es-ES"/>
        </w:rPr>
        <w:t xml:space="preserve">fuentes </w:t>
      </w:r>
      <w:r w:rsidR="00E04115">
        <w:rPr>
          <w:lang w:val="es-ES"/>
        </w:rPr>
        <w:t>como la</w:t>
      </w:r>
      <w:r w:rsidR="0060779F">
        <w:rPr>
          <w:lang w:val="es-ES"/>
        </w:rPr>
        <w:t xml:space="preserve"> </w:t>
      </w:r>
      <w:r w:rsidR="00DC1C6B">
        <w:rPr>
          <w:lang w:val="es-ES"/>
        </w:rPr>
        <w:t>OCDE y UN</w:t>
      </w:r>
      <w:r w:rsidR="00974220">
        <w:rPr>
          <w:lang w:val="es-ES"/>
        </w:rPr>
        <w:t>C</w:t>
      </w:r>
      <w:r w:rsidR="00546455">
        <w:rPr>
          <w:lang w:val="es-ES"/>
        </w:rPr>
        <w:t>T</w:t>
      </w:r>
      <w:r w:rsidR="00C34CD2">
        <w:rPr>
          <w:lang w:val="es-ES"/>
        </w:rPr>
        <w:t>A</w:t>
      </w:r>
      <w:r w:rsidR="00174688">
        <w:rPr>
          <w:lang w:val="es-ES"/>
        </w:rPr>
        <w:t>D</w:t>
      </w:r>
      <w:r w:rsidR="00387B23">
        <w:rPr>
          <w:lang w:val="es-ES"/>
        </w:rPr>
        <w:t xml:space="preserve">, </w:t>
      </w:r>
      <w:r w:rsidR="005F16C4">
        <w:rPr>
          <w:lang w:val="es-ES"/>
        </w:rPr>
        <w:t>ya que no se dispone</w:t>
      </w:r>
      <w:r w:rsidR="00A22068">
        <w:rPr>
          <w:lang w:val="es-ES"/>
        </w:rPr>
        <w:t xml:space="preserve"> de una única fuente que cubra todos los países</w:t>
      </w:r>
      <w:r w:rsidR="00387B23">
        <w:rPr>
          <w:lang w:val="es-ES"/>
        </w:rPr>
        <w:t>.</w:t>
      </w:r>
      <w:r w:rsidR="00FF2BB8">
        <w:rPr>
          <w:lang w:val="es-ES"/>
        </w:rPr>
        <w:t xml:space="preserve"> </w:t>
      </w:r>
      <w:r w:rsidR="00D21CD9">
        <w:rPr>
          <w:lang w:val="es-ES"/>
        </w:rPr>
        <w:t>L</w:t>
      </w:r>
      <w:r w:rsidR="00A97C5C">
        <w:rPr>
          <w:lang w:val="es-ES"/>
        </w:rPr>
        <w:t xml:space="preserve">os datos </w:t>
      </w:r>
      <w:r w:rsidR="00616906">
        <w:rPr>
          <w:lang w:val="es-ES"/>
        </w:rPr>
        <w:t xml:space="preserve">sobre </w:t>
      </w:r>
      <w:r w:rsidR="00A97C5C">
        <w:rPr>
          <w:lang w:val="es-ES"/>
        </w:rPr>
        <w:t>la</w:t>
      </w:r>
      <w:r w:rsidR="00D21CD9">
        <w:rPr>
          <w:lang w:val="es-ES"/>
        </w:rPr>
        <w:t xml:space="preserve"> balanza comercial</w:t>
      </w:r>
      <w:r w:rsidR="002B5E96">
        <w:rPr>
          <w:lang w:val="es-ES"/>
        </w:rPr>
        <w:t xml:space="preserve"> </w:t>
      </w:r>
      <w:r w:rsidR="006827B5">
        <w:rPr>
          <w:lang w:val="es-ES"/>
        </w:rPr>
        <w:t>entre Colombia y</w:t>
      </w:r>
      <w:r w:rsidR="00EA18B1">
        <w:rPr>
          <w:lang w:val="es-ES"/>
        </w:rPr>
        <w:t xml:space="preserve"> cada país</w:t>
      </w:r>
      <w:r w:rsidR="006827B5">
        <w:rPr>
          <w:lang w:val="es-ES"/>
        </w:rPr>
        <w:t xml:space="preserve"> </w:t>
      </w:r>
      <w:r w:rsidR="003E55BF">
        <w:rPr>
          <w:lang w:val="es-ES"/>
        </w:rPr>
        <w:t xml:space="preserve">proviene de </w:t>
      </w:r>
      <w:proofErr w:type="spellStart"/>
      <w:r w:rsidR="00CC5395">
        <w:rPr>
          <w:lang w:val="es-ES"/>
        </w:rPr>
        <w:t>Trade</w:t>
      </w:r>
      <w:proofErr w:type="spellEnd"/>
      <w:r w:rsidR="00CC5395">
        <w:rPr>
          <w:lang w:val="es-ES"/>
        </w:rPr>
        <w:t xml:space="preserve"> </w:t>
      </w:r>
      <w:proofErr w:type="spellStart"/>
      <w:r w:rsidR="00CC5395">
        <w:rPr>
          <w:lang w:val="es-ES"/>
        </w:rPr>
        <w:t>Map</w:t>
      </w:r>
      <w:proofErr w:type="spellEnd"/>
      <w:r w:rsidR="008F37F5">
        <w:rPr>
          <w:lang w:val="es-ES"/>
        </w:rPr>
        <w:t xml:space="preserve">. </w:t>
      </w:r>
      <w:r w:rsidR="00D30535">
        <w:rPr>
          <w:lang w:val="es-ES"/>
        </w:rPr>
        <w:t>Por otro lado,</w:t>
      </w:r>
      <w:r w:rsidR="004164F6">
        <w:rPr>
          <w:lang w:val="es-ES"/>
        </w:rPr>
        <w:t xml:space="preserve"> </w:t>
      </w:r>
      <w:r w:rsidR="00461190">
        <w:rPr>
          <w:lang w:val="es-ES"/>
        </w:rPr>
        <w:t>u</w:t>
      </w:r>
      <w:r w:rsidR="00A976D0">
        <w:rPr>
          <w:lang w:val="es-ES"/>
        </w:rPr>
        <w:t>samos los datos de impuesto de renta d</w:t>
      </w:r>
      <w:r w:rsidR="00AD502A">
        <w:rPr>
          <w:lang w:val="es-ES"/>
        </w:rPr>
        <w:t>isponibles</w:t>
      </w:r>
      <w:r w:rsidR="009F4353">
        <w:rPr>
          <w:lang w:val="es-ES"/>
        </w:rPr>
        <w:t xml:space="preserve"> en</w:t>
      </w:r>
      <w:r w:rsidR="00535D91">
        <w:rPr>
          <w:lang w:val="es-ES"/>
        </w:rPr>
        <w:t xml:space="preserve"> taxfoundation.org</w:t>
      </w:r>
      <w:r w:rsidR="006C303D">
        <w:rPr>
          <w:lang w:val="es-ES"/>
        </w:rPr>
        <w:t xml:space="preserve">, </w:t>
      </w:r>
      <w:r w:rsidR="004164F6">
        <w:rPr>
          <w:lang w:val="es-ES"/>
        </w:rPr>
        <w:t>para</w:t>
      </w:r>
      <w:r w:rsidR="002D411C">
        <w:rPr>
          <w:lang w:val="es-ES"/>
        </w:rPr>
        <w:t xml:space="preserve"> </w:t>
      </w:r>
      <w:r w:rsidR="00830B8D">
        <w:rPr>
          <w:lang w:val="es-ES"/>
        </w:rPr>
        <w:t xml:space="preserve">calcular </w:t>
      </w:r>
      <w:r w:rsidR="006C303D">
        <w:rPr>
          <w:lang w:val="es-ES"/>
        </w:rPr>
        <w:t xml:space="preserve">la diferencia </w:t>
      </w:r>
      <w:r w:rsidR="00830B8D">
        <w:rPr>
          <w:lang w:val="es-ES"/>
        </w:rPr>
        <w:t xml:space="preserve">en las tasas impositivas </w:t>
      </w:r>
      <w:r w:rsidR="0036466C">
        <w:rPr>
          <w:lang w:val="es-ES"/>
        </w:rPr>
        <w:t>entre el resto del mundo y Colombia, con el fin de identificar</w:t>
      </w:r>
      <w:r w:rsidR="0005143C">
        <w:rPr>
          <w:lang w:val="es-ES"/>
        </w:rPr>
        <w:t xml:space="preserve"> el nivel de competitividad fiscal de Colombia </w:t>
      </w:r>
      <w:r w:rsidR="00101AD6">
        <w:rPr>
          <w:lang w:val="es-ES"/>
        </w:rPr>
        <w:t>en comparación con otros</w:t>
      </w:r>
      <w:r w:rsidR="004C2AAB">
        <w:rPr>
          <w:lang w:val="es-ES"/>
        </w:rPr>
        <w:t xml:space="preserve"> países.</w:t>
      </w:r>
      <w:r w:rsidR="00D23F04">
        <w:rPr>
          <w:lang w:val="es-ES"/>
        </w:rPr>
        <w:t xml:space="preserve"> </w:t>
      </w:r>
    </w:p>
    <w:p w14:paraId="3531E7F0" w14:textId="77777777" w:rsidR="00566BF5" w:rsidRDefault="00566BF5" w:rsidP="00155715">
      <w:pPr>
        <w:keepNext/>
        <w:jc w:val="both"/>
        <w:rPr>
          <w:lang w:val="es-ES"/>
        </w:rPr>
      </w:pPr>
    </w:p>
    <w:p w14:paraId="4D4ED809" w14:textId="610FC628" w:rsidR="00034340" w:rsidRDefault="00D23F04" w:rsidP="00155715">
      <w:pPr>
        <w:keepNext/>
        <w:jc w:val="both"/>
        <w:rPr>
          <w:lang w:val="es-ES"/>
        </w:rPr>
      </w:pPr>
      <w:r>
        <w:rPr>
          <w:lang w:val="es-ES"/>
        </w:rPr>
        <w:t xml:space="preserve">Para </w:t>
      </w:r>
      <w:r w:rsidR="002567BA">
        <w:rPr>
          <w:lang w:val="es-ES"/>
        </w:rPr>
        <w:t xml:space="preserve">las </w:t>
      </w:r>
      <w:r>
        <w:rPr>
          <w:lang w:val="es-ES"/>
        </w:rPr>
        <w:t>variables relacionadas con</w:t>
      </w:r>
      <w:r w:rsidR="002567BA">
        <w:rPr>
          <w:lang w:val="es-ES"/>
        </w:rPr>
        <w:t xml:space="preserve"> estrategia</w:t>
      </w:r>
      <w:r w:rsidR="00590D60">
        <w:rPr>
          <w:lang w:val="es-ES"/>
        </w:rPr>
        <w:t>s</w:t>
      </w:r>
      <w:r w:rsidR="002567BA">
        <w:rPr>
          <w:lang w:val="es-ES"/>
        </w:rPr>
        <w:t xml:space="preserve"> de promoción de inversión y </w:t>
      </w:r>
      <w:r w:rsidR="00457278">
        <w:rPr>
          <w:lang w:val="es-ES"/>
        </w:rPr>
        <w:t>eficiencia tributaria</w:t>
      </w:r>
      <w:r w:rsidR="002567BA">
        <w:rPr>
          <w:lang w:val="es-ES"/>
        </w:rPr>
        <w:t xml:space="preserve">, se establecieron variables dicótomas que representan la </w:t>
      </w:r>
      <w:r w:rsidR="004C2594">
        <w:rPr>
          <w:lang w:val="es-ES"/>
        </w:rPr>
        <w:t>vigencia de acuerdo</w:t>
      </w:r>
      <w:r w:rsidR="00E51B2B">
        <w:rPr>
          <w:lang w:val="es-ES"/>
        </w:rPr>
        <w:t>s</w:t>
      </w:r>
      <w:r w:rsidR="00315E85">
        <w:rPr>
          <w:lang w:val="es-ES"/>
        </w:rPr>
        <w:t xml:space="preserve"> suscrito</w:t>
      </w:r>
      <w:r w:rsidR="00E51B2B">
        <w:rPr>
          <w:lang w:val="es-ES"/>
        </w:rPr>
        <w:t>s</w:t>
      </w:r>
      <w:r w:rsidR="00315E85">
        <w:rPr>
          <w:lang w:val="es-ES"/>
        </w:rPr>
        <w:t xml:space="preserve"> entre Colombia y otro</w:t>
      </w:r>
      <w:r w:rsidR="00E51B2B">
        <w:rPr>
          <w:lang w:val="es-ES"/>
        </w:rPr>
        <w:t>s</w:t>
      </w:r>
      <w:r w:rsidR="00315E85">
        <w:rPr>
          <w:lang w:val="es-ES"/>
        </w:rPr>
        <w:t xml:space="preserve"> país</w:t>
      </w:r>
      <w:r w:rsidR="00E51B2B">
        <w:rPr>
          <w:lang w:val="es-ES"/>
        </w:rPr>
        <w:t>es</w:t>
      </w:r>
      <w:r w:rsidR="004C2594">
        <w:rPr>
          <w:lang w:val="es-ES"/>
        </w:rPr>
        <w:t xml:space="preserve">, </w:t>
      </w:r>
      <w:r w:rsidR="00617961">
        <w:rPr>
          <w:lang w:val="es-ES"/>
        </w:rPr>
        <w:t xml:space="preserve">incluyendo los </w:t>
      </w:r>
      <w:r w:rsidR="00F7764F">
        <w:rPr>
          <w:lang w:val="es-ES"/>
        </w:rPr>
        <w:t>Acuerdos de Doble Tributación,</w:t>
      </w:r>
      <w:r w:rsidR="00315E85">
        <w:rPr>
          <w:lang w:val="es-ES"/>
        </w:rPr>
        <w:t xml:space="preserve"> acuerdos de protección de inversión y acuerdos comerciales.</w:t>
      </w:r>
      <w:r w:rsidR="006E310E">
        <w:rPr>
          <w:lang w:val="es-ES"/>
        </w:rPr>
        <w:t xml:space="preserve"> </w:t>
      </w:r>
      <w:r w:rsidR="00953C87">
        <w:rPr>
          <w:lang w:val="es-ES"/>
        </w:rPr>
        <w:t xml:space="preserve">Además, </w:t>
      </w:r>
      <w:r w:rsidR="000C0384">
        <w:rPr>
          <w:lang w:val="es-ES"/>
        </w:rPr>
        <w:t>se</w:t>
      </w:r>
      <w:r w:rsidR="009B24D4">
        <w:rPr>
          <w:lang w:val="es-ES"/>
        </w:rPr>
        <w:t xml:space="preserve"> incluyeron </w:t>
      </w:r>
      <w:r w:rsidR="00713B90">
        <w:rPr>
          <w:lang w:val="es-ES"/>
        </w:rPr>
        <w:t xml:space="preserve">variables que </w:t>
      </w:r>
      <w:r w:rsidR="00452312">
        <w:rPr>
          <w:lang w:val="es-ES"/>
        </w:rPr>
        <w:t xml:space="preserve">buscan </w:t>
      </w:r>
      <w:r w:rsidR="00713B90">
        <w:rPr>
          <w:lang w:val="es-ES"/>
        </w:rPr>
        <w:t xml:space="preserve">brindar contexto </w:t>
      </w:r>
      <w:r w:rsidR="00452312">
        <w:rPr>
          <w:lang w:val="es-ES"/>
        </w:rPr>
        <w:t xml:space="preserve">sobre </w:t>
      </w:r>
      <w:r w:rsidR="00713B90">
        <w:rPr>
          <w:lang w:val="es-ES"/>
        </w:rPr>
        <w:t>la economía mundial, como el precio</w:t>
      </w:r>
      <w:r w:rsidR="002329C4">
        <w:rPr>
          <w:lang w:val="es-ES"/>
        </w:rPr>
        <w:t xml:space="preserve"> </w:t>
      </w:r>
      <w:r w:rsidR="00713B90">
        <w:rPr>
          <w:lang w:val="es-ES"/>
        </w:rPr>
        <w:t>del petróleo Brent, y e</w:t>
      </w:r>
      <w:r w:rsidR="00F00B46">
        <w:rPr>
          <w:lang w:val="es-ES"/>
        </w:rPr>
        <w:t>l índice S&amp;P 500</w:t>
      </w:r>
      <w:r w:rsidR="007F6634">
        <w:rPr>
          <w:lang w:val="es-ES"/>
        </w:rPr>
        <w:t xml:space="preserve">, las cuales fueron </w:t>
      </w:r>
      <w:r w:rsidR="00926B8F">
        <w:rPr>
          <w:lang w:val="es-ES"/>
        </w:rPr>
        <w:t>obtenidas</w:t>
      </w:r>
      <w:r w:rsidR="007F6634">
        <w:rPr>
          <w:lang w:val="es-ES"/>
        </w:rPr>
        <w:t xml:space="preserve"> de </w:t>
      </w:r>
      <w:r w:rsidR="004232F0">
        <w:rPr>
          <w:lang w:val="es-ES"/>
        </w:rPr>
        <w:t>Investing.com.</w:t>
      </w:r>
      <w:r w:rsidR="002B3A96">
        <w:rPr>
          <w:lang w:val="es-ES"/>
        </w:rPr>
        <w:t xml:space="preserve"> </w:t>
      </w:r>
      <w:r w:rsidR="00926B8F">
        <w:rPr>
          <w:lang w:val="es-ES"/>
        </w:rPr>
        <w:t xml:space="preserve">Por último, </w:t>
      </w:r>
      <w:r w:rsidR="00E53A46">
        <w:rPr>
          <w:lang w:val="es-ES"/>
        </w:rPr>
        <w:t xml:space="preserve">al panel de datos </w:t>
      </w:r>
      <w:r w:rsidR="003F19A0">
        <w:rPr>
          <w:lang w:val="es-ES"/>
        </w:rPr>
        <w:t>s</w:t>
      </w:r>
      <w:r w:rsidR="002B3A96">
        <w:rPr>
          <w:lang w:val="es-ES"/>
        </w:rPr>
        <w:t xml:space="preserve">e agregó un efecto fijo de tiempo relacionado con la distancia </w:t>
      </w:r>
      <w:r w:rsidR="00A80398">
        <w:rPr>
          <w:lang w:val="es-ES"/>
        </w:rPr>
        <w:t>entre la capital de</w:t>
      </w:r>
      <w:r w:rsidR="00926B8F">
        <w:rPr>
          <w:lang w:val="es-ES"/>
        </w:rPr>
        <w:t xml:space="preserve"> cada</w:t>
      </w:r>
      <w:r w:rsidR="00A80398">
        <w:rPr>
          <w:lang w:val="es-ES"/>
        </w:rPr>
        <w:t xml:space="preserve"> país y la ciudad de Bogotá.</w:t>
      </w:r>
      <w:r w:rsidR="00034340">
        <w:rPr>
          <w:lang w:val="es-ES"/>
        </w:rPr>
        <w:t xml:space="preserve"> </w:t>
      </w:r>
    </w:p>
    <w:p w14:paraId="19C6B2E2" w14:textId="77777777" w:rsidR="00034340" w:rsidRDefault="00034340" w:rsidP="00155715">
      <w:pPr>
        <w:keepNext/>
        <w:jc w:val="both"/>
        <w:rPr>
          <w:lang w:val="es-ES"/>
        </w:rPr>
      </w:pPr>
    </w:p>
    <w:p w14:paraId="27AA8AA1" w14:textId="3BD707A3" w:rsidR="007D4719" w:rsidRDefault="00E63BBE" w:rsidP="00155715">
      <w:pPr>
        <w:keepNext/>
        <w:jc w:val="both"/>
        <w:rPr>
          <w:lang w:val="es-ES"/>
        </w:rPr>
      </w:pPr>
      <w:r>
        <w:rPr>
          <w:lang w:val="es-ES"/>
        </w:rPr>
        <w:t>Dado que nuestro panel de datos proviene de mú</w:t>
      </w:r>
      <w:r w:rsidR="00D80B2C">
        <w:rPr>
          <w:lang w:val="es-ES"/>
        </w:rPr>
        <w:t>ltiples fuentes</w:t>
      </w:r>
      <w:r w:rsidR="00F23773">
        <w:rPr>
          <w:lang w:val="es-ES"/>
        </w:rPr>
        <w:t xml:space="preserve"> </w:t>
      </w:r>
      <w:r w:rsidR="00244181">
        <w:rPr>
          <w:lang w:val="es-ES"/>
        </w:rPr>
        <w:t>de diferentes instituciones, existe una variación subyacente</w:t>
      </w:r>
      <w:r w:rsidR="00EE186A">
        <w:rPr>
          <w:lang w:val="es-ES"/>
        </w:rPr>
        <w:t xml:space="preserve"> en la </w:t>
      </w:r>
      <w:r w:rsidR="00BC3EBA">
        <w:rPr>
          <w:lang w:val="es-ES"/>
        </w:rPr>
        <w:t>cobertura de los datos</w:t>
      </w:r>
      <w:r w:rsidR="00204424">
        <w:rPr>
          <w:lang w:val="es-ES"/>
        </w:rPr>
        <w:t xml:space="preserve"> entre las distint</w:t>
      </w:r>
      <w:r w:rsidR="00E67BA2">
        <w:rPr>
          <w:lang w:val="es-ES"/>
        </w:rPr>
        <w:t>a</w:t>
      </w:r>
      <w:r w:rsidR="00204424">
        <w:rPr>
          <w:lang w:val="es-ES"/>
        </w:rPr>
        <w:t>s fuentes de</w:t>
      </w:r>
      <w:r w:rsidR="00034340">
        <w:rPr>
          <w:lang w:val="es-ES"/>
        </w:rPr>
        <w:t xml:space="preserve"> </w:t>
      </w:r>
      <w:r w:rsidR="00204424">
        <w:rPr>
          <w:lang w:val="es-ES"/>
        </w:rPr>
        <w:t>datos. Como resultado</w:t>
      </w:r>
      <w:r w:rsidR="009900C7">
        <w:rPr>
          <w:lang w:val="es-ES"/>
        </w:rPr>
        <w:t xml:space="preserve">, </w:t>
      </w:r>
      <w:r w:rsidR="00BE5F9A">
        <w:rPr>
          <w:lang w:val="es-ES"/>
        </w:rPr>
        <w:t>el panel</w:t>
      </w:r>
      <w:r w:rsidR="00AF14DE">
        <w:rPr>
          <w:lang w:val="es-ES"/>
        </w:rPr>
        <w:t xml:space="preserve"> </w:t>
      </w:r>
      <w:r w:rsidR="00BA0FA1">
        <w:rPr>
          <w:lang w:val="es-ES"/>
        </w:rPr>
        <w:t>construid</w:t>
      </w:r>
      <w:r w:rsidR="00BE5F9A">
        <w:rPr>
          <w:lang w:val="es-ES"/>
        </w:rPr>
        <w:t>o</w:t>
      </w:r>
      <w:r w:rsidR="00BA0FA1">
        <w:rPr>
          <w:lang w:val="es-ES"/>
        </w:rPr>
        <w:t xml:space="preserve"> contiene </w:t>
      </w:r>
      <w:r w:rsidR="003254ED">
        <w:rPr>
          <w:lang w:val="es-ES"/>
        </w:rPr>
        <w:t>datos de</w:t>
      </w:r>
      <w:r w:rsidR="00E7761B">
        <w:rPr>
          <w:lang w:val="es-ES"/>
        </w:rPr>
        <w:t xml:space="preserve"> 13 variables</w:t>
      </w:r>
      <w:r w:rsidR="00A82A08">
        <w:rPr>
          <w:lang w:val="es-ES"/>
        </w:rPr>
        <w:t xml:space="preserve"> </w:t>
      </w:r>
      <w:r w:rsidR="00913380">
        <w:rPr>
          <w:lang w:val="es-ES"/>
        </w:rPr>
        <w:t>en el período 2007-</w:t>
      </w:r>
      <w:r w:rsidR="00913380">
        <w:rPr>
          <w:lang w:val="es-ES"/>
        </w:rPr>
        <w:lastRenderedPageBreak/>
        <w:t>2022</w:t>
      </w:r>
      <w:r w:rsidR="001018CB">
        <w:rPr>
          <w:lang w:val="es-ES"/>
        </w:rPr>
        <w:t xml:space="preserve"> </w:t>
      </w:r>
      <w:r w:rsidR="00E7761B">
        <w:rPr>
          <w:lang w:val="es-ES"/>
        </w:rPr>
        <w:t xml:space="preserve">para </w:t>
      </w:r>
      <w:r w:rsidR="00E92BFC">
        <w:rPr>
          <w:lang w:val="es-ES"/>
        </w:rPr>
        <w:t xml:space="preserve">el </w:t>
      </w:r>
      <w:r w:rsidR="00E7761B">
        <w:rPr>
          <w:lang w:val="es-ES"/>
        </w:rPr>
        <w:t xml:space="preserve">total de </w:t>
      </w:r>
      <w:r w:rsidR="00E92BFC">
        <w:rPr>
          <w:lang w:val="es-ES"/>
        </w:rPr>
        <w:t xml:space="preserve">los </w:t>
      </w:r>
      <w:r w:rsidR="00F50F06">
        <w:rPr>
          <w:lang w:val="es-ES"/>
        </w:rPr>
        <w:t>41 países</w:t>
      </w:r>
      <w:r w:rsidR="006B2E6A">
        <w:rPr>
          <w:lang w:val="es-ES"/>
        </w:rPr>
        <w:t xml:space="preserve"> </w:t>
      </w:r>
      <w:r w:rsidR="00E92BFC">
        <w:rPr>
          <w:lang w:val="es-ES"/>
        </w:rPr>
        <w:t xml:space="preserve">descritos en </w:t>
      </w:r>
      <w:r w:rsidR="007A483E">
        <w:rPr>
          <w:lang w:val="es-ES"/>
        </w:rPr>
        <w:t>las Tablas 1 y 2.</w:t>
      </w:r>
      <w:r w:rsidR="009862B4">
        <w:rPr>
          <w:lang w:val="es-ES"/>
        </w:rPr>
        <w:t xml:space="preserve"> </w:t>
      </w:r>
      <w:r w:rsidR="000B28CF">
        <w:rPr>
          <w:lang w:val="es-ES"/>
        </w:rPr>
        <w:t xml:space="preserve">La Tabla 3 </w:t>
      </w:r>
      <w:r w:rsidR="00702020">
        <w:rPr>
          <w:lang w:val="es-ES"/>
        </w:rPr>
        <w:t>muestra la descripción de las variables y sus fuentes de datos.</w:t>
      </w:r>
    </w:p>
    <w:p w14:paraId="5A9F6266" w14:textId="77777777" w:rsidR="00A42818" w:rsidRDefault="00A42818" w:rsidP="00155715">
      <w:pPr>
        <w:keepNext/>
        <w:jc w:val="both"/>
        <w:rPr>
          <w:lang w:val="es-ES"/>
        </w:rPr>
      </w:pPr>
    </w:p>
    <w:p w14:paraId="61CE2B35" w14:textId="051B58D0" w:rsidR="00665F9A" w:rsidRPr="00665F9A" w:rsidRDefault="00665F9A" w:rsidP="00665F9A">
      <w:pPr>
        <w:pStyle w:val="Caption"/>
        <w:keepNext/>
        <w:jc w:val="center"/>
        <w:rPr>
          <w:rFonts w:ascii="Garamond" w:hAnsi="Garamond"/>
          <w:color w:val="404040" w:themeColor="text1" w:themeTint="BF"/>
          <w:sz w:val="22"/>
          <w:szCs w:val="22"/>
          <w:lang w:val="es-CO"/>
        </w:rPr>
      </w:pPr>
      <w:r w:rsidRPr="00665F9A">
        <w:rPr>
          <w:rFonts w:ascii="Garamond" w:hAnsi="Garamond"/>
          <w:color w:val="404040" w:themeColor="text1" w:themeTint="BF"/>
          <w:sz w:val="22"/>
          <w:szCs w:val="22"/>
          <w:lang w:val="es-CO"/>
        </w:rPr>
        <w:t xml:space="preserve">Tabla </w:t>
      </w:r>
      <w:r w:rsidRPr="00665F9A">
        <w:rPr>
          <w:rFonts w:ascii="Garamond" w:hAnsi="Garamond"/>
          <w:color w:val="404040" w:themeColor="text1" w:themeTint="BF"/>
          <w:sz w:val="22"/>
          <w:szCs w:val="22"/>
        </w:rPr>
        <w:fldChar w:fldCharType="begin"/>
      </w:r>
      <w:r w:rsidRPr="00665F9A">
        <w:rPr>
          <w:rFonts w:ascii="Garamond" w:hAnsi="Garamond"/>
          <w:color w:val="404040" w:themeColor="text1" w:themeTint="BF"/>
          <w:sz w:val="22"/>
          <w:szCs w:val="22"/>
          <w:lang w:val="es-CO"/>
        </w:rPr>
        <w:instrText xml:space="preserve"> SEQ Tabla \* ARABIC </w:instrText>
      </w:r>
      <w:r w:rsidRPr="00665F9A">
        <w:rPr>
          <w:rFonts w:ascii="Garamond" w:hAnsi="Garamond"/>
          <w:color w:val="404040" w:themeColor="text1" w:themeTint="BF"/>
          <w:sz w:val="22"/>
          <w:szCs w:val="22"/>
        </w:rPr>
        <w:fldChar w:fldCharType="separate"/>
      </w:r>
      <w:r w:rsidR="00B74590">
        <w:rPr>
          <w:rFonts w:ascii="Garamond" w:hAnsi="Garamond"/>
          <w:noProof/>
          <w:color w:val="404040" w:themeColor="text1" w:themeTint="BF"/>
          <w:sz w:val="22"/>
          <w:szCs w:val="22"/>
          <w:lang w:val="es-CO"/>
        </w:rPr>
        <w:t>3</w:t>
      </w:r>
      <w:r w:rsidRPr="00665F9A">
        <w:rPr>
          <w:rFonts w:ascii="Garamond" w:hAnsi="Garamond"/>
          <w:color w:val="404040" w:themeColor="text1" w:themeTint="BF"/>
          <w:sz w:val="22"/>
          <w:szCs w:val="22"/>
        </w:rPr>
        <w:fldChar w:fldCharType="end"/>
      </w:r>
      <w:r w:rsidRPr="00665F9A">
        <w:rPr>
          <w:rFonts w:ascii="Garamond" w:hAnsi="Garamond"/>
          <w:color w:val="404040" w:themeColor="text1" w:themeTint="BF"/>
          <w:sz w:val="22"/>
          <w:szCs w:val="22"/>
          <w:lang w:val="es-CO"/>
        </w:rPr>
        <w:t>: Descripción de variables y fuentes</w:t>
      </w:r>
    </w:p>
    <w:tbl>
      <w:tblPr>
        <w:tblStyle w:val="TableGrid"/>
        <w:tblW w:w="9918" w:type="dxa"/>
        <w:jc w:val="center"/>
        <w:tblLook w:val="04A0" w:firstRow="1" w:lastRow="0" w:firstColumn="1" w:lastColumn="0" w:noHBand="0" w:noVBand="1"/>
      </w:tblPr>
      <w:tblGrid>
        <w:gridCol w:w="2172"/>
        <w:gridCol w:w="5016"/>
        <w:gridCol w:w="2730"/>
      </w:tblGrid>
      <w:tr w:rsidR="0087187A" w:rsidRPr="00AC711D" w14:paraId="75222D58" w14:textId="77777777" w:rsidTr="00566BF5">
        <w:trPr>
          <w:trHeight w:val="170"/>
          <w:jc w:val="center"/>
        </w:trPr>
        <w:tc>
          <w:tcPr>
            <w:tcW w:w="2172" w:type="dxa"/>
          </w:tcPr>
          <w:p w14:paraId="79D8C3CC" w14:textId="738D8B6B" w:rsidR="00A42818" w:rsidRPr="00AC711D" w:rsidRDefault="00A42818" w:rsidP="009401B3">
            <w:pPr>
              <w:keepNext/>
              <w:jc w:val="center"/>
              <w:rPr>
                <w:b/>
                <w:bCs/>
                <w:sz w:val="20"/>
                <w:szCs w:val="20"/>
                <w:lang w:val="es-ES"/>
              </w:rPr>
            </w:pPr>
            <w:r w:rsidRPr="00AC711D">
              <w:rPr>
                <w:b/>
                <w:bCs/>
                <w:kern w:val="0"/>
                <w:sz w:val="20"/>
                <w:szCs w:val="20"/>
                <w:lang w:val="es-ES"/>
                <w14:ligatures w14:val="none"/>
              </w:rPr>
              <w:t>Variable</w:t>
            </w:r>
          </w:p>
        </w:tc>
        <w:tc>
          <w:tcPr>
            <w:tcW w:w="5016" w:type="dxa"/>
          </w:tcPr>
          <w:p w14:paraId="0BDC5190" w14:textId="3876ED67" w:rsidR="00A42818" w:rsidRPr="00AC711D" w:rsidRDefault="00A42818" w:rsidP="009401B3">
            <w:pPr>
              <w:keepNext/>
              <w:jc w:val="center"/>
              <w:rPr>
                <w:b/>
                <w:bCs/>
                <w:sz w:val="20"/>
                <w:szCs w:val="20"/>
                <w:lang w:val="es-ES"/>
              </w:rPr>
            </w:pPr>
            <w:r w:rsidRPr="00AC711D">
              <w:rPr>
                <w:b/>
                <w:bCs/>
                <w:sz w:val="20"/>
                <w:szCs w:val="20"/>
                <w:lang w:val="es-ES"/>
              </w:rPr>
              <w:t>Descripción</w:t>
            </w:r>
          </w:p>
        </w:tc>
        <w:tc>
          <w:tcPr>
            <w:tcW w:w="2730" w:type="dxa"/>
          </w:tcPr>
          <w:p w14:paraId="1E31BCBC" w14:textId="25BE765D" w:rsidR="00A42818" w:rsidRPr="00AC711D" w:rsidRDefault="00A42818" w:rsidP="009401B3">
            <w:pPr>
              <w:keepNext/>
              <w:jc w:val="center"/>
              <w:rPr>
                <w:b/>
                <w:bCs/>
                <w:sz w:val="20"/>
                <w:szCs w:val="20"/>
                <w:lang w:val="es-ES"/>
              </w:rPr>
            </w:pPr>
            <w:r w:rsidRPr="00AC711D">
              <w:rPr>
                <w:b/>
                <w:bCs/>
                <w:sz w:val="20"/>
                <w:szCs w:val="20"/>
                <w:lang w:val="es-ES"/>
              </w:rPr>
              <w:t>Fuente</w:t>
            </w:r>
          </w:p>
        </w:tc>
      </w:tr>
      <w:tr w:rsidR="006902C8" w:rsidRPr="00AC711D" w14:paraId="161F20F7" w14:textId="77777777" w:rsidTr="00566BF5">
        <w:trPr>
          <w:trHeight w:val="170"/>
          <w:jc w:val="center"/>
        </w:trPr>
        <w:tc>
          <w:tcPr>
            <w:tcW w:w="2172" w:type="dxa"/>
            <w:vAlign w:val="center"/>
          </w:tcPr>
          <w:p w14:paraId="4DBA16EB" w14:textId="63ABA24D" w:rsidR="006902C8" w:rsidRPr="00AC711D" w:rsidRDefault="006902C8" w:rsidP="004D39AA">
            <w:pPr>
              <w:keepNext/>
              <w:rPr>
                <w:sz w:val="20"/>
                <w:szCs w:val="20"/>
                <w:lang w:val="es-ES"/>
              </w:rPr>
            </w:pPr>
            <w:r w:rsidRPr="00AC711D">
              <w:rPr>
                <w:sz w:val="20"/>
                <w:szCs w:val="20"/>
                <w:lang w:val="es-ES"/>
              </w:rPr>
              <w:t>País</w:t>
            </w:r>
          </w:p>
        </w:tc>
        <w:tc>
          <w:tcPr>
            <w:tcW w:w="5016" w:type="dxa"/>
            <w:vAlign w:val="center"/>
          </w:tcPr>
          <w:p w14:paraId="770E1B1F" w14:textId="02C005AC" w:rsidR="006902C8" w:rsidRPr="00AC711D" w:rsidRDefault="007C36CF" w:rsidP="004D39AA">
            <w:pPr>
              <w:keepNext/>
              <w:rPr>
                <w:sz w:val="20"/>
                <w:szCs w:val="20"/>
                <w:lang w:val="es-ES"/>
              </w:rPr>
            </w:pPr>
            <w:r w:rsidRPr="00AC711D">
              <w:rPr>
                <w:sz w:val="20"/>
                <w:szCs w:val="20"/>
                <w:lang w:val="es-ES"/>
              </w:rPr>
              <w:t xml:space="preserve">País de origen desde los que </w:t>
            </w:r>
            <w:r w:rsidR="006D26F3" w:rsidRPr="00AC711D">
              <w:rPr>
                <w:sz w:val="20"/>
                <w:szCs w:val="20"/>
                <w:lang w:val="es-ES"/>
              </w:rPr>
              <w:t xml:space="preserve">Colombia </w:t>
            </w:r>
            <w:r w:rsidRPr="00AC711D">
              <w:rPr>
                <w:sz w:val="20"/>
                <w:szCs w:val="20"/>
                <w:lang w:val="es-ES"/>
              </w:rPr>
              <w:t>recibe</w:t>
            </w:r>
            <w:r w:rsidR="00335A5E" w:rsidRPr="00AC711D">
              <w:rPr>
                <w:sz w:val="20"/>
                <w:szCs w:val="20"/>
                <w:lang w:val="es-ES"/>
              </w:rPr>
              <w:t xml:space="preserve"> flujos de inversión extranjera</w:t>
            </w:r>
            <w:r w:rsidR="004D39AA" w:rsidRPr="00AC711D">
              <w:rPr>
                <w:sz w:val="20"/>
                <w:szCs w:val="20"/>
                <w:lang w:val="es-ES"/>
              </w:rPr>
              <w:t xml:space="preserve"> </w:t>
            </w:r>
            <w:r w:rsidR="006D26F3" w:rsidRPr="00AC711D">
              <w:rPr>
                <w:sz w:val="20"/>
                <w:szCs w:val="20"/>
                <w:lang w:val="es-ES"/>
              </w:rPr>
              <w:t>directa.</w:t>
            </w:r>
          </w:p>
        </w:tc>
        <w:tc>
          <w:tcPr>
            <w:tcW w:w="2730" w:type="dxa"/>
            <w:vAlign w:val="center"/>
          </w:tcPr>
          <w:p w14:paraId="733367B9" w14:textId="289FC715" w:rsidR="006902C8" w:rsidRPr="00AC711D" w:rsidRDefault="004D39AA" w:rsidP="004D39AA">
            <w:pPr>
              <w:keepNext/>
              <w:rPr>
                <w:sz w:val="20"/>
                <w:szCs w:val="20"/>
                <w:lang w:val="es-ES"/>
              </w:rPr>
            </w:pPr>
            <w:r w:rsidRPr="00AC711D">
              <w:rPr>
                <w:sz w:val="20"/>
                <w:szCs w:val="20"/>
                <w:lang w:val="es-ES"/>
              </w:rPr>
              <w:t>Banco de la República</w:t>
            </w:r>
          </w:p>
        </w:tc>
      </w:tr>
      <w:tr w:rsidR="0087187A" w:rsidRPr="00AC711D" w14:paraId="660EC9FC" w14:textId="77777777" w:rsidTr="00566BF5">
        <w:trPr>
          <w:trHeight w:val="170"/>
          <w:jc w:val="center"/>
        </w:trPr>
        <w:tc>
          <w:tcPr>
            <w:tcW w:w="2172" w:type="dxa"/>
            <w:vAlign w:val="center"/>
          </w:tcPr>
          <w:p w14:paraId="3B3279E3" w14:textId="2EC928FD" w:rsidR="00A42818" w:rsidRPr="00AC711D" w:rsidRDefault="00A42818" w:rsidP="002744F2">
            <w:pPr>
              <w:keepNext/>
              <w:rPr>
                <w:sz w:val="20"/>
                <w:szCs w:val="20"/>
                <w:lang w:val="es-ES"/>
              </w:rPr>
            </w:pPr>
            <w:r w:rsidRPr="00AC711D">
              <w:rPr>
                <w:sz w:val="20"/>
                <w:szCs w:val="20"/>
                <w:lang w:val="es-ES"/>
              </w:rPr>
              <w:t>IED</w:t>
            </w:r>
          </w:p>
        </w:tc>
        <w:tc>
          <w:tcPr>
            <w:tcW w:w="5016" w:type="dxa"/>
            <w:vAlign w:val="center"/>
          </w:tcPr>
          <w:p w14:paraId="1A7AC91E" w14:textId="44550A5F" w:rsidR="00A42818" w:rsidRPr="00AC711D" w:rsidRDefault="00A42818" w:rsidP="002744F2">
            <w:pPr>
              <w:keepNext/>
              <w:rPr>
                <w:sz w:val="20"/>
                <w:szCs w:val="20"/>
                <w:lang w:val="es-ES"/>
              </w:rPr>
            </w:pPr>
            <w:r w:rsidRPr="00AC711D">
              <w:rPr>
                <w:sz w:val="20"/>
                <w:szCs w:val="20"/>
                <w:lang w:val="es-ES"/>
              </w:rPr>
              <w:t>Flujos trimestrales de inversión extranjera directa en Colombia. Cifras en millones de USD</w:t>
            </w:r>
          </w:p>
        </w:tc>
        <w:tc>
          <w:tcPr>
            <w:tcW w:w="2730" w:type="dxa"/>
            <w:vAlign w:val="center"/>
          </w:tcPr>
          <w:p w14:paraId="73823A98" w14:textId="72BC4B85" w:rsidR="00A42818" w:rsidRPr="00AC711D" w:rsidRDefault="00A42818" w:rsidP="002744F2">
            <w:pPr>
              <w:keepNext/>
              <w:rPr>
                <w:sz w:val="20"/>
                <w:szCs w:val="20"/>
                <w:lang w:val="es-ES"/>
              </w:rPr>
            </w:pPr>
            <w:r w:rsidRPr="00AC711D">
              <w:rPr>
                <w:sz w:val="20"/>
                <w:szCs w:val="20"/>
                <w:lang w:val="es-ES"/>
              </w:rPr>
              <w:t>Banco de la República</w:t>
            </w:r>
          </w:p>
        </w:tc>
      </w:tr>
      <w:tr w:rsidR="0087187A" w:rsidRPr="00AC711D" w14:paraId="2A7AE054" w14:textId="77777777" w:rsidTr="00566BF5">
        <w:trPr>
          <w:trHeight w:val="170"/>
          <w:jc w:val="center"/>
        </w:trPr>
        <w:tc>
          <w:tcPr>
            <w:tcW w:w="2172" w:type="dxa"/>
            <w:vAlign w:val="center"/>
          </w:tcPr>
          <w:p w14:paraId="53441AD6" w14:textId="3276389D" w:rsidR="00A42818" w:rsidRPr="00AC711D" w:rsidRDefault="00A42818" w:rsidP="002744F2">
            <w:pPr>
              <w:keepNext/>
              <w:rPr>
                <w:sz w:val="20"/>
                <w:szCs w:val="20"/>
                <w:lang w:val="es-ES"/>
              </w:rPr>
            </w:pPr>
            <w:r w:rsidRPr="00AC711D">
              <w:rPr>
                <w:sz w:val="20"/>
                <w:szCs w:val="20"/>
                <w:lang w:val="es-ES"/>
              </w:rPr>
              <w:t>ADT</w:t>
            </w:r>
          </w:p>
        </w:tc>
        <w:tc>
          <w:tcPr>
            <w:tcW w:w="5016" w:type="dxa"/>
            <w:vAlign w:val="center"/>
          </w:tcPr>
          <w:p w14:paraId="76C65509" w14:textId="078F89FF" w:rsidR="00A42818" w:rsidRPr="00AC711D" w:rsidRDefault="00A42818" w:rsidP="002744F2">
            <w:pPr>
              <w:keepNext/>
              <w:rPr>
                <w:sz w:val="20"/>
                <w:szCs w:val="20"/>
                <w:lang w:val="es-ES"/>
              </w:rPr>
            </w:pPr>
            <w:r w:rsidRPr="00AC711D">
              <w:rPr>
                <w:sz w:val="20"/>
                <w:szCs w:val="20"/>
                <w:lang w:val="es-ES"/>
              </w:rPr>
              <w:t xml:space="preserve">= 1 para </w:t>
            </w:r>
            <w:r w:rsidR="00211A58" w:rsidRPr="00AC711D">
              <w:rPr>
                <w:sz w:val="20"/>
                <w:szCs w:val="20"/>
                <w:lang w:val="es-ES"/>
              </w:rPr>
              <w:t xml:space="preserve">los países tratados (ADT vigente </w:t>
            </w:r>
            <w:r w:rsidR="0081203C" w:rsidRPr="00AC711D">
              <w:rPr>
                <w:sz w:val="20"/>
                <w:szCs w:val="20"/>
                <w:lang w:val="es-ES"/>
              </w:rPr>
              <w:t>entre el país y Colombia</w:t>
            </w:r>
            <w:r w:rsidR="00211A58" w:rsidRPr="00AC711D">
              <w:rPr>
                <w:sz w:val="20"/>
                <w:szCs w:val="20"/>
                <w:lang w:val="es-ES"/>
              </w:rPr>
              <w:t>)</w:t>
            </w:r>
            <w:r w:rsidRPr="00AC711D">
              <w:rPr>
                <w:sz w:val="20"/>
                <w:szCs w:val="20"/>
                <w:lang w:val="es-ES"/>
              </w:rPr>
              <w:t xml:space="preserve">, 0 </w:t>
            </w:r>
            <w:r w:rsidR="00211A58" w:rsidRPr="00AC711D">
              <w:rPr>
                <w:sz w:val="20"/>
                <w:szCs w:val="20"/>
                <w:lang w:val="es-ES"/>
              </w:rPr>
              <w:t>para los países del grupo de control</w:t>
            </w:r>
          </w:p>
        </w:tc>
        <w:tc>
          <w:tcPr>
            <w:tcW w:w="2730" w:type="dxa"/>
            <w:vAlign w:val="center"/>
          </w:tcPr>
          <w:p w14:paraId="31B93D8C" w14:textId="0F975EFA" w:rsidR="00A42818" w:rsidRPr="00AC711D" w:rsidRDefault="00542199" w:rsidP="002744F2">
            <w:pPr>
              <w:keepNext/>
              <w:rPr>
                <w:sz w:val="20"/>
                <w:szCs w:val="20"/>
                <w:lang w:val="es-ES"/>
              </w:rPr>
            </w:pPr>
            <w:r w:rsidRPr="00AC711D">
              <w:rPr>
                <w:sz w:val="20"/>
                <w:szCs w:val="20"/>
                <w:lang w:val="es-ES"/>
              </w:rPr>
              <w:t>DIAN</w:t>
            </w:r>
          </w:p>
        </w:tc>
      </w:tr>
      <w:tr w:rsidR="0087187A" w:rsidRPr="00AC711D" w14:paraId="67F70986" w14:textId="77777777" w:rsidTr="00566BF5">
        <w:trPr>
          <w:trHeight w:val="170"/>
          <w:jc w:val="center"/>
        </w:trPr>
        <w:tc>
          <w:tcPr>
            <w:tcW w:w="2172" w:type="dxa"/>
            <w:vAlign w:val="center"/>
          </w:tcPr>
          <w:p w14:paraId="5B061408" w14:textId="2099B793" w:rsidR="00542199" w:rsidRPr="00AC711D" w:rsidRDefault="008F335E" w:rsidP="002744F2">
            <w:pPr>
              <w:keepNext/>
              <w:rPr>
                <w:sz w:val="20"/>
                <w:szCs w:val="20"/>
                <w:lang w:val="es-ES"/>
              </w:rPr>
            </w:pPr>
            <w:proofErr w:type="spellStart"/>
            <w:r w:rsidRPr="00AC711D">
              <w:rPr>
                <w:sz w:val="20"/>
                <w:szCs w:val="20"/>
                <w:lang w:val="es-ES"/>
              </w:rPr>
              <w:t>Inicio_vigencia_ADT</w:t>
            </w:r>
            <w:proofErr w:type="spellEnd"/>
          </w:p>
        </w:tc>
        <w:tc>
          <w:tcPr>
            <w:tcW w:w="5016" w:type="dxa"/>
            <w:vAlign w:val="center"/>
          </w:tcPr>
          <w:p w14:paraId="133B6DBF" w14:textId="3FFC67CD" w:rsidR="00542199" w:rsidRPr="00AC711D" w:rsidRDefault="00962F58" w:rsidP="002744F2">
            <w:pPr>
              <w:keepNext/>
              <w:rPr>
                <w:sz w:val="20"/>
                <w:szCs w:val="20"/>
                <w:lang w:val="es-ES"/>
              </w:rPr>
            </w:pPr>
            <w:r w:rsidRPr="00AC711D">
              <w:rPr>
                <w:sz w:val="20"/>
                <w:szCs w:val="20"/>
                <w:lang w:val="es-ES"/>
              </w:rPr>
              <w:t xml:space="preserve">= 1 </w:t>
            </w:r>
            <w:r w:rsidR="005A2D88" w:rsidRPr="00AC711D">
              <w:rPr>
                <w:sz w:val="20"/>
                <w:szCs w:val="20"/>
                <w:lang w:val="es-ES"/>
              </w:rPr>
              <w:t xml:space="preserve">a partir de la fecha de inicio de vigencia del </w:t>
            </w:r>
            <w:r w:rsidR="00CD5406" w:rsidRPr="00AC711D">
              <w:rPr>
                <w:sz w:val="20"/>
                <w:szCs w:val="20"/>
                <w:lang w:val="es-ES"/>
              </w:rPr>
              <w:t>ADT</w:t>
            </w:r>
            <w:r w:rsidR="005A2D88" w:rsidRPr="00AC711D">
              <w:rPr>
                <w:sz w:val="20"/>
                <w:szCs w:val="20"/>
                <w:lang w:val="es-ES"/>
              </w:rPr>
              <w:t>, 0</w:t>
            </w:r>
            <w:r w:rsidR="008A4247" w:rsidRPr="00AC711D">
              <w:rPr>
                <w:sz w:val="20"/>
                <w:szCs w:val="20"/>
                <w:lang w:val="es-ES"/>
              </w:rPr>
              <w:t xml:space="preserve"> </w:t>
            </w:r>
            <w:r w:rsidR="005C21EB" w:rsidRPr="00AC711D">
              <w:rPr>
                <w:sz w:val="20"/>
                <w:szCs w:val="20"/>
                <w:lang w:val="es-ES"/>
              </w:rPr>
              <w:t xml:space="preserve">para el período anterior a la </w:t>
            </w:r>
            <w:proofErr w:type="gramStart"/>
            <w:r w:rsidR="005C21EB" w:rsidRPr="00AC711D">
              <w:rPr>
                <w:sz w:val="20"/>
                <w:szCs w:val="20"/>
                <w:lang w:val="es-ES"/>
              </w:rPr>
              <w:t>entrada en vigencia</w:t>
            </w:r>
            <w:proofErr w:type="gramEnd"/>
          </w:p>
        </w:tc>
        <w:tc>
          <w:tcPr>
            <w:tcW w:w="2730" w:type="dxa"/>
            <w:vAlign w:val="center"/>
          </w:tcPr>
          <w:p w14:paraId="69EDEF02" w14:textId="287D3A1E" w:rsidR="00542199" w:rsidRPr="00AC711D" w:rsidRDefault="005C21EB" w:rsidP="002744F2">
            <w:pPr>
              <w:keepNext/>
              <w:rPr>
                <w:sz w:val="20"/>
                <w:szCs w:val="20"/>
                <w:lang w:val="es-ES"/>
              </w:rPr>
            </w:pPr>
            <w:r w:rsidRPr="00AC711D">
              <w:rPr>
                <w:sz w:val="20"/>
                <w:szCs w:val="20"/>
                <w:lang w:val="es-ES"/>
              </w:rPr>
              <w:t>DIAN</w:t>
            </w:r>
          </w:p>
        </w:tc>
      </w:tr>
      <w:tr w:rsidR="002153A7" w:rsidRPr="00AC711D" w14:paraId="4DAFDCE4" w14:textId="77777777" w:rsidTr="00566BF5">
        <w:trPr>
          <w:trHeight w:val="170"/>
          <w:jc w:val="center"/>
        </w:trPr>
        <w:tc>
          <w:tcPr>
            <w:tcW w:w="2172" w:type="dxa"/>
            <w:vAlign w:val="center"/>
          </w:tcPr>
          <w:p w14:paraId="6CBACFDF" w14:textId="5C3453C3" w:rsidR="005C21EB" w:rsidRPr="00AC711D" w:rsidRDefault="00BE2DC0" w:rsidP="002744F2">
            <w:pPr>
              <w:keepNext/>
              <w:rPr>
                <w:sz w:val="20"/>
                <w:szCs w:val="20"/>
                <w:lang w:val="es-ES"/>
              </w:rPr>
            </w:pPr>
            <w:r w:rsidRPr="00AC711D">
              <w:rPr>
                <w:sz w:val="20"/>
                <w:szCs w:val="20"/>
                <w:lang w:val="es-ES"/>
              </w:rPr>
              <w:t>PIB</w:t>
            </w:r>
          </w:p>
        </w:tc>
        <w:tc>
          <w:tcPr>
            <w:tcW w:w="5016" w:type="dxa"/>
            <w:vAlign w:val="center"/>
          </w:tcPr>
          <w:p w14:paraId="55C59346" w14:textId="22F822E0" w:rsidR="005C21EB" w:rsidRPr="00AC711D" w:rsidRDefault="00AF464E" w:rsidP="002744F2">
            <w:pPr>
              <w:keepNext/>
              <w:rPr>
                <w:sz w:val="20"/>
                <w:szCs w:val="20"/>
                <w:lang w:val="es-ES"/>
              </w:rPr>
            </w:pPr>
            <w:r w:rsidRPr="00AC711D">
              <w:rPr>
                <w:sz w:val="20"/>
                <w:szCs w:val="20"/>
                <w:lang w:val="es-ES"/>
              </w:rPr>
              <w:t>Tasa de crecimiento</w:t>
            </w:r>
            <w:r w:rsidR="00EC3D67" w:rsidRPr="00AC711D">
              <w:rPr>
                <w:sz w:val="20"/>
                <w:szCs w:val="20"/>
                <w:lang w:val="es-ES"/>
              </w:rPr>
              <w:t xml:space="preserve"> del PIB</w:t>
            </w:r>
            <w:r w:rsidR="001305FC" w:rsidRPr="00AC711D">
              <w:rPr>
                <w:sz w:val="20"/>
                <w:szCs w:val="20"/>
                <w:lang w:val="es-ES"/>
              </w:rPr>
              <w:t xml:space="preserve"> basados en USD constantes de 2015</w:t>
            </w:r>
            <w:r w:rsidR="002314E4" w:rsidRPr="00AC711D">
              <w:rPr>
                <w:sz w:val="20"/>
                <w:szCs w:val="20"/>
                <w:lang w:val="es-ES"/>
              </w:rPr>
              <w:t xml:space="preserve"> para el país de origen</w:t>
            </w:r>
            <w:r w:rsidR="00B50004" w:rsidRPr="00AC711D">
              <w:rPr>
                <w:sz w:val="20"/>
                <w:szCs w:val="20"/>
                <w:lang w:val="es-ES"/>
              </w:rPr>
              <w:t xml:space="preserve"> de l</w:t>
            </w:r>
            <w:r w:rsidR="00FA2818" w:rsidRPr="00AC711D">
              <w:rPr>
                <w:sz w:val="20"/>
                <w:szCs w:val="20"/>
                <w:lang w:val="es-ES"/>
              </w:rPr>
              <w:t>a IED</w:t>
            </w:r>
            <w:r w:rsidR="00EC3D67" w:rsidRPr="00AC711D">
              <w:rPr>
                <w:sz w:val="20"/>
                <w:szCs w:val="20"/>
                <w:lang w:val="es-ES"/>
              </w:rPr>
              <w:t xml:space="preserve">. </w:t>
            </w:r>
            <w:r w:rsidR="00604EC3" w:rsidRPr="00AC711D">
              <w:rPr>
                <w:sz w:val="20"/>
                <w:szCs w:val="20"/>
                <w:lang w:val="es-ES"/>
              </w:rPr>
              <w:t>Cambio porcentual</w:t>
            </w:r>
            <w:r w:rsidR="008B0B4E" w:rsidRPr="00AC711D">
              <w:rPr>
                <w:sz w:val="20"/>
                <w:szCs w:val="20"/>
                <w:lang w:val="es-ES"/>
              </w:rPr>
              <w:t xml:space="preserve"> con respecto al </w:t>
            </w:r>
            <w:r w:rsidR="004D1F40" w:rsidRPr="00AC711D">
              <w:rPr>
                <w:sz w:val="20"/>
                <w:szCs w:val="20"/>
                <w:lang w:val="es-ES"/>
              </w:rPr>
              <w:t xml:space="preserve">mismo período </w:t>
            </w:r>
            <w:r w:rsidR="00E56173" w:rsidRPr="00AC711D">
              <w:rPr>
                <w:sz w:val="20"/>
                <w:szCs w:val="20"/>
                <w:lang w:val="es-ES"/>
              </w:rPr>
              <w:t xml:space="preserve">del año </w:t>
            </w:r>
            <w:r w:rsidR="004D1F40" w:rsidRPr="00AC711D">
              <w:rPr>
                <w:sz w:val="20"/>
                <w:szCs w:val="20"/>
                <w:lang w:val="es-ES"/>
              </w:rPr>
              <w:t>anterior</w:t>
            </w:r>
          </w:p>
        </w:tc>
        <w:tc>
          <w:tcPr>
            <w:tcW w:w="2730" w:type="dxa"/>
            <w:vAlign w:val="center"/>
          </w:tcPr>
          <w:p w14:paraId="5066D8C6" w14:textId="77777777" w:rsidR="005C21EB" w:rsidRPr="00AC711D" w:rsidRDefault="009113F5" w:rsidP="002744F2">
            <w:pPr>
              <w:keepNext/>
              <w:rPr>
                <w:sz w:val="20"/>
                <w:szCs w:val="20"/>
                <w:lang w:val="es-ES"/>
              </w:rPr>
            </w:pPr>
            <w:r w:rsidRPr="00AC711D">
              <w:rPr>
                <w:sz w:val="20"/>
                <w:szCs w:val="20"/>
                <w:lang w:val="es-ES"/>
              </w:rPr>
              <w:t>OCDE: Datos trimestrales</w:t>
            </w:r>
          </w:p>
          <w:p w14:paraId="17AFC89D" w14:textId="2D06B867" w:rsidR="009113F5" w:rsidRPr="00AC711D" w:rsidRDefault="009113F5" w:rsidP="002744F2">
            <w:pPr>
              <w:keepNext/>
              <w:rPr>
                <w:sz w:val="20"/>
                <w:szCs w:val="20"/>
                <w:lang w:val="es-ES"/>
              </w:rPr>
            </w:pPr>
            <w:r w:rsidRPr="00AC711D">
              <w:rPr>
                <w:sz w:val="20"/>
                <w:szCs w:val="20"/>
                <w:lang w:val="es-ES"/>
              </w:rPr>
              <w:t>UNC</w:t>
            </w:r>
            <w:r w:rsidR="00022E73" w:rsidRPr="00AC711D">
              <w:rPr>
                <w:sz w:val="20"/>
                <w:szCs w:val="20"/>
                <w:lang w:val="es-ES"/>
              </w:rPr>
              <w:t>TAD: Datos anuales</w:t>
            </w:r>
          </w:p>
        </w:tc>
      </w:tr>
      <w:tr w:rsidR="002153A7" w:rsidRPr="00AC711D" w14:paraId="1F44F568" w14:textId="77777777" w:rsidTr="00566BF5">
        <w:trPr>
          <w:trHeight w:val="170"/>
          <w:jc w:val="center"/>
        </w:trPr>
        <w:tc>
          <w:tcPr>
            <w:tcW w:w="2172" w:type="dxa"/>
            <w:vAlign w:val="center"/>
          </w:tcPr>
          <w:p w14:paraId="33B70FF8" w14:textId="1B8E1F3F" w:rsidR="00101278" w:rsidRPr="00AC711D" w:rsidRDefault="00101278" w:rsidP="002744F2">
            <w:pPr>
              <w:keepNext/>
              <w:rPr>
                <w:sz w:val="20"/>
                <w:szCs w:val="20"/>
                <w:lang w:val="es-ES"/>
              </w:rPr>
            </w:pPr>
            <w:proofErr w:type="spellStart"/>
            <w:r w:rsidRPr="00AC711D">
              <w:rPr>
                <w:sz w:val="20"/>
                <w:szCs w:val="20"/>
                <w:lang w:val="es-ES"/>
              </w:rPr>
              <w:t>PIB_percapita</w:t>
            </w:r>
            <w:proofErr w:type="spellEnd"/>
          </w:p>
        </w:tc>
        <w:tc>
          <w:tcPr>
            <w:tcW w:w="5016" w:type="dxa"/>
            <w:vAlign w:val="center"/>
          </w:tcPr>
          <w:p w14:paraId="10EC5A3D" w14:textId="7C3A186E" w:rsidR="00101278" w:rsidRPr="00AC711D" w:rsidRDefault="00E92A4B" w:rsidP="002744F2">
            <w:pPr>
              <w:keepNext/>
              <w:rPr>
                <w:sz w:val="20"/>
                <w:szCs w:val="20"/>
                <w:lang w:val="es-ES"/>
              </w:rPr>
            </w:pPr>
            <w:r w:rsidRPr="00AC711D">
              <w:rPr>
                <w:sz w:val="20"/>
                <w:szCs w:val="20"/>
                <w:lang w:val="es-ES"/>
              </w:rPr>
              <w:t>PIB per</w:t>
            </w:r>
            <w:r w:rsidR="00233E6C" w:rsidRPr="00AC711D">
              <w:rPr>
                <w:sz w:val="20"/>
                <w:szCs w:val="20"/>
                <w:lang w:val="es-ES"/>
              </w:rPr>
              <w:t xml:space="preserve"> cápita en </w:t>
            </w:r>
            <w:r w:rsidR="00A92DC6" w:rsidRPr="00AC711D">
              <w:rPr>
                <w:sz w:val="20"/>
                <w:szCs w:val="20"/>
                <w:lang w:val="es-ES"/>
              </w:rPr>
              <w:t xml:space="preserve">USD a precios constantes </w:t>
            </w:r>
            <w:r w:rsidR="00C058DB" w:rsidRPr="00AC711D">
              <w:rPr>
                <w:sz w:val="20"/>
                <w:szCs w:val="20"/>
                <w:lang w:val="es-ES"/>
              </w:rPr>
              <w:t>(2015)</w:t>
            </w:r>
            <w:r w:rsidR="004A01E8" w:rsidRPr="00AC711D">
              <w:rPr>
                <w:sz w:val="20"/>
                <w:szCs w:val="20"/>
                <w:lang w:val="es-ES"/>
              </w:rPr>
              <w:t xml:space="preserve"> </w:t>
            </w:r>
            <w:r w:rsidR="00A41589" w:rsidRPr="00AC711D">
              <w:rPr>
                <w:sz w:val="20"/>
                <w:szCs w:val="20"/>
                <w:lang w:val="es-ES"/>
              </w:rPr>
              <w:t xml:space="preserve">ajustados </w:t>
            </w:r>
            <w:r w:rsidR="00726C2A" w:rsidRPr="00AC711D">
              <w:rPr>
                <w:sz w:val="20"/>
                <w:szCs w:val="20"/>
                <w:lang w:val="es-ES"/>
              </w:rPr>
              <w:t>por PPP</w:t>
            </w:r>
            <w:r w:rsidR="004A01E8" w:rsidRPr="00AC711D">
              <w:rPr>
                <w:sz w:val="20"/>
                <w:szCs w:val="20"/>
                <w:lang w:val="es-ES"/>
              </w:rPr>
              <w:t>, del país de origen de la IED</w:t>
            </w:r>
          </w:p>
        </w:tc>
        <w:tc>
          <w:tcPr>
            <w:tcW w:w="2730" w:type="dxa"/>
            <w:vAlign w:val="center"/>
          </w:tcPr>
          <w:p w14:paraId="1199DC30" w14:textId="77777777" w:rsidR="007C26E7" w:rsidRPr="00AC711D" w:rsidRDefault="007C26E7" w:rsidP="002744F2">
            <w:pPr>
              <w:keepNext/>
              <w:rPr>
                <w:sz w:val="20"/>
                <w:szCs w:val="20"/>
                <w:lang w:val="es-ES"/>
              </w:rPr>
            </w:pPr>
            <w:r w:rsidRPr="00AC711D">
              <w:rPr>
                <w:sz w:val="20"/>
                <w:szCs w:val="20"/>
                <w:lang w:val="es-ES"/>
              </w:rPr>
              <w:t>OCDE: Datos trimestrales</w:t>
            </w:r>
          </w:p>
          <w:p w14:paraId="564E9207" w14:textId="56A0E72A" w:rsidR="00101278" w:rsidRPr="00AC711D" w:rsidRDefault="007C26E7" w:rsidP="002744F2">
            <w:pPr>
              <w:keepNext/>
              <w:rPr>
                <w:sz w:val="20"/>
                <w:szCs w:val="20"/>
                <w:lang w:val="es-ES"/>
              </w:rPr>
            </w:pPr>
            <w:r w:rsidRPr="00AC711D">
              <w:rPr>
                <w:sz w:val="20"/>
                <w:szCs w:val="20"/>
                <w:lang w:val="es-ES"/>
              </w:rPr>
              <w:t>UNCTAD: Datos anuales</w:t>
            </w:r>
          </w:p>
        </w:tc>
      </w:tr>
      <w:tr w:rsidR="002153A7" w:rsidRPr="00AC711D" w14:paraId="1CA3C30A" w14:textId="77777777" w:rsidTr="00566BF5">
        <w:trPr>
          <w:trHeight w:val="170"/>
          <w:jc w:val="center"/>
        </w:trPr>
        <w:tc>
          <w:tcPr>
            <w:tcW w:w="2172" w:type="dxa"/>
            <w:vAlign w:val="center"/>
          </w:tcPr>
          <w:p w14:paraId="0630E6DE" w14:textId="088CF163" w:rsidR="007C26E7" w:rsidRPr="00AC711D" w:rsidRDefault="009836D0" w:rsidP="002744F2">
            <w:pPr>
              <w:keepNext/>
              <w:rPr>
                <w:sz w:val="20"/>
                <w:szCs w:val="20"/>
                <w:lang w:val="es-ES"/>
              </w:rPr>
            </w:pPr>
            <w:r w:rsidRPr="00AC711D">
              <w:rPr>
                <w:sz w:val="20"/>
                <w:szCs w:val="20"/>
                <w:lang w:val="es-ES"/>
              </w:rPr>
              <w:t>IPC</w:t>
            </w:r>
          </w:p>
        </w:tc>
        <w:tc>
          <w:tcPr>
            <w:tcW w:w="5016" w:type="dxa"/>
            <w:vAlign w:val="center"/>
          </w:tcPr>
          <w:p w14:paraId="1D1574F8" w14:textId="797CBB49" w:rsidR="007C26E7" w:rsidRPr="00AC711D" w:rsidRDefault="008E4096" w:rsidP="002744F2">
            <w:pPr>
              <w:keepNext/>
              <w:rPr>
                <w:sz w:val="20"/>
                <w:szCs w:val="20"/>
                <w:lang w:val="es-ES"/>
              </w:rPr>
            </w:pPr>
            <w:r w:rsidRPr="00AC711D">
              <w:rPr>
                <w:sz w:val="20"/>
                <w:szCs w:val="20"/>
                <w:lang w:val="es-ES"/>
              </w:rPr>
              <w:t xml:space="preserve">Cambio </w:t>
            </w:r>
            <w:r w:rsidR="0016736F" w:rsidRPr="00AC711D">
              <w:rPr>
                <w:sz w:val="20"/>
                <w:szCs w:val="20"/>
                <w:lang w:val="es-ES"/>
              </w:rPr>
              <w:t>porcentual de</w:t>
            </w:r>
            <w:r w:rsidR="000E3F43" w:rsidRPr="00AC711D">
              <w:rPr>
                <w:sz w:val="20"/>
                <w:szCs w:val="20"/>
                <w:lang w:val="es-ES"/>
              </w:rPr>
              <w:t xml:space="preserve"> la inflación</w:t>
            </w:r>
            <w:r w:rsidR="0016736F" w:rsidRPr="00AC711D">
              <w:rPr>
                <w:sz w:val="20"/>
                <w:szCs w:val="20"/>
                <w:lang w:val="es-ES"/>
              </w:rPr>
              <w:t xml:space="preserve"> </w:t>
            </w:r>
            <w:r w:rsidR="00F753F0" w:rsidRPr="00AC711D">
              <w:rPr>
                <w:sz w:val="20"/>
                <w:szCs w:val="20"/>
                <w:lang w:val="es-ES"/>
              </w:rPr>
              <w:t xml:space="preserve">con </w:t>
            </w:r>
            <w:r w:rsidR="00D04736" w:rsidRPr="00AC711D">
              <w:rPr>
                <w:sz w:val="20"/>
                <w:szCs w:val="20"/>
                <w:lang w:val="es-ES"/>
              </w:rPr>
              <w:t>respecto al</w:t>
            </w:r>
            <w:r w:rsidR="0016736F" w:rsidRPr="00AC711D">
              <w:rPr>
                <w:sz w:val="20"/>
                <w:szCs w:val="20"/>
                <w:lang w:val="es-ES"/>
              </w:rPr>
              <w:t xml:space="preserve"> mismo período </w:t>
            </w:r>
            <w:r w:rsidR="004C53E3" w:rsidRPr="00AC711D">
              <w:rPr>
                <w:sz w:val="20"/>
                <w:szCs w:val="20"/>
                <w:lang w:val="es-ES"/>
              </w:rPr>
              <w:t>del año anterior</w:t>
            </w:r>
            <w:r w:rsidR="00DF32E0" w:rsidRPr="00AC711D">
              <w:rPr>
                <w:sz w:val="20"/>
                <w:szCs w:val="20"/>
                <w:lang w:val="es-ES"/>
              </w:rPr>
              <w:t>,</w:t>
            </w:r>
            <w:r w:rsidR="00D20773" w:rsidRPr="00AC711D">
              <w:rPr>
                <w:sz w:val="20"/>
                <w:szCs w:val="20"/>
                <w:lang w:val="es-ES"/>
              </w:rPr>
              <w:t xml:space="preserve"> del país de origen de la IED</w:t>
            </w:r>
          </w:p>
        </w:tc>
        <w:tc>
          <w:tcPr>
            <w:tcW w:w="2730" w:type="dxa"/>
            <w:vAlign w:val="center"/>
          </w:tcPr>
          <w:p w14:paraId="158FD622" w14:textId="77777777" w:rsidR="000E3F43" w:rsidRPr="00AC711D" w:rsidRDefault="000E3F43" w:rsidP="002744F2">
            <w:pPr>
              <w:keepNext/>
              <w:rPr>
                <w:sz w:val="20"/>
                <w:szCs w:val="20"/>
                <w:lang w:val="es-ES"/>
              </w:rPr>
            </w:pPr>
            <w:r w:rsidRPr="00AC711D">
              <w:rPr>
                <w:sz w:val="20"/>
                <w:szCs w:val="20"/>
                <w:lang w:val="es-ES"/>
              </w:rPr>
              <w:t>OCDE: Datos trimestrales</w:t>
            </w:r>
          </w:p>
          <w:p w14:paraId="5B3508E9" w14:textId="4A1694C4" w:rsidR="007C26E7" w:rsidRPr="00AC711D" w:rsidRDefault="000E3F43" w:rsidP="002744F2">
            <w:pPr>
              <w:keepNext/>
              <w:rPr>
                <w:sz w:val="20"/>
                <w:szCs w:val="20"/>
                <w:lang w:val="es-ES"/>
              </w:rPr>
            </w:pPr>
            <w:r w:rsidRPr="00AC711D">
              <w:rPr>
                <w:sz w:val="20"/>
                <w:szCs w:val="20"/>
                <w:lang w:val="es-ES"/>
              </w:rPr>
              <w:t>UNCTAD: Datos anuales</w:t>
            </w:r>
          </w:p>
        </w:tc>
      </w:tr>
      <w:tr w:rsidR="002153A7" w:rsidRPr="00AC711D" w14:paraId="259AB516" w14:textId="77777777" w:rsidTr="00566BF5">
        <w:trPr>
          <w:trHeight w:val="170"/>
          <w:jc w:val="center"/>
        </w:trPr>
        <w:tc>
          <w:tcPr>
            <w:tcW w:w="2172" w:type="dxa"/>
            <w:vAlign w:val="center"/>
          </w:tcPr>
          <w:p w14:paraId="786ECCDE" w14:textId="1E67CDA4" w:rsidR="000E3F43" w:rsidRPr="00AC711D" w:rsidRDefault="000E3F43" w:rsidP="002744F2">
            <w:pPr>
              <w:keepNext/>
              <w:rPr>
                <w:sz w:val="20"/>
                <w:szCs w:val="20"/>
                <w:lang w:val="es-ES"/>
              </w:rPr>
            </w:pPr>
            <w:r w:rsidRPr="00AC711D">
              <w:rPr>
                <w:sz w:val="20"/>
                <w:szCs w:val="20"/>
                <w:lang w:val="es-ES"/>
              </w:rPr>
              <w:t>BC</w:t>
            </w:r>
          </w:p>
        </w:tc>
        <w:tc>
          <w:tcPr>
            <w:tcW w:w="5016" w:type="dxa"/>
            <w:vAlign w:val="center"/>
          </w:tcPr>
          <w:p w14:paraId="4DB662E0" w14:textId="12781DC4" w:rsidR="000E3F43" w:rsidRPr="00AC711D" w:rsidRDefault="00D005C5" w:rsidP="002744F2">
            <w:pPr>
              <w:keepNext/>
              <w:rPr>
                <w:sz w:val="20"/>
                <w:szCs w:val="20"/>
                <w:lang w:val="es-ES"/>
              </w:rPr>
            </w:pPr>
            <w:r w:rsidRPr="00AC711D">
              <w:rPr>
                <w:sz w:val="20"/>
                <w:szCs w:val="20"/>
                <w:lang w:val="es-ES"/>
              </w:rPr>
              <w:t xml:space="preserve">Datos trimestrales de la balanza comercial </w:t>
            </w:r>
            <w:r w:rsidR="00E354B6" w:rsidRPr="00AC711D">
              <w:rPr>
                <w:sz w:val="20"/>
                <w:szCs w:val="20"/>
                <w:lang w:val="es-ES"/>
              </w:rPr>
              <w:t>entre</w:t>
            </w:r>
            <w:r w:rsidR="00241095" w:rsidRPr="00AC711D">
              <w:rPr>
                <w:sz w:val="20"/>
                <w:szCs w:val="20"/>
                <w:lang w:val="es-ES"/>
              </w:rPr>
              <w:t xml:space="preserve"> Colombia</w:t>
            </w:r>
            <w:r w:rsidR="00E354B6" w:rsidRPr="00AC711D">
              <w:rPr>
                <w:sz w:val="20"/>
                <w:szCs w:val="20"/>
                <w:lang w:val="es-ES"/>
              </w:rPr>
              <w:t xml:space="preserve"> y los países</w:t>
            </w:r>
            <w:r w:rsidR="00241095" w:rsidRPr="00AC711D">
              <w:rPr>
                <w:sz w:val="20"/>
                <w:szCs w:val="20"/>
                <w:lang w:val="es-ES"/>
              </w:rPr>
              <w:t>. Cifras en miles de USD</w:t>
            </w:r>
          </w:p>
        </w:tc>
        <w:tc>
          <w:tcPr>
            <w:tcW w:w="2730" w:type="dxa"/>
            <w:vAlign w:val="center"/>
          </w:tcPr>
          <w:p w14:paraId="68FBF960" w14:textId="0E39BE7C" w:rsidR="000E3F43" w:rsidRPr="00AC711D" w:rsidRDefault="004065E4" w:rsidP="002744F2">
            <w:pPr>
              <w:keepNext/>
              <w:rPr>
                <w:sz w:val="20"/>
                <w:szCs w:val="20"/>
                <w:lang w:val="es-ES"/>
              </w:rPr>
            </w:pPr>
            <w:proofErr w:type="spellStart"/>
            <w:r w:rsidRPr="00AC711D">
              <w:rPr>
                <w:sz w:val="20"/>
                <w:szCs w:val="20"/>
                <w:lang w:val="es-ES"/>
              </w:rPr>
              <w:t>Trade</w:t>
            </w:r>
            <w:proofErr w:type="spellEnd"/>
            <w:r w:rsidRPr="00AC711D">
              <w:rPr>
                <w:sz w:val="20"/>
                <w:szCs w:val="20"/>
                <w:lang w:val="es-ES"/>
              </w:rPr>
              <w:t xml:space="preserve"> </w:t>
            </w:r>
            <w:proofErr w:type="spellStart"/>
            <w:r w:rsidRPr="00AC711D">
              <w:rPr>
                <w:sz w:val="20"/>
                <w:szCs w:val="20"/>
                <w:lang w:val="es-ES"/>
              </w:rPr>
              <w:t>Map</w:t>
            </w:r>
            <w:proofErr w:type="spellEnd"/>
          </w:p>
        </w:tc>
      </w:tr>
      <w:tr w:rsidR="004E3351" w:rsidRPr="00AC711D" w14:paraId="0D53788F" w14:textId="77777777" w:rsidTr="00566BF5">
        <w:trPr>
          <w:trHeight w:val="170"/>
          <w:jc w:val="center"/>
        </w:trPr>
        <w:tc>
          <w:tcPr>
            <w:tcW w:w="2172" w:type="dxa"/>
            <w:vAlign w:val="center"/>
          </w:tcPr>
          <w:p w14:paraId="1051F516" w14:textId="08D88094" w:rsidR="004065E4" w:rsidRPr="00AC711D" w:rsidRDefault="00197A40" w:rsidP="002744F2">
            <w:pPr>
              <w:keepNext/>
              <w:rPr>
                <w:sz w:val="20"/>
                <w:szCs w:val="20"/>
                <w:lang w:val="es-ES"/>
              </w:rPr>
            </w:pPr>
            <w:proofErr w:type="spellStart"/>
            <w:r w:rsidRPr="00AC711D">
              <w:rPr>
                <w:sz w:val="20"/>
                <w:szCs w:val="20"/>
                <w:lang w:val="es-ES"/>
              </w:rPr>
              <w:t>Dif_impuesto</w:t>
            </w:r>
            <w:proofErr w:type="spellEnd"/>
          </w:p>
        </w:tc>
        <w:tc>
          <w:tcPr>
            <w:tcW w:w="5016" w:type="dxa"/>
            <w:vAlign w:val="center"/>
          </w:tcPr>
          <w:p w14:paraId="33341406" w14:textId="2F211061" w:rsidR="004065E4" w:rsidRPr="00AC711D" w:rsidRDefault="008F306A" w:rsidP="002744F2">
            <w:pPr>
              <w:keepNext/>
              <w:rPr>
                <w:sz w:val="20"/>
                <w:szCs w:val="20"/>
                <w:lang w:val="es-ES"/>
              </w:rPr>
            </w:pPr>
            <w:r w:rsidRPr="00AC711D">
              <w:rPr>
                <w:sz w:val="20"/>
                <w:szCs w:val="20"/>
                <w:lang w:val="es-ES"/>
              </w:rPr>
              <w:t>Toma los valores</w:t>
            </w:r>
            <w:r w:rsidR="00120293" w:rsidRPr="00AC711D">
              <w:rPr>
                <w:sz w:val="20"/>
                <w:szCs w:val="20"/>
                <w:lang w:val="es-ES"/>
              </w:rPr>
              <w:t xml:space="preserve"> de la d</w:t>
            </w:r>
            <w:r w:rsidR="004F4789" w:rsidRPr="00AC711D">
              <w:rPr>
                <w:sz w:val="20"/>
                <w:szCs w:val="20"/>
                <w:lang w:val="es-ES"/>
              </w:rPr>
              <w:t>iferencia del impuesto de renta entre</w:t>
            </w:r>
            <w:r w:rsidR="00963683" w:rsidRPr="00AC711D">
              <w:rPr>
                <w:sz w:val="20"/>
                <w:szCs w:val="20"/>
                <w:lang w:val="es-ES"/>
              </w:rPr>
              <w:t xml:space="preserve"> </w:t>
            </w:r>
            <w:r w:rsidR="00CA2917" w:rsidRPr="00AC711D">
              <w:rPr>
                <w:sz w:val="20"/>
                <w:szCs w:val="20"/>
                <w:lang w:val="es-ES"/>
              </w:rPr>
              <w:t>el país en observación</w:t>
            </w:r>
            <w:r w:rsidR="00100548" w:rsidRPr="00AC711D">
              <w:rPr>
                <w:sz w:val="20"/>
                <w:szCs w:val="20"/>
                <w:lang w:val="es-ES"/>
              </w:rPr>
              <w:t xml:space="preserve"> y Colombia</w:t>
            </w:r>
          </w:p>
        </w:tc>
        <w:tc>
          <w:tcPr>
            <w:tcW w:w="2730" w:type="dxa"/>
            <w:vAlign w:val="center"/>
          </w:tcPr>
          <w:p w14:paraId="6FF10B82" w14:textId="32A022B3" w:rsidR="004065E4" w:rsidRPr="00AC711D" w:rsidRDefault="00391A17" w:rsidP="002744F2">
            <w:pPr>
              <w:keepNext/>
              <w:rPr>
                <w:sz w:val="20"/>
                <w:szCs w:val="20"/>
                <w:lang w:val="es-ES"/>
              </w:rPr>
            </w:pPr>
            <w:r w:rsidRPr="00AC711D">
              <w:rPr>
                <w:sz w:val="20"/>
                <w:szCs w:val="20"/>
                <w:lang w:val="es-ES"/>
              </w:rPr>
              <w:t>Variable creada</w:t>
            </w:r>
            <w:r w:rsidR="00124967" w:rsidRPr="00AC711D">
              <w:rPr>
                <w:sz w:val="20"/>
                <w:szCs w:val="20"/>
                <w:lang w:val="es-ES"/>
              </w:rPr>
              <w:t xml:space="preserve"> a partir de los datos de </w:t>
            </w:r>
            <w:r w:rsidR="001E3501" w:rsidRPr="00AC711D">
              <w:rPr>
                <w:sz w:val="20"/>
                <w:szCs w:val="20"/>
                <w:lang w:val="es-ES"/>
              </w:rPr>
              <w:t>taxfoundation.org</w:t>
            </w:r>
          </w:p>
        </w:tc>
      </w:tr>
      <w:tr w:rsidR="004E3351" w:rsidRPr="00AC711D" w14:paraId="17BD88C5" w14:textId="77777777" w:rsidTr="00566BF5">
        <w:trPr>
          <w:trHeight w:val="170"/>
          <w:jc w:val="center"/>
        </w:trPr>
        <w:tc>
          <w:tcPr>
            <w:tcW w:w="2172" w:type="dxa"/>
            <w:vAlign w:val="center"/>
          </w:tcPr>
          <w:p w14:paraId="0931E548" w14:textId="211CA5C6" w:rsidR="001E3501" w:rsidRPr="00AC711D" w:rsidRDefault="0081203C" w:rsidP="002744F2">
            <w:pPr>
              <w:keepNext/>
              <w:rPr>
                <w:sz w:val="20"/>
                <w:szCs w:val="20"/>
                <w:lang w:val="es-ES"/>
              </w:rPr>
            </w:pPr>
            <w:proofErr w:type="spellStart"/>
            <w:r w:rsidRPr="00AC711D">
              <w:rPr>
                <w:sz w:val="20"/>
                <w:szCs w:val="20"/>
                <w:lang w:val="es-ES"/>
              </w:rPr>
              <w:t>Acuerdo_comercial</w:t>
            </w:r>
            <w:proofErr w:type="spellEnd"/>
          </w:p>
        </w:tc>
        <w:tc>
          <w:tcPr>
            <w:tcW w:w="5016" w:type="dxa"/>
            <w:vAlign w:val="center"/>
          </w:tcPr>
          <w:p w14:paraId="5A35A1D1" w14:textId="76FF7A63" w:rsidR="001E3501" w:rsidRPr="00AC711D" w:rsidRDefault="0081203C" w:rsidP="002744F2">
            <w:pPr>
              <w:keepNext/>
              <w:rPr>
                <w:sz w:val="20"/>
                <w:szCs w:val="20"/>
                <w:lang w:val="es-ES"/>
              </w:rPr>
            </w:pPr>
            <w:r w:rsidRPr="00AC711D">
              <w:rPr>
                <w:sz w:val="20"/>
                <w:szCs w:val="20"/>
                <w:lang w:val="es-ES"/>
              </w:rPr>
              <w:t>= 1 para acuerdo comercial vigente entre el país y Colombia</w:t>
            </w:r>
            <w:r w:rsidR="006A3C62" w:rsidRPr="00AC711D">
              <w:rPr>
                <w:sz w:val="20"/>
                <w:szCs w:val="20"/>
                <w:lang w:val="es-ES"/>
              </w:rPr>
              <w:t>, 0 en caso contrario</w:t>
            </w:r>
          </w:p>
        </w:tc>
        <w:tc>
          <w:tcPr>
            <w:tcW w:w="2730" w:type="dxa"/>
            <w:vAlign w:val="center"/>
          </w:tcPr>
          <w:p w14:paraId="568DC4A3" w14:textId="41FD30A2" w:rsidR="001E3501" w:rsidRPr="00AC711D" w:rsidRDefault="004B6F7B" w:rsidP="002744F2">
            <w:pPr>
              <w:keepNext/>
              <w:rPr>
                <w:sz w:val="20"/>
                <w:szCs w:val="20"/>
                <w:lang w:val="es-ES"/>
              </w:rPr>
            </w:pPr>
            <w:r w:rsidRPr="00AC711D">
              <w:rPr>
                <w:sz w:val="20"/>
                <w:szCs w:val="20"/>
                <w:lang w:val="es-ES"/>
              </w:rPr>
              <w:t>SICE</w:t>
            </w:r>
            <w:r w:rsidR="002E1AFD" w:rsidRPr="00AC711D">
              <w:rPr>
                <w:sz w:val="20"/>
                <w:szCs w:val="20"/>
                <w:lang w:val="es-ES"/>
              </w:rPr>
              <w:t xml:space="preserve"> OEA</w:t>
            </w:r>
          </w:p>
        </w:tc>
      </w:tr>
      <w:tr w:rsidR="004E3351" w:rsidRPr="00AC711D" w14:paraId="4A9C5389" w14:textId="77777777" w:rsidTr="00566BF5">
        <w:trPr>
          <w:trHeight w:val="170"/>
          <w:jc w:val="center"/>
        </w:trPr>
        <w:tc>
          <w:tcPr>
            <w:tcW w:w="2172" w:type="dxa"/>
            <w:vAlign w:val="center"/>
          </w:tcPr>
          <w:p w14:paraId="3003452E" w14:textId="62E100CD" w:rsidR="002E1AFD" w:rsidRPr="00AC711D" w:rsidRDefault="000E4ECF" w:rsidP="002744F2">
            <w:pPr>
              <w:keepNext/>
              <w:rPr>
                <w:sz w:val="20"/>
                <w:szCs w:val="20"/>
                <w:highlight w:val="yellow"/>
                <w:lang w:val="es-ES"/>
              </w:rPr>
            </w:pPr>
            <w:proofErr w:type="spellStart"/>
            <w:r w:rsidRPr="00AC711D">
              <w:rPr>
                <w:sz w:val="20"/>
                <w:szCs w:val="20"/>
                <w:highlight w:val="yellow"/>
                <w:lang w:val="es-ES"/>
              </w:rPr>
              <w:t>Acuerdo_prot_inversion</w:t>
            </w:r>
            <w:proofErr w:type="spellEnd"/>
          </w:p>
        </w:tc>
        <w:tc>
          <w:tcPr>
            <w:tcW w:w="5016" w:type="dxa"/>
            <w:vAlign w:val="center"/>
          </w:tcPr>
          <w:p w14:paraId="0881B16F" w14:textId="36E90675" w:rsidR="002E1AFD" w:rsidRPr="00AC711D" w:rsidRDefault="0074626F" w:rsidP="002744F2">
            <w:pPr>
              <w:keepNext/>
              <w:rPr>
                <w:sz w:val="20"/>
                <w:szCs w:val="20"/>
                <w:lang w:val="es-ES"/>
              </w:rPr>
            </w:pPr>
            <w:r w:rsidRPr="00AC711D">
              <w:rPr>
                <w:sz w:val="20"/>
                <w:szCs w:val="20"/>
                <w:lang w:val="es-ES"/>
              </w:rPr>
              <w:t>= 1 para acuerdo de protección de inversión vigente entre el país y Colombia, 0 en caso contrario</w:t>
            </w:r>
          </w:p>
        </w:tc>
        <w:tc>
          <w:tcPr>
            <w:tcW w:w="2730" w:type="dxa"/>
            <w:vAlign w:val="center"/>
          </w:tcPr>
          <w:p w14:paraId="728099E1" w14:textId="77777777" w:rsidR="002E1AFD" w:rsidRPr="00AC711D" w:rsidRDefault="002E1AFD" w:rsidP="002744F2">
            <w:pPr>
              <w:keepNext/>
              <w:rPr>
                <w:sz w:val="20"/>
                <w:szCs w:val="20"/>
                <w:lang w:val="es-ES"/>
              </w:rPr>
            </w:pPr>
          </w:p>
        </w:tc>
      </w:tr>
      <w:tr w:rsidR="009401B3" w:rsidRPr="00AC711D" w14:paraId="60CE45B1" w14:textId="77777777" w:rsidTr="00566BF5">
        <w:trPr>
          <w:trHeight w:val="170"/>
          <w:jc w:val="center"/>
        </w:trPr>
        <w:tc>
          <w:tcPr>
            <w:tcW w:w="2172" w:type="dxa"/>
            <w:vAlign w:val="center"/>
          </w:tcPr>
          <w:p w14:paraId="16882700" w14:textId="03325AB1" w:rsidR="00C55985" w:rsidRPr="00AC711D" w:rsidRDefault="00C55985" w:rsidP="002744F2">
            <w:pPr>
              <w:keepNext/>
              <w:rPr>
                <w:sz w:val="20"/>
                <w:szCs w:val="20"/>
                <w:highlight w:val="yellow"/>
                <w:lang w:val="es-ES"/>
              </w:rPr>
            </w:pPr>
            <w:proofErr w:type="spellStart"/>
            <w:r w:rsidRPr="00AC711D">
              <w:rPr>
                <w:sz w:val="20"/>
                <w:szCs w:val="20"/>
                <w:lang w:val="es-ES"/>
              </w:rPr>
              <w:t>Distancia_km</w:t>
            </w:r>
            <w:proofErr w:type="spellEnd"/>
          </w:p>
        </w:tc>
        <w:tc>
          <w:tcPr>
            <w:tcW w:w="5016" w:type="dxa"/>
            <w:vAlign w:val="center"/>
          </w:tcPr>
          <w:p w14:paraId="004CDB09" w14:textId="3DA24502" w:rsidR="00C55985" w:rsidRPr="00AC711D" w:rsidRDefault="0087187A" w:rsidP="002744F2">
            <w:pPr>
              <w:keepNext/>
              <w:rPr>
                <w:sz w:val="20"/>
                <w:szCs w:val="20"/>
                <w:lang w:val="es-ES"/>
              </w:rPr>
            </w:pPr>
            <w:r w:rsidRPr="00AC711D">
              <w:rPr>
                <w:sz w:val="20"/>
                <w:szCs w:val="20"/>
                <w:lang w:val="es-ES"/>
              </w:rPr>
              <w:t>Efecto fijo</w:t>
            </w:r>
            <w:r w:rsidR="00020568" w:rsidRPr="00AC711D">
              <w:rPr>
                <w:sz w:val="20"/>
                <w:szCs w:val="20"/>
                <w:lang w:val="es-ES"/>
              </w:rPr>
              <w:t xml:space="preserve"> de tiempo</w:t>
            </w:r>
            <w:r w:rsidRPr="00AC711D">
              <w:rPr>
                <w:sz w:val="20"/>
                <w:szCs w:val="20"/>
                <w:lang w:val="es-ES"/>
              </w:rPr>
              <w:t xml:space="preserve">: </w:t>
            </w:r>
            <w:r w:rsidR="00C55985" w:rsidRPr="00AC711D">
              <w:rPr>
                <w:sz w:val="20"/>
                <w:szCs w:val="20"/>
                <w:lang w:val="es-ES"/>
              </w:rPr>
              <w:t>Distancia en Km entre la capital de cada país y la ciudad de Bogotá.</w:t>
            </w:r>
          </w:p>
        </w:tc>
        <w:tc>
          <w:tcPr>
            <w:tcW w:w="2730" w:type="dxa"/>
            <w:vAlign w:val="center"/>
          </w:tcPr>
          <w:p w14:paraId="1F7B85F2" w14:textId="505CF25A" w:rsidR="00C55985" w:rsidRPr="00AC711D" w:rsidRDefault="00A8742F" w:rsidP="002744F2">
            <w:pPr>
              <w:keepNext/>
              <w:rPr>
                <w:sz w:val="20"/>
                <w:szCs w:val="20"/>
                <w:lang w:val="es-ES"/>
              </w:rPr>
            </w:pPr>
            <w:r w:rsidRPr="00AC711D">
              <w:rPr>
                <w:sz w:val="20"/>
                <w:szCs w:val="20"/>
                <w:lang w:val="es-ES"/>
              </w:rPr>
              <w:t xml:space="preserve">Google </w:t>
            </w:r>
            <w:proofErr w:type="spellStart"/>
            <w:r w:rsidRPr="00AC711D">
              <w:rPr>
                <w:sz w:val="20"/>
                <w:szCs w:val="20"/>
                <w:lang w:val="es-ES"/>
              </w:rPr>
              <w:t>Maps</w:t>
            </w:r>
            <w:proofErr w:type="spellEnd"/>
          </w:p>
        </w:tc>
      </w:tr>
      <w:tr w:rsidR="009401B3" w:rsidRPr="00AC711D" w14:paraId="59AD0FB1" w14:textId="77777777" w:rsidTr="00566BF5">
        <w:trPr>
          <w:trHeight w:val="170"/>
          <w:jc w:val="center"/>
        </w:trPr>
        <w:tc>
          <w:tcPr>
            <w:tcW w:w="2172" w:type="dxa"/>
            <w:vAlign w:val="center"/>
          </w:tcPr>
          <w:p w14:paraId="1D22097C" w14:textId="7BD6CD3A" w:rsidR="00A8742F" w:rsidRPr="00AC711D" w:rsidRDefault="00387DDC" w:rsidP="002744F2">
            <w:pPr>
              <w:keepNext/>
              <w:rPr>
                <w:sz w:val="20"/>
                <w:szCs w:val="20"/>
                <w:lang w:val="es-ES"/>
              </w:rPr>
            </w:pPr>
            <w:r w:rsidRPr="00AC711D">
              <w:rPr>
                <w:sz w:val="20"/>
                <w:szCs w:val="20"/>
                <w:lang w:val="es-ES"/>
              </w:rPr>
              <w:t>S.P_500</w:t>
            </w:r>
          </w:p>
        </w:tc>
        <w:tc>
          <w:tcPr>
            <w:tcW w:w="5016" w:type="dxa"/>
            <w:vAlign w:val="center"/>
          </w:tcPr>
          <w:p w14:paraId="3DD2A726" w14:textId="014B50E3" w:rsidR="00A8742F" w:rsidRPr="00AC711D" w:rsidRDefault="0087187A" w:rsidP="002744F2">
            <w:pPr>
              <w:keepNext/>
              <w:rPr>
                <w:sz w:val="20"/>
                <w:szCs w:val="20"/>
                <w:lang w:val="es-ES"/>
              </w:rPr>
            </w:pPr>
            <w:r w:rsidRPr="00AC711D">
              <w:rPr>
                <w:sz w:val="20"/>
                <w:szCs w:val="20"/>
                <w:lang w:val="es-ES"/>
              </w:rPr>
              <w:t>Efecto fijo</w:t>
            </w:r>
            <w:r w:rsidR="00020568" w:rsidRPr="00AC711D">
              <w:rPr>
                <w:sz w:val="20"/>
                <w:szCs w:val="20"/>
                <w:lang w:val="es-ES"/>
              </w:rPr>
              <w:t xml:space="preserve"> entre individuos</w:t>
            </w:r>
            <w:r w:rsidRPr="00AC711D">
              <w:rPr>
                <w:sz w:val="20"/>
                <w:szCs w:val="20"/>
                <w:lang w:val="es-ES"/>
              </w:rPr>
              <w:t xml:space="preserve">: </w:t>
            </w:r>
            <w:r w:rsidR="002153A7" w:rsidRPr="00AC711D">
              <w:rPr>
                <w:sz w:val="20"/>
                <w:szCs w:val="20"/>
                <w:lang w:val="es-ES"/>
              </w:rPr>
              <w:t>Datos trimestrales del í</w:t>
            </w:r>
            <w:r w:rsidR="00387DDC" w:rsidRPr="00AC711D">
              <w:rPr>
                <w:sz w:val="20"/>
                <w:szCs w:val="20"/>
                <w:lang w:val="es-ES"/>
              </w:rPr>
              <w:t>ndice S&amp;P 500</w:t>
            </w:r>
            <w:r w:rsidR="00773FB9" w:rsidRPr="00AC711D">
              <w:rPr>
                <w:sz w:val="20"/>
                <w:szCs w:val="20"/>
                <w:lang w:val="es-ES"/>
              </w:rPr>
              <w:t>. Valores en USD</w:t>
            </w:r>
          </w:p>
        </w:tc>
        <w:tc>
          <w:tcPr>
            <w:tcW w:w="2730" w:type="dxa"/>
            <w:vAlign w:val="center"/>
          </w:tcPr>
          <w:p w14:paraId="5563331F" w14:textId="086BF89F" w:rsidR="00A8742F" w:rsidRPr="00AC711D" w:rsidRDefault="00387DDC" w:rsidP="002744F2">
            <w:pPr>
              <w:keepNext/>
              <w:rPr>
                <w:sz w:val="20"/>
                <w:szCs w:val="20"/>
                <w:lang w:val="es-ES"/>
              </w:rPr>
            </w:pPr>
            <w:r w:rsidRPr="00AC711D">
              <w:rPr>
                <w:sz w:val="20"/>
                <w:szCs w:val="20"/>
                <w:lang w:val="es-ES"/>
              </w:rPr>
              <w:t>Investing.com</w:t>
            </w:r>
          </w:p>
        </w:tc>
      </w:tr>
      <w:tr w:rsidR="002153A7" w:rsidRPr="00AC711D" w14:paraId="025AC93A" w14:textId="77777777" w:rsidTr="00566BF5">
        <w:trPr>
          <w:trHeight w:val="170"/>
          <w:jc w:val="center"/>
        </w:trPr>
        <w:tc>
          <w:tcPr>
            <w:tcW w:w="2172" w:type="dxa"/>
            <w:vAlign w:val="center"/>
          </w:tcPr>
          <w:p w14:paraId="377E1BEE" w14:textId="361C4E5B" w:rsidR="002153A7" w:rsidRPr="00AC711D" w:rsidRDefault="00780086" w:rsidP="002744F2">
            <w:pPr>
              <w:keepNext/>
              <w:rPr>
                <w:sz w:val="20"/>
                <w:szCs w:val="20"/>
                <w:lang w:val="es-ES"/>
              </w:rPr>
            </w:pPr>
            <w:r w:rsidRPr="00AC711D">
              <w:rPr>
                <w:sz w:val="20"/>
                <w:szCs w:val="20"/>
                <w:lang w:val="es-ES"/>
              </w:rPr>
              <w:t>Brent</w:t>
            </w:r>
          </w:p>
        </w:tc>
        <w:tc>
          <w:tcPr>
            <w:tcW w:w="5016" w:type="dxa"/>
            <w:vAlign w:val="center"/>
          </w:tcPr>
          <w:p w14:paraId="7C025D1D" w14:textId="40F758AD" w:rsidR="002153A7" w:rsidRPr="00AC711D" w:rsidRDefault="00780086" w:rsidP="002744F2">
            <w:pPr>
              <w:keepNext/>
              <w:rPr>
                <w:sz w:val="20"/>
                <w:szCs w:val="20"/>
                <w:lang w:val="es-ES"/>
              </w:rPr>
            </w:pPr>
            <w:r w:rsidRPr="00AC711D">
              <w:rPr>
                <w:sz w:val="20"/>
                <w:szCs w:val="20"/>
                <w:lang w:val="es-ES"/>
              </w:rPr>
              <w:t>Efecto fijo</w:t>
            </w:r>
            <w:r w:rsidR="00020568" w:rsidRPr="00AC711D">
              <w:rPr>
                <w:sz w:val="20"/>
                <w:szCs w:val="20"/>
                <w:lang w:val="es-ES"/>
              </w:rPr>
              <w:t xml:space="preserve"> entre individuos</w:t>
            </w:r>
            <w:r w:rsidRPr="00AC711D">
              <w:rPr>
                <w:sz w:val="20"/>
                <w:szCs w:val="20"/>
                <w:lang w:val="es-ES"/>
              </w:rPr>
              <w:t>:</w:t>
            </w:r>
            <w:r w:rsidR="00773FB9" w:rsidRPr="00AC711D">
              <w:rPr>
                <w:sz w:val="20"/>
                <w:szCs w:val="20"/>
                <w:lang w:val="es-ES"/>
              </w:rPr>
              <w:t xml:space="preserve"> </w:t>
            </w:r>
            <w:r w:rsidR="004E3351" w:rsidRPr="00AC711D">
              <w:rPr>
                <w:sz w:val="20"/>
                <w:szCs w:val="20"/>
                <w:lang w:val="es-ES"/>
              </w:rPr>
              <w:t>Futuros p</w:t>
            </w:r>
            <w:r w:rsidR="009A33A1" w:rsidRPr="00AC711D">
              <w:rPr>
                <w:sz w:val="20"/>
                <w:szCs w:val="20"/>
                <w:lang w:val="es-ES"/>
              </w:rPr>
              <w:t xml:space="preserve">recio del </w:t>
            </w:r>
            <w:r w:rsidR="002F70B9" w:rsidRPr="00AC711D">
              <w:rPr>
                <w:sz w:val="20"/>
                <w:szCs w:val="20"/>
                <w:lang w:val="es-ES"/>
              </w:rPr>
              <w:t>P</w:t>
            </w:r>
            <w:r w:rsidR="009A33A1" w:rsidRPr="00AC711D">
              <w:rPr>
                <w:sz w:val="20"/>
                <w:szCs w:val="20"/>
                <w:lang w:val="es-ES"/>
              </w:rPr>
              <w:t>etróleo Brent</w:t>
            </w:r>
            <w:r w:rsidR="002F70B9" w:rsidRPr="00AC711D">
              <w:rPr>
                <w:sz w:val="20"/>
                <w:szCs w:val="20"/>
                <w:lang w:val="es-ES"/>
              </w:rPr>
              <w:t>. Valores en USD</w:t>
            </w:r>
          </w:p>
        </w:tc>
        <w:tc>
          <w:tcPr>
            <w:tcW w:w="2730" w:type="dxa"/>
            <w:vAlign w:val="center"/>
          </w:tcPr>
          <w:p w14:paraId="01BB1D2C" w14:textId="3BA54594" w:rsidR="002153A7" w:rsidRPr="00AC711D" w:rsidRDefault="00243ACD" w:rsidP="002744F2">
            <w:pPr>
              <w:keepNext/>
              <w:rPr>
                <w:sz w:val="20"/>
                <w:szCs w:val="20"/>
                <w:lang w:val="es-ES"/>
              </w:rPr>
            </w:pPr>
            <w:r w:rsidRPr="00AC711D">
              <w:rPr>
                <w:sz w:val="20"/>
                <w:szCs w:val="20"/>
                <w:lang w:val="es-ES"/>
              </w:rPr>
              <w:t>Investing.com</w:t>
            </w:r>
          </w:p>
        </w:tc>
      </w:tr>
    </w:tbl>
    <w:p w14:paraId="5491BD41" w14:textId="77777777" w:rsidR="006F06F2" w:rsidRPr="00CD503F" w:rsidRDefault="006F06F2" w:rsidP="00155715">
      <w:pPr>
        <w:widowControl w:val="0"/>
        <w:autoSpaceDE w:val="0"/>
        <w:autoSpaceDN w:val="0"/>
        <w:ind w:right="114"/>
        <w:jc w:val="both"/>
        <w:rPr>
          <w:highlight w:val="yellow"/>
          <w:lang w:val="es-ES"/>
        </w:rPr>
      </w:pPr>
    </w:p>
    <w:p w14:paraId="2BFF1D51" w14:textId="3A043B5C" w:rsidR="00B45A0E" w:rsidRDefault="00077F18" w:rsidP="00155715">
      <w:pPr>
        <w:pStyle w:val="Heading3"/>
        <w:jc w:val="both"/>
        <w:rPr>
          <w:lang w:val="es-ES"/>
        </w:rPr>
      </w:pPr>
      <w:bookmarkStart w:id="1" w:name="OLE_LINK1"/>
      <w:r>
        <w:rPr>
          <w:lang w:val="es-ES"/>
        </w:rPr>
        <w:t>Estadísticas descriptivas</w:t>
      </w:r>
    </w:p>
    <w:p w14:paraId="164B0EE2" w14:textId="77777777" w:rsidR="00077F18" w:rsidRDefault="00077F18" w:rsidP="00077F18">
      <w:pPr>
        <w:rPr>
          <w:lang w:val="es-ES"/>
        </w:rPr>
      </w:pPr>
    </w:p>
    <w:p w14:paraId="4075EED6" w14:textId="23F63ABF" w:rsidR="00077F18" w:rsidRDefault="00300733" w:rsidP="00077F18">
      <w:pPr>
        <w:rPr>
          <w:lang w:val="es-ES"/>
        </w:rPr>
      </w:pPr>
      <w:r>
        <w:rPr>
          <w:lang w:val="es-ES"/>
        </w:rPr>
        <w:t>La tabla 4 muestra el resumen de algunas estadísticas descriptivas</w:t>
      </w:r>
    </w:p>
    <w:p w14:paraId="3AED1F31" w14:textId="77777777" w:rsidR="006E31CF" w:rsidRDefault="006E31CF" w:rsidP="00077F18">
      <w:pPr>
        <w:rPr>
          <w:lang w:val="es-ES"/>
        </w:rPr>
      </w:pPr>
    </w:p>
    <w:p w14:paraId="1D751F66" w14:textId="58CA1B1B" w:rsidR="006E31CF" w:rsidRPr="000C1EE5" w:rsidRDefault="006E31CF" w:rsidP="00566BF5">
      <w:pPr>
        <w:pStyle w:val="Caption"/>
        <w:keepNext/>
        <w:jc w:val="center"/>
        <w:rPr>
          <w:rFonts w:ascii="Garamond" w:hAnsi="Garamond"/>
          <w:color w:val="404040" w:themeColor="text1" w:themeTint="BF"/>
          <w:sz w:val="22"/>
          <w:szCs w:val="22"/>
          <w:lang w:val="es-ES"/>
        </w:rPr>
      </w:pPr>
      <w:r w:rsidRPr="000C1EE5">
        <w:rPr>
          <w:rFonts w:ascii="Garamond" w:hAnsi="Garamond"/>
          <w:color w:val="404040" w:themeColor="text1" w:themeTint="BF"/>
          <w:sz w:val="22"/>
          <w:szCs w:val="22"/>
          <w:lang w:val="es-ES"/>
        </w:rPr>
        <w:t xml:space="preserve">Tabla </w:t>
      </w:r>
      <w:r w:rsidRPr="000C1EE5">
        <w:rPr>
          <w:rFonts w:ascii="Garamond" w:hAnsi="Garamond"/>
          <w:color w:val="404040" w:themeColor="text1" w:themeTint="BF"/>
          <w:sz w:val="22"/>
          <w:szCs w:val="22"/>
          <w:lang w:val="es-ES"/>
        </w:rPr>
        <w:fldChar w:fldCharType="begin"/>
      </w:r>
      <w:r w:rsidRPr="000C1EE5">
        <w:rPr>
          <w:rFonts w:ascii="Garamond" w:hAnsi="Garamond"/>
          <w:color w:val="404040" w:themeColor="text1" w:themeTint="BF"/>
          <w:sz w:val="22"/>
          <w:szCs w:val="22"/>
          <w:lang w:val="es-ES"/>
        </w:rPr>
        <w:instrText xml:space="preserve"> SEQ Tabla \* ARABIC </w:instrText>
      </w:r>
      <w:r w:rsidRPr="000C1EE5">
        <w:rPr>
          <w:rFonts w:ascii="Garamond" w:hAnsi="Garamond"/>
          <w:color w:val="404040" w:themeColor="text1" w:themeTint="BF"/>
          <w:sz w:val="22"/>
          <w:szCs w:val="22"/>
          <w:lang w:val="es-ES"/>
        </w:rPr>
        <w:fldChar w:fldCharType="separate"/>
      </w:r>
      <w:r w:rsidR="00B74590">
        <w:rPr>
          <w:rFonts w:ascii="Garamond" w:hAnsi="Garamond"/>
          <w:noProof/>
          <w:color w:val="404040" w:themeColor="text1" w:themeTint="BF"/>
          <w:sz w:val="22"/>
          <w:szCs w:val="22"/>
          <w:lang w:val="es-ES"/>
        </w:rPr>
        <w:t>4</w:t>
      </w:r>
      <w:r w:rsidRPr="000C1EE5">
        <w:rPr>
          <w:rFonts w:ascii="Garamond" w:hAnsi="Garamond"/>
          <w:color w:val="404040" w:themeColor="text1" w:themeTint="BF"/>
          <w:sz w:val="22"/>
          <w:szCs w:val="22"/>
          <w:lang w:val="es-ES"/>
        </w:rPr>
        <w:fldChar w:fldCharType="end"/>
      </w:r>
      <w:r w:rsidRPr="000C1EE5">
        <w:rPr>
          <w:rFonts w:ascii="Garamond" w:hAnsi="Garamond"/>
          <w:color w:val="404040" w:themeColor="text1" w:themeTint="BF"/>
          <w:sz w:val="22"/>
          <w:szCs w:val="22"/>
          <w:lang w:val="es-ES"/>
        </w:rPr>
        <w:t>. Estadísticas descriptivas</w:t>
      </w:r>
    </w:p>
    <w:tbl>
      <w:tblPr>
        <w:tblW w:w="8200" w:type="dxa"/>
        <w:jc w:val="center"/>
        <w:tblLook w:val="04A0" w:firstRow="1" w:lastRow="0" w:firstColumn="1" w:lastColumn="0" w:noHBand="0" w:noVBand="1"/>
      </w:tblPr>
      <w:tblGrid>
        <w:gridCol w:w="2220"/>
        <w:gridCol w:w="1220"/>
        <w:gridCol w:w="1780"/>
        <w:gridCol w:w="1520"/>
        <w:gridCol w:w="1460"/>
      </w:tblGrid>
      <w:tr w:rsidR="006E31CF" w14:paraId="79ED3528" w14:textId="77777777" w:rsidTr="00566BF5">
        <w:trPr>
          <w:trHeight w:val="57"/>
          <w:jc w:val="center"/>
        </w:trPr>
        <w:tc>
          <w:tcPr>
            <w:tcW w:w="2220" w:type="dxa"/>
            <w:tcBorders>
              <w:top w:val="single" w:sz="4" w:space="0" w:color="auto"/>
              <w:left w:val="nil"/>
              <w:bottom w:val="single" w:sz="8" w:space="0" w:color="auto"/>
              <w:right w:val="nil"/>
            </w:tcBorders>
            <w:shd w:val="clear" w:color="auto" w:fill="auto"/>
            <w:noWrap/>
            <w:vAlign w:val="bottom"/>
            <w:hideMark/>
          </w:tcPr>
          <w:p w14:paraId="684F1EF3" w14:textId="77777777" w:rsidR="006E31CF" w:rsidRDefault="006E31CF">
            <w:pPr>
              <w:jc w:val="center"/>
              <w:rPr>
                <w:rFonts w:ascii="Garamond" w:hAnsi="Garamond" w:cs="Calibri"/>
                <w:b/>
                <w:bCs/>
                <w:color w:val="000000"/>
                <w:sz w:val="20"/>
                <w:szCs w:val="20"/>
                <w:lang w:val="en-CO"/>
              </w:rPr>
            </w:pPr>
            <w:r>
              <w:rPr>
                <w:rFonts w:ascii="Garamond" w:hAnsi="Garamond" w:cs="Calibri"/>
                <w:b/>
                <w:bCs/>
                <w:color w:val="000000"/>
                <w:sz w:val="20"/>
                <w:szCs w:val="20"/>
              </w:rPr>
              <w:t>Variable</w:t>
            </w:r>
          </w:p>
        </w:tc>
        <w:tc>
          <w:tcPr>
            <w:tcW w:w="1220" w:type="dxa"/>
            <w:tcBorders>
              <w:top w:val="single" w:sz="4" w:space="0" w:color="auto"/>
              <w:left w:val="nil"/>
              <w:bottom w:val="single" w:sz="8" w:space="0" w:color="auto"/>
              <w:right w:val="nil"/>
            </w:tcBorders>
            <w:shd w:val="clear" w:color="auto" w:fill="auto"/>
            <w:noWrap/>
            <w:vAlign w:val="bottom"/>
            <w:hideMark/>
          </w:tcPr>
          <w:p w14:paraId="3E63482A" w14:textId="77777777" w:rsidR="006E31CF" w:rsidRDefault="006E31CF">
            <w:pPr>
              <w:jc w:val="center"/>
              <w:rPr>
                <w:rFonts w:ascii="Garamond" w:hAnsi="Garamond" w:cs="Calibri"/>
                <w:b/>
                <w:bCs/>
                <w:color w:val="000000"/>
                <w:sz w:val="20"/>
                <w:szCs w:val="20"/>
              </w:rPr>
            </w:pPr>
            <w:r>
              <w:rPr>
                <w:rFonts w:ascii="Garamond" w:hAnsi="Garamond" w:cs="Calibri"/>
                <w:b/>
                <w:bCs/>
                <w:color w:val="000000"/>
                <w:sz w:val="20"/>
                <w:szCs w:val="20"/>
              </w:rPr>
              <w:t>Media</w:t>
            </w:r>
          </w:p>
        </w:tc>
        <w:tc>
          <w:tcPr>
            <w:tcW w:w="1780" w:type="dxa"/>
            <w:tcBorders>
              <w:top w:val="single" w:sz="4" w:space="0" w:color="auto"/>
              <w:left w:val="nil"/>
              <w:bottom w:val="single" w:sz="8" w:space="0" w:color="auto"/>
              <w:right w:val="nil"/>
            </w:tcBorders>
            <w:shd w:val="clear" w:color="auto" w:fill="auto"/>
            <w:noWrap/>
            <w:vAlign w:val="bottom"/>
            <w:hideMark/>
          </w:tcPr>
          <w:p w14:paraId="01D43EB7" w14:textId="77777777" w:rsidR="006E31CF" w:rsidRDefault="006E31CF">
            <w:pPr>
              <w:jc w:val="center"/>
              <w:rPr>
                <w:rFonts w:ascii="Garamond" w:hAnsi="Garamond" w:cs="Calibri"/>
                <w:b/>
                <w:bCs/>
                <w:color w:val="000000"/>
                <w:sz w:val="20"/>
                <w:szCs w:val="20"/>
              </w:rPr>
            </w:pPr>
            <w:proofErr w:type="spellStart"/>
            <w:r>
              <w:rPr>
                <w:rFonts w:ascii="Garamond" w:hAnsi="Garamond" w:cs="Calibri"/>
                <w:b/>
                <w:bCs/>
                <w:color w:val="000000"/>
                <w:sz w:val="20"/>
                <w:szCs w:val="20"/>
              </w:rPr>
              <w:t>Desviaciones</w:t>
            </w:r>
            <w:proofErr w:type="spellEnd"/>
            <w:r>
              <w:rPr>
                <w:rFonts w:ascii="Garamond" w:hAnsi="Garamond" w:cs="Calibri"/>
                <w:b/>
                <w:bCs/>
                <w:color w:val="000000"/>
                <w:sz w:val="20"/>
                <w:szCs w:val="20"/>
              </w:rPr>
              <w:t>. Std</w:t>
            </w:r>
          </w:p>
        </w:tc>
        <w:tc>
          <w:tcPr>
            <w:tcW w:w="1520" w:type="dxa"/>
            <w:tcBorders>
              <w:top w:val="single" w:sz="4" w:space="0" w:color="auto"/>
              <w:left w:val="nil"/>
              <w:bottom w:val="single" w:sz="8" w:space="0" w:color="auto"/>
              <w:right w:val="nil"/>
            </w:tcBorders>
            <w:shd w:val="clear" w:color="auto" w:fill="auto"/>
            <w:noWrap/>
            <w:vAlign w:val="bottom"/>
            <w:hideMark/>
          </w:tcPr>
          <w:p w14:paraId="4676A296" w14:textId="77777777" w:rsidR="006E31CF" w:rsidRDefault="006E31CF">
            <w:pPr>
              <w:jc w:val="center"/>
              <w:rPr>
                <w:rFonts w:ascii="Garamond" w:hAnsi="Garamond" w:cs="Calibri"/>
                <w:b/>
                <w:bCs/>
                <w:color w:val="000000"/>
                <w:sz w:val="20"/>
                <w:szCs w:val="20"/>
              </w:rPr>
            </w:pPr>
            <w:proofErr w:type="spellStart"/>
            <w:r>
              <w:rPr>
                <w:rFonts w:ascii="Garamond" w:hAnsi="Garamond" w:cs="Calibri"/>
                <w:b/>
                <w:bCs/>
                <w:color w:val="000000"/>
                <w:sz w:val="20"/>
                <w:szCs w:val="20"/>
              </w:rPr>
              <w:t>Mínimo</w:t>
            </w:r>
            <w:proofErr w:type="spellEnd"/>
          </w:p>
        </w:tc>
        <w:tc>
          <w:tcPr>
            <w:tcW w:w="1460" w:type="dxa"/>
            <w:tcBorders>
              <w:top w:val="single" w:sz="4" w:space="0" w:color="auto"/>
              <w:left w:val="nil"/>
              <w:bottom w:val="single" w:sz="8" w:space="0" w:color="auto"/>
              <w:right w:val="nil"/>
            </w:tcBorders>
            <w:shd w:val="clear" w:color="auto" w:fill="auto"/>
            <w:noWrap/>
            <w:vAlign w:val="bottom"/>
            <w:hideMark/>
          </w:tcPr>
          <w:p w14:paraId="50481F7F" w14:textId="77777777" w:rsidR="006E31CF" w:rsidRDefault="006E31CF">
            <w:pPr>
              <w:jc w:val="center"/>
              <w:rPr>
                <w:rFonts w:ascii="Garamond" w:hAnsi="Garamond" w:cs="Calibri"/>
                <w:b/>
                <w:bCs/>
                <w:color w:val="000000"/>
                <w:sz w:val="20"/>
                <w:szCs w:val="20"/>
              </w:rPr>
            </w:pPr>
            <w:proofErr w:type="spellStart"/>
            <w:r>
              <w:rPr>
                <w:rFonts w:ascii="Garamond" w:hAnsi="Garamond" w:cs="Calibri"/>
                <w:b/>
                <w:bCs/>
                <w:color w:val="000000"/>
                <w:sz w:val="20"/>
                <w:szCs w:val="20"/>
              </w:rPr>
              <w:t>Máximo</w:t>
            </w:r>
            <w:proofErr w:type="spellEnd"/>
          </w:p>
        </w:tc>
      </w:tr>
      <w:tr w:rsidR="006E31CF" w14:paraId="096DC5E6" w14:textId="77777777" w:rsidTr="00566BF5">
        <w:trPr>
          <w:trHeight w:val="57"/>
          <w:jc w:val="center"/>
        </w:trPr>
        <w:tc>
          <w:tcPr>
            <w:tcW w:w="2220" w:type="dxa"/>
            <w:tcBorders>
              <w:top w:val="nil"/>
              <w:left w:val="nil"/>
              <w:bottom w:val="nil"/>
              <w:right w:val="nil"/>
            </w:tcBorders>
            <w:shd w:val="clear" w:color="auto" w:fill="auto"/>
            <w:noWrap/>
            <w:vAlign w:val="bottom"/>
            <w:hideMark/>
          </w:tcPr>
          <w:p w14:paraId="1C1D408F" w14:textId="77777777" w:rsidR="006E31CF" w:rsidRDefault="006E31CF">
            <w:pPr>
              <w:rPr>
                <w:rFonts w:ascii="Garamond" w:hAnsi="Garamond" w:cs="Calibri"/>
                <w:color w:val="000000"/>
                <w:sz w:val="20"/>
                <w:szCs w:val="20"/>
              </w:rPr>
            </w:pPr>
            <w:r>
              <w:rPr>
                <w:rFonts w:ascii="Garamond" w:hAnsi="Garamond" w:cs="Calibri"/>
                <w:color w:val="000000"/>
                <w:sz w:val="20"/>
                <w:szCs w:val="20"/>
              </w:rPr>
              <w:t>IED</w:t>
            </w:r>
          </w:p>
        </w:tc>
        <w:tc>
          <w:tcPr>
            <w:tcW w:w="1220" w:type="dxa"/>
            <w:tcBorders>
              <w:top w:val="nil"/>
              <w:left w:val="nil"/>
              <w:bottom w:val="nil"/>
              <w:right w:val="nil"/>
            </w:tcBorders>
            <w:shd w:val="clear" w:color="auto" w:fill="auto"/>
            <w:noWrap/>
            <w:vAlign w:val="center"/>
            <w:hideMark/>
          </w:tcPr>
          <w:p w14:paraId="29427F8C" w14:textId="77777777" w:rsidR="006E31CF" w:rsidRDefault="006E31CF">
            <w:pPr>
              <w:jc w:val="center"/>
              <w:rPr>
                <w:rFonts w:ascii="Garamond" w:hAnsi="Garamond" w:cs="Calibri"/>
                <w:color w:val="000000"/>
                <w:sz w:val="20"/>
                <w:szCs w:val="20"/>
              </w:rPr>
            </w:pPr>
            <w:r>
              <w:rPr>
                <w:rFonts w:ascii="Garamond" w:hAnsi="Garamond" w:cs="Calibri"/>
                <w:color w:val="000000"/>
                <w:sz w:val="20"/>
                <w:szCs w:val="20"/>
              </w:rPr>
              <w:t xml:space="preserve">74,6 </w:t>
            </w:r>
          </w:p>
        </w:tc>
        <w:tc>
          <w:tcPr>
            <w:tcW w:w="1780" w:type="dxa"/>
            <w:tcBorders>
              <w:top w:val="nil"/>
              <w:left w:val="nil"/>
              <w:bottom w:val="nil"/>
              <w:right w:val="nil"/>
            </w:tcBorders>
            <w:shd w:val="clear" w:color="auto" w:fill="auto"/>
            <w:noWrap/>
            <w:vAlign w:val="center"/>
            <w:hideMark/>
          </w:tcPr>
          <w:p w14:paraId="7723F047" w14:textId="77777777" w:rsidR="006E31CF" w:rsidRDefault="006E31CF">
            <w:pPr>
              <w:jc w:val="center"/>
              <w:rPr>
                <w:rFonts w:ascii="Garamond" w:hAnsi="Garamond" w:cs="Calibri"/>
                <w:color w:val="000000"/>
                <w:sz w:val="20"/>
                <w:szCs w:val="20"/>
              </w:rPr>
            </w:pPr>
            <w:r>
              <w:rPr>
                <w:rFonts w:ascii="Garamond" w:hAnsi="Garamond" w:cs="Calibri"/>
                <w:color w:val="000000"/>
                <w:sz w:val="20"/>
                <w:szCs w:val="20"/>
              </w:rPr>
              <w:t xml:space="preserve">190,6 </w:t>
            </w:r>
          </w:p>
        </w:tc>
        <w:tc>
          <w:tcPr>
            <w:tcW w:w="1520" w:type="dxa"/>
            <w:tcBorders>
              <w:top w:val="nil"/>
              <w:left w:val="nil"/>
              <w:bottom w:val="nil"/>
              <w:right w:val="nil"/>
            </w:tcBorders>
            <w:shd w:val="clear" w:color="auto" w:fill="auto"/>
            <w:noWrap/>
            <w:vAlign w:val="center"/>
            <w:hideMark/>
          </w:tcPr>
          <w:p w14:paraId="38C5CC81" w14:textId="77777777" w:rsidR="006E31CF" w:rsidRDefault="006E31CF">
            <w:pPr>
              <w:jc w:val="center"/>
              <w:rPr>
                <w:rFonts w:ascii="Garamond" w:hAnsi="Garamond" w:cs="Calibri"/>
                <w:color w:val="000000"/>
                <w:sz w:val="20"/>
                <w:szCs w:val="20"/>
              </w:rPr>
            </w:pPr>
            <w:r>
              <w:rPr>
                <w:rFonts w:ascii="Garamond" w:hAnsi="Garamond" w:cs="Calibri"/>
                <w:color w:val="000000"/>
                <w:sz w:val="20"/>
                <w:szCs w:val="20"/>
              </w:rPr>
              <w:t xml:space="preserve">-2.286 </w:t>
            </w:r>
          </w:p>
        </w:tc>
        <w:tc>
          <w:tcPr>
            <w:tcW w:w="1460" w:type="dxa"/>
            <w:tcBorders>
              <w:top w:val="nil"/>
              <w:left w:val="nil"/>
              <w:bottom w:val="nil"/>
              <w:right w:val="nil"/>
            </w:tcBorders>
            <w:shd w:val="clear" w:color="auto" w:fill="auto"/>
            <w:noWrap/>
            <w:vAlign w:val="center"/>
            <w:hideMark/>
          </w:tcPr>
          <w:p w14:paraId="17433C52" w14:textId="77777777" w:rsidR="006E31CF" w:rsidRDefault="006E31CF">
            <w:pPr>
              <w:jc w:val="center"/>
              <w:rPr>
                <w:rFonts w:ascii="Garamond" w:hAnsi="Garamond" w:cs="Calibri"/>
                <w:color w:val="000000"/>
                <w:sz w:val="20"/>
                <w:szCs w:val="20"/>
              </w:rPr>
            </w:pPr>
            <w:r>
              <w:rPr>
                <w:rFonts w:ascii="Garamond" w:hAnsi="Garamond" w:cs="Calibri"/>
                <w:color w:val="000000"/>
                <w:sz w:val="20"/>
                <w:szCs w:val="20"/>
              </w:rPr>
              <w:t xml:space="preserve">2.665 </w:t>
            </w:r>
          </w:p>
        </w:tc>
      </w:tr>
      <w:tr w:rsidR="006E31CF" w14:paraId="68C12902" w14:textId="77777777" w:rsidTr="00566BF5">
        <w:trPr>
          <w:trHeight w:val="57"/>
          <w:jc w:val="center"/>
        </w:trPr>
        <w:tc>
          <w:tcPr>
            <w:tcW w:w="2220" w:type="dxa"/>
            <w:tcBorders>
              <w:top w:val="nil"/>
              <w:left w:val="nil"/>
              <w:bottom w:val="nil"/>
              <w:right w:val="nil"/>
            </w:tcBorders>
            <w:shd w:val="clear" w:color="auto" w:fill="auto"/>
            <w:noWrap/>
            <w:vAlign w:val="bottom"/>
            <w:hideMark/>
          </w:tcPr>
          <w:p w14:paraId="534DAD32" w14:textId="77777777" w:rsidR="006E31CF" w:rsidRDefault="006E31CF">
            <w:pPr>
              <w:rPr>
                <w:rFonts w:ascii="Garamond" w:hAnsi="Garamond" w:cs="Calibri"/>
                <w:color w:val="000000"/>
                <w:sz w:val="20"/>
                <w:szCs w:val="20"/>
              </w:rPr>
            </w:pPr>
            <w:proofErr w:type="spellStart"/>
            <w:r>
              <w:rPr>
                <w:rFonts w:ascii="Garamond" w:hAnsi="Garamond" w:cs="Calibri"/>
                <w:color w:val="000000"/>
                <w:sz w:val="20"/>
                <w:szCs w:val="20"/>
              </w:rPr>
              <w:t>Dif_impuesto</w:t>
            </w:r>
            <w:proofErr w:type="spellEnd"/>
          </w:p>
        </w:tc>
        <w:tc>
          <w:tcPr>
            <w:tcW w:w="1220" w:type="dxa"/>
            <w:tcBorders>
              <w:top w:val="nil"/>
              <w:left w:val="nil"/>
              <w:bottom w:val="nil"/>
              <w:right w:val="nil"/>
            </w:tcBorders>
            <w:shd w:val="clear" w:color="auto" w:fill="auto"/>
            <w:noWrap/>
            <w:vAlign w:val="center"/>
            <w:hideMark/>
          </w:tcPr>
          <w:p w14:paraId="65FA2A2F" w14:textId="77777777" w:rsidR="006E31CF" w:rsidRDefault="006E31CF">
            <w:pPr>
              <w:jc w:val="center"/>
              <w:rPr>
                <w:rFonts w:ascii="Garamond" w:hAnsi="Garamond" w:cs="Calibri"/>
                <w:color w:val="000000"/>
                <w:sz w:val="20"/>
                <w:szCs w:val="20"/>
              </w:rPr>
            </w:pPr>
            <w:r>
              <w:rPr>
                <w:rFonts w:ascii="Garamond" w:hAnsi="Garamond" w:cs="Calibri"/>
                <w:color w:val="000000"/>
                <w:sz w:val="20"/>
                <w:szCs w:val="20"/>
              </w:rPr>
              <w:t xml:space="preserve">-7,2 </w:t>
            </w:r>
          </w:p>
        </w:tc>
        <w:tc>
          <w:tcPr>
            <w:tcW w:w="1780" w:type="dxa"/>
            <w:tcBorders>
              <w:top w:val="nil"/>
              <w:left w:val="nil"/>
              <w:bottom w:val="nil"/>
              <w:right w:val="nil"/>
            </w:tcBorders>
            <w:shd w:val="clear" w:color="auto" w:fill="auto"/>
            <w:noWrap/>
            <w:vAlign w:val="center"/>
            <w:hideMark/>
          </w:tcPr>
          <w:p w14:paraId="493130CE" w14:textId="77777777" w:rsidR="006E31CF" w:rsidRDefault="006E31CF">
            <w:pPr>
              <w:jc w:val="center"/>
              <w:rPr>
                <w:rFonts w:ascii="Garamond" w:hAnsi="Garamond" w:cs="Calibri"/>
                <w:color w:val="000000"/>
                <w:sz w:val="20"/>
                <w:szCs w:val="20"/>
              </w:rPr>
            </w:pPr>
            <w:r>
              <w:rPr>
                <w:rFonts w:ascii="Garamond" w:hAnsi="Garamond" w:cs="Calibri"/>
                <w:color w:val="000000"/>
                <w:sz w:val="20"/>
                <w:szCs w:val="20"/>
              </w:rPr>
              <w:t xml:space="preserve">11,0 </w:t>
            </w:r>
          </w:p>
        </w:tc>
        <w:tc>
          <w:tcPr>
            <w:tcW w:w="1520" w:type="dxa"/>
            <w:tcBorders>
              <w:top w:val="nil"/>
              <w:left w:val="nil"/>
              <w:bottom w:val="nil"/>
              <w:right w:val="nil"/>
            </w:tcBorders>
            <w:shd w:val="clear" w:color="auto" w:fill="auto"/>
            <w:noWrap/>
            <w:vAlign w:val="center"/>
            <w:hideMark/>
          </w:tcPr>
          <w:p w14:paraId="7F2A1F9B" w14:textId="77777777" w:rsidR="006E31CF" w:rsidRDefault="006E31CF">
            <w:pPr>
              <w:jc w:val="center"/>
              <w:rPr>
                <w:rFonts w:ascii="Garamond" w:hAnsi="Garamond" w:cs="Calibri"/>
                <w:color w:val="000000"/>
                <w:sz w:val="20"/>
                <w:szCs w:val="20"/>
              </w:rPr>
            </w:pPr>
            <w:r>
              <w:rPr>
                <w:rFonts w:ascii="Garamond" w:hAnsi="Garamond" w:cs="Calibri"/>
                <w:color w:val="000000"/>
                <w:sz w:val="20"/>
                <w:szCs w:val="20"/>
              </w:rPr>
              <w:t xml:space="preserve">-34 </w:t>
            </w:r>
          </w:p>
        </w:tc>
        <w:tc>
          <w:tcPr>
            <w:tcW w:w="1460" w:type="dxa"/>
            <w:tcBorders>
              <w:top w:val="nil"/>
              <w:left w:val="nil"/>
              <w:bottom w:val="nil"/>
              <w:right w:val="nil"/>
            </w:tcBorders>
            <w:shd w:val="clear" w:color="auto" w:fill="auto"/>
            <w:noWrap/>
            <w:vAlign w:val="center"/>
            <w:hideMark/>
          </w:tcPr>
          <w:p w14:paraId="0E0B762C" w14:textId="77777777" w:rsidR="006E31CF" w:rsidRDefault="006E31CF">
            <w:pPr>
              <w:jc w:val="center"/>
              <w:rPr>
                <w:rFonts w:ascii="Garamond" w:hAnsi="Garamond" w:cs="Calibri"/>
                <w:color w:val="000000"/>
                <w:sz w:val="20"/>
                <w:szCs w:val="20"/>
              </w:rPr>
            </w:pPr>
            <w:r>
              <w:rPr>
                <w:rFonts w:ascii="Garamond" w:hAnsi="Garamond" w:cs="Calibri"/>
                <w:color w:val="000000"/>
                <w:sz w:val="20"/>
                <w:szCs w:val="20"/>
              </w:rPr>
              <w:t xml:space="preserve">14 </w:t>
            </w:r>
          </w:p>
        </w:tc>
      </w:tr>
      <w:tr w:rsidR="006E31CF" w14:paraId="083453B7" w14:textId="77777777" w:rsidTr="00566BF5">
        <w:trPr>
          <w:trHeight w:val="57"/>
          <w:jc w:val="center"/>
        </w:trPr>
        <w:tc>
          <w:tcPr>
            <w:tcW w:w="2220" w:type="dxa"/>
            <w:tcBorders>
              <w:top w:val="nil"/>
              <w:left w:val="nil"/>
              <w:bottom w:val="nil"/>
              <w:right w:val="nil"/>
            </w:tcBorders>
            <w:shd w:val="clear" w:color="auto" w:fill="auto"/>
            <w:noWrap/>
            <w:vAlign w:val="bottom"/>
            <w:hideMark/>
          </w:tcPr>
          <w:p w14:paraId="554F2650" w14:textId="77777777" w:rsidR="006E31CF" w:rsidRDefault="006E31CF">
            <w:pPr>
              <w:rPr>
                <w:rFonts w:ascii="Garamond" w:hAnsi="Garamond" w:cs="Calibri"/>
                <w:color w:val="000000"/>
                <w:sz w:val="20"/>
                <w:szCs w:val="20"/>
              </w:rPr>
            </w:pPr>
            <w:proofErr w:type="spellStart"/>
            <w:r>
              <w:rPr>
                <w:rFonts w:ascii="Garamond" w:hAnsi="Garamond" w:cs="Calibri"/>
                <w:color w:val="000000"/>
                <w:sz w:val="20"/>
                <w:szCs w:val="20"/>
              </w:rPr>
              <w:t>PIB_tasa_crecimiento</w:t>
            </w:r>
            <w:proofErr w:type="spellEnd"/>
          </w:p>
        </w:tc>
        <w:tc>
          <w:tcPr>
            <w:tcW w:w="1220" w:type="dxa"/>
            <w:tcBorders>
              <w:top w:val="nil"/>
              <w:left w:val="nil"/>
              <w:bottom w:val="nil"/>
              <w:right w:val="nil"/>
            </w:tcBorders>
            <w:shd w:val="clear" w:color="auto" w:fill="auto"/>
            <w:noWrap/>
            <w:vAlign w:val="center"/>
            <w:hideMark/>
          </w:tcPr>
          <w:p w14:paraId="587DBD2D" w14:textId="77777777" w:rsidR="006E31CF" w:rsidRDefault="006E31CF">
            <w:pPr>
              <w:jc w:val="center"/>
              <w:rPr>
                <w:rFonts w:ascii="Garamond" w:hAnsi="Garamond" w:cs="Calibri"/>
                <w:color w:val="000000"/>
                <w:sz w:val="20"/>
                <w:szCs w:val="20"/>
              </w:rPr>
            </w:pPr>
            <w:r>
              <w:rPr>
                <w:rFonts w:ascii="Garamond" w:hAnsi="Garamond" w:cs="Calibri"/>
                <w:color w:val="000000"/>
                <w:sz w:val="20"/>
                <w:szCs w:val="20"/>
              </w:rPr>
              <w:t xml:space="preserve">1,9 </w:t>
            </w:r>
          </w:p>
        </w:tc>
        <w:tc>
          <w:tcPr>
            <w:tcW w:w="1780" w:type="dxa"/>
            <w:tcBorders>
              <w:top w:val="nil"/>
              <w:left w:val="nil"/>
              <w:bottom w:val="nil"/>
              <w:right w:val="nil"/>
            </w:tcBorders>
            <w:shd w:val="clear" w:color="auto" w:fill="auto"/>
            <w:noWrap/>
            <w:vAlign w:val="center"/>
            <w:hideMark/>
          </w:tcPr>
          <w:p w14:paraId="6ACF59B0" w14:textId="77777777" w:rsidR="006E31CF" w:rsidRDefault="006E31CF">
            <w:pPr>
              <w:jc w:val="center"/>
              <w:rPr>
                <w:rFonts w:ascii="Garamond" w:hAnsi="Garamond" w:cs="Calibri"/>
                <w:color w:val="000000"/>
                <w:sz w:val="20"/>
                <w:szCs w:val="20"/>
              </w:rPr>
            </w:pPr>
            <w:r>
              <w:rPr>
                <w:rFonts w:ascii="Garamond" w:hAnsi="Garamond" w:cs="Calibri"/>
                <w:color w:val="000000"/>
                <w:sz w:val="20"/>
                <w:szCs w:val="20"/>
              </w:rPr>
              <w:t xml:space="preserve">5,3 </w:t>
            </w:r>
          </w:p>
        </w:tc>
        <w:tc>
          <w:tcPr>
            <w:tcW w:w="1520" w:type="dxa"/>
            <w:tcBorders>
              <w:top w:val="nil"/>
              <w:left w:val="nil"/>
              <w:bottom w:val="nil"/>
              <w:right w:val="nil"/>
            </w:tcBorders>
            <w:shd w:val="clear" w:color="auto" w:fill="auto"/>
            <w:noWrap/>
            <w:vAlign w:val="center"/>
            <w:hideMark/>
          </w:tcPr>
          <w:p w14:paraId="2FB095D2" w14:textId="77777777" w:rsidR="006E31CF" w:rsidRDefault="006E31CF">
            <w:pPr>
              <w:jc w:val="center"/>
              <w:rPr>
                <w:rFonts w:ascii="Garamond" w:hAnsi="Garamond" w:cs="Calibri"/>
                <w:color w:val="000000"/>
                <w:sz w:val="20"/>
                <w:szCs w:val="20"/>
              </w:rPr>
            </w:pPr>
            <w:r>
              <w:rPr>
                <w:rFonts w:ascii="Garamond" w:hAnsi="Garamond" w:cs="Calibri"/>
                <w:color w:val="000000"/>
                <w:sz w:val="20"/>
                <w:szCs w:val="20"/>
              </w:rPr>
              <w:t xml:space="preserve">-30 </w:t>
            </w:r>
          </w:p>
        </w:tc>
        <w:tc>
          <w:tcPr>
            <w:tcW w:w="1460" w:type="dxa"/>
            <w:tcBorders>
              <w:top w:val="nil"/>
              <w:left w:val="nil"/>
              <w:bottom w:val="nil"/>
              <w:right w:val="nil"/>
            </w:tcBorders>
            <w:shd w:val="clear" w:color="auto" w:fill="auto"/>
            <w:noWrap/>
            <w:vAlign w:val="center"/>
            <w:hideMark/>
          </w:tcPr>
          <w:p w14:paraId="24706DE3" w14:textId="77777777" w:rsidR="006E31CF" w:rsidRDefault="006E31CF">
            <w:pPr>
              <w:jc w:val="center"/>
              <w:rPr>
                <w:rFonts w:ascii="Garamond" w:hAnsi="Garamond" w:cs="Calibri"/>
                <w:color w:val="000000"/>
                <w:sz w:val="20"/>
                <w:szCs w:val="20"/>
              </w:rPr>
            </w:pPr>
            <w:r>
              <w:rPr>
                <w:rFonts w:ascii="Garamond" w:hAnsi="Garamond" w:cs="Calibri"/>
                <w:color w:val="000000"/>
                <w:sz w:val="20"/>
                <w:szCs w:val="20"/>
              </w:rPr>
              <w:t xml:space="preserve">27 </w:t>
            </w:r>
          </w:p>
        </w:tc>
      </w:tr>
      <w:tr w:rsidR="006E31CF" w14:paraId="4C2DEF63" w14:textId="77777777" w:rsidTr="00566BF5">
        <w:trPr>
          <w:trHeight w:val="57"/>
          <w:jc w:val="center"/>
        </w:trPr>
        <w:tc>
          <w:tcPr>
            <w:tcW w:w="2220" w:type="dxa"/>
            <w:tcBorders>
              <w:top w:val="nil"/>
              <w:left w:val="nil"/>
              <w:bottom w:val="nil"/>
              <w:right w:val="nil"/>
            </w:tcBorders>
            <w:shd w:val="clear" w:color="auto" w:fill="auto"/>
            <w:noWrap/>
            <w:vAlign w:val="bottom"/>
            <w:hideMark/>
          </w:tcPr>
          <w:p w14:paraId="5A7C5A70" w14:textId="77777777" w:rsidR="006E31CF" w:rsidRDefault="006E31CF">
            <w:pPr>
              <w:rPr>
                <w:rFonts w:ascii="Garamond" w:hAnsi="Garamond" w:cs="Calibri"/>
                <w:color w:val="000000"/>
                <w:sz w:val="20"/>
                <w:szCs w:val="20"/>
              </w:rPr>
            </w:pPr>
            <w:proofErr w:type="spellStart"/>
            <w:r>
              <w:rPr>
                <w:rFonts w:ascii="Garamond" w:hAnsi="Garamond" w:cs="Calibri"/>
                <w:color w:val="000000"/>
                <w:sz w:val="20"/>
                <w:szCs w:val="20"/>
              </w:rPr>
              <w:t>PIB_percapita</w:t>
            </w:r>
            <w:proofErr w:type="spellEnd"/>
          </w:p>
        </w:tc>
        <w:tc>
          <w:tcPr>
            <w:tcW w:w="1220" w:type="dxa"/>
            <w:tcBorders>
              <w:top w:val="nil"/>
              <w:left w:val="nil"/>
              <w:bottom w:val="nil"/>
              <w:right w:val="nil"/>
            </w:tcBorders>
            <w:shd w:val="clear" w:color="auto" w:fill="auto"/>
            <w:noWrap/>
            <w:vAlign w:val="center"/>
            <w:hideMark/>
          </w:tcPr>
          <w:p w14:paraId="6FA6550C" w14:textId="77777777" w:rsidR="006E31CF" w:rsidRDefault="006E31CF">
            <w:pPr>
              <w:jc w:val="center"/>
              <w:rPr>
                <w:rFonts w:ascii="Garamond" w:hAnsi="Garamond" w:cs="Calibri"/>
                <w:color w:val="000000"/>
                <w:sz w:val="20"/>
                <w:szCs w:val="20"/>
              </w:rPr>
            </w:pPr>
            <w:r>
              <w:rPr>
                <w:rFonts w:ascii="Garamond" w:hAnsi="Garamond" w:cs="Calibri"/>
                <w:color w:val="000000"/>
                <w:sz w:val="20"/>
                <w:szCs w:val="20"/>
              </w:rPr>
              <w:t xml:space="preserve">38.352,2 </w:t>
            </w:r>
          </w:p>
        </w:tc>
        <w:tc>
          <w:tcPr>
            <w:tcW w:w="1780" w:type="dxa"/>
            <w:tcBorders>
              <w:top w:val="nil"/>
              <w:left w:val="nil"/>
              <w:bottom w:val="nil"/>
              <w:right w:val="nil"/>
            </w:tcBorders>
            <w:shd w:val="clear" w:color="auto" w:fill="auto"/>
            <w:noWrap/>
            <w:vAlign w:val="center"/>
            <w:hideMark/>
          </w:tcPr>
          <w:p w14:paraId="5B19AFCF" w14:textId="77777777" w:rsidR="006E31CF" w:rsidRDefault="006E31CF">
            <w:pPr>
              <w:jc w:val="center"/>
              <w:rPr>
                <w:rFonts w:ascii="Garamond" w:hAnsi="Garamond" w:cs="Calibri"/>
                <w:color w:val="000000"/>
                <w:sz w:val="20"/>
                <w:szCs w:val="20"/>
              </w:rPr>
            </w:pPr>
            <w:r>
              <w:rPr>
                <w:rFonts w:ascii="Garamond" w:hAnsi="Garamond" w:cs="Calibri"/>
                <w:color w:val="000000"/>
                <w:sz w:val="20"/>
                <w:szCs w:val="20"/>
              </w:rPr>
              <w:t xml:space="preserve">25.623,2 </w:t>
            </w:r>
          </w:p>
        </w:tc>
        <w:tc>
          <w:tcPr>
            <w:tcW w:w="1520" w:type="dxa"/>
            <w:tcBorders>
              <w:top w:val="nil"/>
              <w:left w:val="nil"/>
              <w:bottom w:val="nil"/>
              <w:right w:val="nil"/>
            </w:tcBorders>
            <w:shd w:val="clear" w:color="auto" w:fill="auto"/>
            <w:noWrap/>
            <w:vAlign w:val="center"/>
            <w:hideMark/>
          </w:tcPr>
          <w:p w14:paraId="037A7B2F" w14:textId="77777777" w:rsidR="006E31CF" w:rsidRDefault="006E31CF">
            <w:pPr>
              <w:jc w:val="center"/>
              <w:rPr>
                <w:rFonts w:ascii="Garamond" w:hAnsi="Garamond" w:cs="Calibri"/>
                <w:color w:val="000000"/>
                <w:sz w:val="20"/>
                <w:szCs w:val="20"/>
              </w:rPr>
            </w:pPr>
            <w:r>
              <w:rPr>
                <w:rFonts w:ascii="Garamond" w:hAnsi="Garamond" w:cs="Calibri"/>
                <w:color w:val="000000"/>
                <w:sz w:val="20"/>
                <w:szCs w:val="20"/>
              </w:rPr>
              <w:t xml:space="preserve">1.092 </w:t>
            </w:r>
          </w:p>
        </w:tc>
        <w:tc>
          <w:tcPr>
            <w:tcW w:w="1460" w:type="dxa"/>
            <w:tcBorders>
              <w:top w:val="nil"/>
              <w:left w:val="nil"/>
              <w:bottom w:val="nil"/>
              <w:right w:val="nil"/>
            </w:tcBorders>
            <w:shd w:val="clear" w:color="auto" w:fill="auto"/>
            <w:noWrap/>
            <w:vAlign w:val="center"/>
            <w:hideMark/>
          </w:tcPr>
          <w:p w14:paraId="0CD46B88" w14:textId="77777777" w:rsidR="006E31CF" w:rsidRDefault="006E31CF">
            <w:pPr>
              <w:jc w:val="center"/>
              <w:rPr>
                <w:rFonts w:ascii="Garamond" w:hAnsi="Garamond" w:cs="Calibri"/>
                <w:color w:val="000000"/>
                <w:sz w:val="20"/>
                <w:szCs w:val="20"/>
              </w:rPr>
            </w:pPr>
            <w:r>
              <w:rPr>
                <w:rFonts w:ascii="Garamond" w:hAnsi="Garamond" w:cs="Calibri"/>
                <w:color w:val="000000"/>
                <w:sz w:val="20"/>
                <w:szCs w:val="20"/>
              </w:rPr>
              <w:t xml:space="preserve">122.174 </w:t>
            </w:r>
          </w:p>
        </w:tc>
      </w:tr>
      <w:tr w:rsidR="006E31CF" w14:paraId="6604700C" w14:textId="77777777" w:rsidTr="00566BF5">
        <w:trPr>
          <w:trHeight w:val="57"/>
          <w:jc w:val="center"/>
        </w:trPr>
        <w:tc>
          <w:tcPr>
            <w:tcW w:w="2220" w:type="dxa"/>
            <w:tcBorders>
              <w:top w:val="nil"/>
              <w:left w:val="nil"/>
              <w:bottom w:val="nil"/>
              <w:right w:val="nil"/>
            </w:tcBorders>
            <w:shd w:val="clear" w:color="auto" w:fill="auto"/>
            <w:noWrap/>
            <w:vAlign w:val="bottom"/>
            <w:hideMark/>
          </w:tcPr>
          <w:p w14:paraId="19457E89" w14:textId="77777777" w:rsidR="006E31CF" w:rsidRDefault="006E31CF">
            <w:pPr>
              <w:rPr>
                <w:rFonts w:ascii="Garamond" w:hAnsi="Garamond" w:cs="Calibri"/>
                <w:color w:val="000000"/>
                <w:sz w:val="20"/>
                <w:szCs w:val="20"/>
              </w:rPr>
            </w:pPr>
            <w:r>
              <w:rPr>
                <w:rFonts w:ascii="Garamond" w:hAnsi="Garamond" w:cs="Calibri"/>
                <w:color w:val="000000"/>
                <w:sz w:val="20"/>
                <w:szCs w:val="20"/>
              </w:rPr>
              <w:t>IPC</w:t>
            </w:r>
          </w:p>
        </w:tc>
        <w:tc>
          <w:tcPr>
            <w:tcW w:w="1220" w:type="dxa"/>
            <w:tcBorders>
              <w:top w:val="nil"/>
              <w:left w:val="nil"/>
              <w:bottom w:val="nil"/>
              <w:right w:val="nil"/>
            </w:tcBorders>
            <w:shd w:val="clear" w:color="auto" w:fill="auto"/>
            <w:noWrap/>
            <w:vAlign w:val="center"/>
            <w:hideMark/>
          </w:tcPr>
          <w:p w14:paraId="1A1411E2" w14:textId="77777777" w:rsidR="006E31CF" w:rsidRDefault="006E31CF">
            <w:pPr>
              <w:jc w:val="center"/>
              <w:rPr>
                <w:rFonts w:ascii="Garamond" w:hAnsi="Garamond" w:cs="Calibri"/>
                <w:color w:val="000000"/>
                <w:sz w:val="20"/>
                <w:szCs w:val="20"/>
              </w:rPr>
            </w:pPr>
            <w:r>
              <w:rPr>
                <w:rFonts w:ascii="Garamond" w:hAnsi="Garamond" w:cs="Calibri"/>
                <w:color w:val="000000"/>
                <w:sz w:val="20"/>
                <w:szCs w:val="20"/>
              </w:rPr>
              <w:t xml:space="preserve">146,1 </w:t>
            </w:r>
          </w:p>
        </w:tc>
        <w:tc>
          <w:tcPr>
            <w:tcW w:w="1780" w:type="dxa"/>
            <w:tcBorders>
              <w:top w:val="nil"/>
              <w:left w:val="nil"/>
              <w:bottom w:val="nil"/>
              <w:right w:val="nil"/>
            </w:tcBorders>
            <w:shd w:val="clear" w:color="auto" w:fill="auto"/>
            <w:noWrap/>
            <w:vAlign w:val="center"/>
            <w:hideMark/>
          </w:tcPr>
          <w:p w14:paraId="0EFEC2DA" w14:textId="77777777" w:rsidR="006E31CF" w:rsidRDefault="006E31CF">
            <w:pPr>
              <w:jc w:val="center"/>
              <w:rPr>
                <w:rFonts w:ascii="Garamond" w:hAnsi="Garamond" w:cs="Calibri"/>
                <w:color w:val="000000"/>
                <w:sz w:val="20"/>
                <w:szCs w:val="20"/>
              </w:rPr>
            </w:pPr>
            <w:r>
              <w:rPr>
                <w:rFonts w:ascii="Garamond" w:hAnsi="Garamond" w:cs="Calibri"/>
                <w:color w:val="000000"/>
                <w:sz w:val="20"/>
                <w:szCs w:val="20"/>
              </w:rPr>
              <w:t xml:space="preserve">2.721,2 </w:t>
            </w:r>
          </w:p>
        </w:tc>
        <w:tc>
          <w:tcPr>
            <w:tcW w:w="1520" w:type="dxa"/>
            <w:tcBorders>
              <w:top w:val="nil"/>
              <w:left w:val="nil"/>
              <w:bottom w:val="nil"/>
              <w:right w:val="nil"/>
            </w:tcBorders>
            <w:shd w:val="clear" w:color="auto" w:fill="auto"/>
            <w:noWrap/>
            <w:vAlign w:val="center"/>
            <w:hideMark/>
          </w:tcPr>
          <w:p w14:paraId="5E85DE10" w14:textId="77777777" w:rsidR="006E31CF" w:rsidRDefault="006E31CF">
            <w:pPr>
              <w:jc w:val="center"/>
              <w:rPr>
                <w:rFonts w:ascii="Garamond" w:hAnsi="Garamond" w:cs="Calibri"/>
                <w:color w:val="000000"/>
                <w:sz w:val="20"/>
                <w:szCs w:val="20"/>
              </w:rPr>
            </w:pPr>
            <w:r>
              <w:rPr>
                <w:rFonts w:ascii="Garamond" w:hAnsi="Garamond" w:cs="Calibri"/>
                <w:color w:val="000000"/>
                <w:sz w:val="20"/>
                <w:szCs w:val="20"/>
              </w:rPr>
              <w:t xml:space="preserve">-18 </w:t>
            </w:r>
          </w:p>
        </w:tc>
        <w:tc>
          <w:tcPr>
            <w:tcW w:w="1460" w:type="dxa"/>
            <w:tcBorders>
              <w:top w:val="nil"/>
              <w:left w:val="nil"/>
              <w:bottom w:val="nil"/>
              <w:right w:val="nil"/>
            </w:tcBorders>
            <w:shd w:val="clear" w:color="auto" w:fill="auto"/>
            <w:noWrap/>
            <w:vAlign w:val="center"/>
            <w:hideMark/>
          </w:tcPr>
          <w:p w14:paraId="50A506D8" w14:textId="77777777" w:rsidR="006E31CF" w:rsidRDefault="006E31CF">
            <w:pPr>
              <w:jc w:val="center"/>
              <w:rPr>
                <w:rFonts w:ascii="Garamond" w:hAnsi="Garamond" w:cs="Calibri"/>
                <w:color w:val="000000"/>
                <w:sz w:val="20"/>
                <w:szCs w:val="20"/>
              </w:rPr>
            </w:pPr>
            <w:r>
              <w:rPr>
                <w:rFonts w:ascii="Garamond" w:hAnsi="Garamond" w:cs="Calibri"/>
                <w:color w:val="000000"/>
                <w:sz w:val="20"/>
                <w:szCs w:val="20"/>
              </w:rPr>
              <w:t xml:space="preserve">65.374 </w:t>
            </w:r>
          </w:p>
        </w:tc>
      </w:tr>
      <w:tr w:rsidR="006E31CF" w14:paraId="50F8A9E9" w14:textId="77777777" w:rsidTr="00566BF5">
        <w:trPr>
          <w:trHeight w:val="57"/>
          <w:jc w:val="center"/>
        </w:trPr>
        <w:tc>
          <w:tcPr>
            <w:tcW w:w="2220" w:type="dxa"/>
            <w:tcBorders>
              <w:top w:val="nil"/>
              <w:left w:val="nil"/>
              <w:bottom w:val="nil"/>
              <w:right w:val="nil"/>
            </w:tcBorders>
            <w:shd w:val="clear" w:color="auto" w:fill="auto"/>
            <w:noWrap/>
            <w:vAlign w:val="bottom"/>
            <w:hideMark/>
          </w:tcPr>
          <w:p w14:paraId="534B658F" w14:textId="77777777" w:rsidR="006E31CF" w:rsidRDefault="006E31CF">
            <w:pPr>
              <w:rPr>
                <w:rFonts w:ascii="Garamond" w:hAnsi="Garamond" w:cs="Calibri"/>
                <w:color w:val="000000"/>
                <w:sz w:val="20"/>
                <w:szCs w:val="20"/>
              </w:rPr>
            </w:pPr>
            <w:r>
              <w:rPr>
                <w:rFonts w:ascii="Garamond" w:hAnsi="Garamond" w:cs="Calibri"/>
                <w:color w:val="000000"/>
                <w:sz w:val="20"/>
                <w:szCs w:val="20"/>
              </w:rPr>
              <w:t>BC</w:t>
            </w:r>
          </w:p>
        </w:tc>
        <w:tc>
          <w:tcPr>
            <w:tcW w:w="1220" w:type="dxa"/>
            <w:tcBorders>
              <w:top w:val="nil"/>
              <w:left w:val="nil"/>
              <w:bottom w:val="nil"/>
              <w:right w:val="nil"/>
            </w:tcBorders>
            <w:shd w:val="clear" w:color="auto" w:fill="auto"/>
            <w:noWrap/>
            <w:vAlign w:val="center"/>
            <w:hideMark/>
          </w:tcPr>
          <w:p w14:paraId="0E83F9B1" w14:textId="77777777" w:rsidR="006E31CF" w:rsidRDefault="006E31CF">
            <w:pPr>
              <w:jc w:val="center"/>
              <w:rPr>
                <w:rFonts w:ascii="Garamond" w:hAnsi="Garamond" w:cs="Calibri"/>
                <w:color w:val="000000"/>
                <w:sz w:val="20"/>
                <w:szCs w:val="20"/>
              </w:rPr>
            </w:pPr>
            <w:r>
              <w:rPr>
                <w:rFonts w:ascii="Garamond" w:hAnsi="Garamond" w:cs="Calibri"/>
                <w:color w:val="000000"/>
                <w:sz w:val="20"/>
                <w:szCs w:val="20"/>
              </w:rPr>
              <w:t xml:space="preserve">-46.237,1 </w:t>
            </w:r>
          </w:p>
        </w:tc>
        <w:tc>
          <w:tcPr>
            <w:tcW w:w="1780" w:type="dxa"/>
            <w:tcBorders>
              <w:top w:val="nil"/>
              <w:left w:val="nil"/>
              <w:bottom w:val="nil"/>
              <w:right w:val="nil"/>
            </w:tcBorders>
            <w:shd w:val="clear" w:color="auto" w:fill="auto"/>
            <w:noWrap/>
            <w:vAlign w:val="center"/>
            <w:hideMark/>
          </w:tcPr>
          <w:p w14:paraId="780EAD80" w14:textId="77777777" w:rsidR="006E31CF" w:rsidRDefault="006E31CF">
            <w:pPr>
              <w:jc w:val="center"/>
              <w:rPr>
                <w:rFonts w:ascii="Garamond" w:hAnsi="Garamond" w:cs="Calibri"/>
                <w:color w:val="000000"/>
                <w:sz w:val="20"/>
                <w:szCs w:val="20"/>
              </w:rPr>
            </w:pPr>
            <w:r>
              <w:rPr>
                <w:rFonts w:ascii="Garamond" w:hAnsi="Garamond" w:cs="Calibri"/>
                <w:color w:val="000000"/>
                <w:sz w:val="20"/>
                <w:szCs w:val="20"/>
              </w:rPr>
              <w:t xml:space="preserve">315.334,7 </w:t>
            </w:r>
          </w:p>
        </w:tc>
        <w:tc>
          <w:tcPr>
            <w:tcW w:w="1520" w:type="dxa"/>
            <w:tcBorders>
              <w:top w:val="nil"/>
              <w:left w:val="nil"/>
              <w:bottom w:val="nil"/>
              <w:right w:val="nil"/>
            </w:tcBorders>
            <w:shd w:val="clear" w:color="auto" w:fill="auto"/>
            <w:noWrap/>
            <w:vAlign w:val="center"/>
            <w:hideMark/>
          </w:tcPr>
          <w:p w14:paraId="6622FC29" w14:textId="77777777" w:rsidR="006E31CF" w:rsidRDefault="006E31CF">
            <w:pPr>
              <w:jc w:val="center"/>
              <w:rPr>
                <w:rFonts w:ascii="Garamond" w:hAnsi="Garamond" w:cs="Calibri"/>
                <w:color w:val="000000"/>
                <w:sz w:val="20"/>
                <w:szCs w:val="20"/>
              </w:rPr>
            </w:pPr>
            <w:r>
              <w:rPr>
                <w:rFonts w:ascii="Garamond" w:hAnsi="Garamond" w:cs="Calibri"/>
                <w:color w:val="000000"/>
                <w:sz w:val="20"/>
                <w:szCs w:val="20"/>
              </w:rPr>
              <w:t xml:space="preserve">-3.891.699 </w:t>
            </w:r>
          </w:p>
        </w:tc>
        <w:tc>
          <w:tcPr>
            <w:tcW w:w="1460" w:type="dxa"/>
            <w:tcBorders>
              <w:top w:val="nil"/>
              <w:left w:val="nil"/>
              <w:bottom w:val="nil"/>
              <w:right w:val="nil"/>
            </w:tcBorders>
            <w:shd w:val="clear" w:color="auto" w:fill="auto"/>
            <w:noWrap/>
            <w:vAlign w:val="center"/>
            <w:hideMark/>
          </w:tcPr>
          <w:p w14:paraId="6730AA0D" w14:textId="77777777" w:rsidR="006E31CF" w:rsidRDefault="006E31CF">
            <w:pPr>
              <w:jc w:val="center"/>
              <w:rPr>
                <w:rFonts w:ascii="Garamond" w:hAnsi="Garamond" w:cs="Calibri"/>
                <w:color w:val="000000"/>
                <w:sz w:val="20"/>
                <w:szCs w:val="20"/>
              </w:rPr>
            </w:pPr>
            <w:r>
              <w:rPr>
                <w:rFonts w:ascii="Garamond" w:hAnsi="Garamond" w:cs="Calibri"/>
                <w:color w:val="000000"/>
                <w:sz w:val="20"/>
                <w:szCs w:val="20"/>
              </w:rPr>
              <w:t xml:space="preserve">2.060.190 </w:t>
            </w:r>
          </w:p>
        </w:tc>
      </w:tr>
      <w:tr w:rsidR="006E31CF" w14:paraId="5553ECAF" w14:textId="77777777" w:rsidTr="00566BF5">
        <w:trPr>
          <w:trHeight w:val="57"/>
          <w:jc w:val="center"/>
        </w:trPr>
        <w:tc>
          <w:tcPr>
            <w:tcW w:w="2220" w:type="dxa"/>
            <w:tcBorders>
              <w:top w:val="nil"/>
              <w:left w:val="nil"/>
              <w:bottom w:val="nil"/>
              <w:right w:val="nil"/>
            </w:tcBorders>
            <w:shd w:val="clear" w:color="auto" w:fill="auto"/>
            <w:noWrap/>
            <w:vAlign w:val="bottom"/>
            <w:hideMark/>
          </w:tcPr>
          <w:p w14:paraId="6E9B2CC7" w14:textId="77777777" w:rsidR="006E31CF" w:rsidRDefault="006E31CF">
            <w:pPr>
              <w:rPr>
                <w:rFonts w:ascii="Garamond" w:hAnsi="Garamond" w:cs="Calibri"/>
                <w:color w:val="000000"/>
                <w:sz w:val="20"/>
                <w:szCs w:val="20"/>
              </w:rPr>
            </w:pPr>
            <w:proofErr w:type="gramStart"/>
            <w:r>
              <w:rPr>
                <w:rFonts w:ascii="Garamond" w:hAnsi="Garamond" w:cs="Calibri"/>
                <w:color w:val="000000"/>
                <w:sz w:val="20"/>
                <w:szCs w:val="20"/>
              </w:rPr>
              <w:t>S,P</w:t>
            </w:r>
            <w:proofErr w:type="gramEnd"/>
            <w:r>
              <w:rPr>
                <w:rFonts w:ascii="Garamond" w:hAnsi="Garamond" w:cs="Calibri"/>
                <w:color w:val="000000"/>
                <w:sz w:val="20"/>
                <w:szCs w:val="20"/>
              </w:rPr>
              <w:t>_500</w:t>
            </w:r>
          </w:p>
        </w:tc>
        <w:tc>
          <w:tcPr>
            <w:tcW w:w="1220" w:type="dxa"/>
            <w:tcBorders>
              <w:top w:val="nil"/>
              <w:left w:val="nil"/>
              <w:bottom w:val="nil"/>
              <w:right w:val="nil"/>
            </w:tcBorders>
            <w:shd w:val="clear" w:color="auto" w:fill="auto"/>
            <w:noWrap/>
            <w:vAlign w:val="center"/>
            <w:hideMark/>
          </w:tcPr>
          <w:p w14:paraId="5211C607" w14:textId="77777777" w:rsidR="006E31CF" w:rsidRDefault="006E31CF">
            <w:pPr>
              <w:jc w:val="center"/>
              <w:rPr>
                <w:rFonts w:ascii="Garamond" w:hAnsi="Garamond" w:cs="Calibri"/>
                <w:color w:val="000000"/>
                <w:sz w:val="20"/>
                <w:szCs w:val="20"/>
              </w:rPr>
            </w:pPr>
            <w:r>
              <w:rPr>
                <w:rFonts w:ascii="Garamond" w:hAnsi="Garamond" w:cs="Calibri"/>
                <w:color w:val="000000"/>
                <w:sz w:val="20"/>
                <w:szCs w:val="20"/>
              </w:rPr>
              <w:t xml:space="preserve">2.130 </w:t>
            </w:r>
          </w:p>
        </w:tc>
        <w:tc>
          <w:tcPr>
            <w:tcW w:w="1780" w:type="dxa"/>
            <w:tcBorders>
              <w:top w:val="nil"/>
              <w:left w:val="nil"/>
              <w:bottom w:val="nil"/>
              <w:right w:val="nil"/>
            </w:tcBorders>
            <w:shd w:val="clear" w:color="auto" w:fill="auto"/>
            <w:noWrap/>
            <w:vAlign w:val="center"/>
            <w:hideMark/>
          </w:tcPr>
          <w:p w14:paraId="0EE6DE6D" w14:textId="77777777" w:rsidR="006E31CF" w:rsidRDefault="006E31CF">
            <w:pPr>
              <w:jc w:val="center"/>
              <w:rPr>
                <w:rFonts w:ascii="Garamond" w:hAnsi="Garamond" w:cs="Calibri"/>
                <w:color w:val="000000"/>
                <w:sz w:val="20"/>
                <w:szCs w:val="20"/>
              </w:rPr>
            </w:pPr>
            <w:r>
              <w:rPr>
                <w:rFonts w:ascii="Garamond" w:hAnsi="Garamond" w:cs="Calibri"/>
                <w:color w:val="000000"/>
                <w:sz w:val="20"/>
                <w:szCs w:val="20"/>
              </w:rPr>
              <w:t xml:space="preserve">963 </w:t>
            </w:r>
          </w:p>
        </w:tc>
        <w:tc>
          <w:tcPr>
            <w:tcW w:w="1520" w:type="dxa"/>
            <w:tcBorders>
              <w:top w:val="nil"/>
              <w:left w:val="nil"/>
              <w:bottom w:val="nil"/>
              <w:right w:val="nil"/>
            </w:tcBorders>
            <w:shd w:val="clear" w:color="auto" w:fill="auto"/>
            <w:noWrap/>
            <w:vAlign w:val="center"/>
            <w:hideMark/>
          </w:tcPr>
          <w:p w14:paraId="49EFB3F2" w14:textId="77777777" w:rsidR="006E31CF" w:rsidRDefault="006E31CF">
            <w:pPr>
              <w:jc w:val="center"/>
              <w:rPr>
                <w:rFonts w:ascii="Garamond" w:hAnsi="Garamond" w:cs="Calibri"/>
                <w:color w:val="000000"/>
                <w:sz w:val="20"/>
                <w:szCs w:val="20"/>
              </w:rPr>
            </w:pPr>
            <w:r>
              <w:rPr>
                <w:rFonts w:ascii="Garamond" w:hAnsi="Garamond" w:cs="Calibri"/>
                <w:color w:val="000000"/>
                <w:sz w:val="20"/>
                <w:szCs w:val="20"/>
              </w:rPr>
              <w:t xml:space="preserve">786 </w:t>
            </w:r>
          </w:p>
        </w:tc>
        <w:tc>
          <w:tcPr>
            <w:tcW w:w="1460" w:type="dxa"/>
            <w:tcBorders>
              <w:top w:val="nil"/>
              <w:left w:val="nil"/>
              <w:bottom w:val="nil"/>
              <w:right w:val="nil"/>
            </w:tcBorders>
            <w:shd w:val="clear" w:color="auto" w:fill="auto"/>
            <w:noWrap/>
            <w:vAlign w:val="center"/>
            <w:hideMark/>
          </w:tcPr>
          <w:p w14:paraId="0BD7152C" w14:textId="77777777" w:rsidR="006E31CF" w:rsidRDefault="006E31CF">
            <w:pPr>
              <w:jc w:val="center"/>
              <w:rPr>
                <w:rFonts w:ascii="Garamond" w:hAnsi="Garamond" w:cs="Calibri"/>
                <w:color w:val="000000"/>
                <w:sz w:val="20"/>
                <w:szCs w:val="20"/>
              </w:rPr>
            </w:pPr>
            <w:r>
              <w:rPr>
                <w:rFonts w:ascii="Garamond" w:hAnsi="Garamond" w:cs="Calibri"/>
                <w:color w:val="000000"/>
                <w:sz w:val="20"/>
                <w:szCs w:val="20"/>
              </w:rPr>
              <w:t xml:space="preserve">4.646 </w:t>
            </w:r>
          </w:p>
        </w:tc>
      </w:tr>
      <w:tr w:rsidR="006E31CF" w14:paraId="03B14050" w14:textId="77777777" w:rsidTr="00566BF5">
        <w:trPr>
          <w:trHeight w:val="57"/>
          <w:jc w:val="center"/>
        </w:trPr>
        <w:tc>
          <w:tcPr>
            <w:tcW w:w="2220" w:type="dxa"/>
            <w:tcBorders>
              <w:top w:val="nil"/>
              <w:left w:val="nil"/>
              <w:bottom w:val="nil"/>
              <w:right w:val="nil"/>
            </w:tcBorders>
            <w:shd w:val="clear" w:color="auto" w:fill="auto"/>
            <w:noWrap/>
            <w:vAlign w:val="bottom"/>
            <w:hideMark/>
          </w:tcPr>
          <w:p w14:paraId="0FABDC28" w14:textId="77777777" w:rsidR="006E31CF" w:rsidRDefault="006E31CF">
            <w:pPr>
              <w:rPr>
                <w:rFonts w:ascii="Garamond" w:hAnsi="Garamond" w:cs="Calibri"/>
                <w:color w:val="000000"/>
                <w:sz w:val="20"/>
                <w:szCs w:val="20"/>
              </w:rPr>
            </w:pPr>
            <w:r>
              <w:rPr>
                <w:rFonts w:ascii="Garamond" w:hAnsi="Garamond" w:cs="Calibri"/>
                <w:color w:val="000000"/>
                <w:sz w:val="20"/>
                <w:szCs w:val="20"/>
              </w:rPr>
              <w:t>Brent</w:t>
            </w:r>
          </w:p>
        </w:tc>
        <w:tc>
          <w:tcPr>
            <w:tcW w:w="1220" w:type="dxa"/>
            <w:tcBorders>
              <w:top w:val="nil"/>
              <w:left w:val="nil"/>
              <w:bottom w:val="nil"/>
              <w:right w:val="nil"/>
            </w:tcBorders>
            <w:shd w:val="clear" w:color="auto" w:fill="auto"/>
            <w:noWrap/>
            <w:vAlign w:val="center"/>
            <w:hideMark/>
          </w:tcPr>
          <w:p w14:paraId="4F299132" w14:textId="77777777" w:rsidR="006E31CF" w:rsidRDefault="006E31CF">
            <w:pPr>
              <w:jc w:val="center"/>
              <w:rPr>
                <w:rFonts w:ascii="Garamond" w:hAnsi="Garamond" w:cs="Calibri"/>
                <w:color w:val="000000"/>
                <w:sz w:val="20"/>
                <w:szCs w:val="20"/>
              </w:rPr>
            </w:pPr>
            <w:r>
              <w:rPr>
                <w:rFonts w:ascii="Garamond" w:hAnsi="Garamond" w:cs="Calibri"/>
                <w:color w:val="000000"/>
                <w:sz w:val="20"/>
                <w:szCs w:val="20"/>
              </w:rPr>
              <w:t xml:space="preserve">77 </w:t>
            </w:r>
          </w:p>
        </w:tc>
        <w:tc>
          <w:tcPr>
            <w:tcW w:w="1780" w:type="dxa"/>
            <w:tcBorders>
              <w:top w:val="nil"/>
              <w:left w:val="nil"/>
              <w:bottom w:val="nil"/>
              <w:right w:val="nil"/>
            </w:tcBorders>
            <w:shd w:val="clear" w:color="auto" w:fill="auto"/>
            <w:noWrap/>
            <w:vAlign w:val="center"/>
            <w:hideMark/>
          </w:tcPr>
          <w:p w14:paraId="08B3FA84" w14:textId="77777777" w:rsidR="006E31CF" w:rsidRDefault="006E31CF">
            <w:pPr>
              <w:jc w:val="center"/>
              <w:rPr>
                <w:rFonts w:ascii="Garamond" w:hAnsi="Garamond" w:cs="Calibri"/>
                <w:color w:val="000000"/>
                <w:sz w:val="20"/>
                <w:szCs w:val="20"/>
              </w:rPr>
            </w:pPr>
            <w:r>
              <w:rPr>
                <w:rFonts w:ascii="Garamond" w:hAnsi="Garamond" w:cs="Calibri"/>
                <w:color w:val="000000"/>
                <w:sz w:val="20"/>
                <w:szCs w:val="20"/>
              </w:rPr>
              <w:t xml:space="preserve">25 </w:t>
            </w:r>
          </w:p>
        </w:tc>
        <w:tc>
          <w:tcPr>
            <w:tcW w:w="1520" w:type="dxa"/>
            <w:tcBorders>
              <w:top w:val="nil"/>
              <w:left w:val="nil"/>
              <w:bottom w:val="nil"/>
              <w:right w:val="nil"/>
            </w:tcBorders>
            <w:shd w:val="clear" w:color="auto" w:fill="auto"/>
            <w:noWrap/>
            <w:vAlign w:val="center"/>
            <w:hideMark/>
          </w:tcPr>
          <w:p w14:paraId="7B9E5B23" w14:textId="77777777" w:rsidR="006E31CF" w:rsidRDefault="006E31CF">
            <w:pPr>
              <w:jc w:val="center"/>
              <w:rPr>
                <w:rFonts w:ascii="Garamond" w:hAnsi="Garamond" w:cs="Calibri"/>
                <w:color w:val="000000"/>
                <w:sz w:val="20"/>
                <w:szCs w:val="20"/>
              </w:rPr>
            </w:pPr>
            <w:r>
              <w:rPr>
                <w:rFonts w:ascii="Garamond" w:hAnsi="Garamond" w:cs="Calibri"/>
                <w:color w:val="000000"/>
                <w:sz w:val="20"/>
                <w:szCs w:val="20"/>
              </w:rPr>
              <w:t xml:space="preserve">35 </w:t>
            </w:r>
          </w:p>
        </w:tc>
        <w:tc>
          <w:tcPr>
            <w:tcW w:w="1460" w:type="dxa"/>
            <w:tcBorders>
              <w:top w:val="nil"/>
              <w:left w:val="nil"/>
              <w:bottom w:val="nil"/>
              <w:right w:val="nil"/>
            </w:tcBorders>
            <w:shd w:val="clear" w:color="auto" w:fill="auto"/>
            <w:noWrap/>
            <w:vAlign w:val="center"/>
            <w:hideMark/>
          </w:tcPr>
          <w:p w14:paraId="051B4EF8" w14:textId="77777777" w:rsidR="006E31CF" w:rsidRDefault="006E31CF">
            <w:pPr>
              <w:jc w:val="center"/>
              <w:rPr>
                <w:rFonts w:ascii="Garamond" w:hAnsi="Garamond" w:cs="Calibri"/>
                <w:color w:val="000000"/>
                <w:sz w:val="20"/>
                <w:szCs w:val="20"/>
              </w:rPr>
            </w:pPr>
            <w:r>
              <w:rPr>
                <w:rFonts w:ascii="Garamond" w:hAnsi="Garamond" w:cs="Calibri"/>
                <w:color w:val="000000"/>
                <w:sz w:val="20"/>
                <w:szCs w:val="20"/>
              </w:rPr>
              <w:t xml:space="preserve">126 </w:t>
            </w:r>
          </w:p>
        </w:tc>
      </w:tr>
      <w:tr w:rsidR="006E31CF" w14:paraId="60A94BC2" w14:textId="77777777" w:rsidTr="00566BF5">
        <w:trPr>
          <w:trHeight w:val="57"/>
          <w:jc w:val="center"/>
        </w:trPr>
        <w:tc>
          <w:tcPr>
            <w:tcW w:w="2220" w:type="dxa"/>
            <w:tcBorders>
              <w:top w:val="nil"/>
              <w:left w:val="nil"/>
              <w:bottom w:val="single" w:sz="8" w:space="0" w:color="auto"/>
              <w:right w:val="nil"/>
            </w:tcBorders>
            <w:shd w:val="clear" w:color="auto" w:fill="auto"/>
            <w:noWrap/>
            <w:vAlign w:val="bottom"/>
            <w:hideMark/>
          </w:tcPr>
          <w:p w14:paraId="41FCE3BA" w14:textId="77777777" w:rsidR="006E31CF" w:rsidRDefault="006E31CF">
            <w:pPr>
              <w:rPr>
                <w:rFonts w:ascii="Garamond" w:hAnsi="Garamond" w:cs="Calibri"/>
                <w:color w:val="000000"/>
                <w:sz w:val="20"/>
                <w:szCs w:val="20"/>
              </w:rPr>
            </w:pPr>
            <w:proofErr w:type="spellStart"/>
            <w:r>
              <w:rPr>
                <w:rFonts w:ascii="Garamond" w:hAnsi="Garamond" w:cs="Calibri"/>
                <w:color w:val="000000"/>
                <w:sz w:val="20"/>
                <w:szCs w:val="20"/>
              </w:rPr>
              <w:t>Distancia_km</w:t>
            </w:r>
            <w:proofErr w:type="spellEnd"/>
          </w:p>
        </w:tc>
        <w:tc>
          <w:tcPr>
            <w:tcW w:w="1220" w:type="dxa"/>
            <w:tcBorders>
              <w:top w:val="nil"/>
              <w:left w:val="nil"/>
              <w:bottom w:val="single" w:sz="8" w:space="0" w:color="auto"/>
              <w:right w:val="nil"/>
            </w:tcBorders>
            <w:shd w:val="clear" w:color="auto" w:fill="auto"/>
            <w:noWrap/>
            <w:vAlign w:val="center"/>
            <w:hideMark/>
          </w:tcPr>
          <w:p w14:paraId="1DB925EC" w14:textId="77777777" w:rsidR="006E31CF" w:rsidRDefault="006E31CF">
            <w:pPr>
              <w:jc w:val="center"/>
              <w:rPr>
                <w:rFonts w:ascii="Garamond" w:hAnsi="Garamond" w:cs="Calibri"/>
                <w:color w:val="000000"/>
                <w:sz w:val="20"/>
                <w:szCs w:val="20"/>
              </w:rPr>
            </w:pPr>
            <w:r>
              <w:rPr>
                <w:rFonts w:ascii="Garamond" w:hAnsi="Garamond" w:cs="Calibri"/>
                <w:color w:val="000000"/>
                <w:sz w:val="20"/>
                <w:szCs w:val="20"/>
              </w:rPr>
              <w:t xml:space="preserve">7.241 </w:t>
            </w:r>
          </w:p>
        </w:tc>
        <w:tc>
          <w:tcPr>
            <w:tcW w:w="1780" w:type="dxa"/>
            <w:tcBorders>
              <w:top w:val="nil"/>
              <w:left w:val="nil"/>
              <w:bottom w:val="single" w:sz="8" w:space="0" w:color="auto"/>
              <w:right w:val="nil"/>
            </w:tcBorders>
            <w:shd w:val="clear" w:color="auto" w:fill="auto"/>
            <w:noWrap/>
            <w:vAlign w:val="center"/>
            <w:hideMark/>
          </w:tcPr>
          <w:p w14:paraId="62F08FEC" w14:textId="77777777" w:rsidR="006E31CF" w:rsidRDefault="006E31CF">
            <w:pPr>
              <w:jc w:val="center"/>
              <w:rPr>
                <w:rFonts w:ascii="Garamond" w:hAnsi="Garamond" w:cs="Calibri"/>
                <w:color w:val="000000"/>
                <w:sz w:val="20"/>
                <w:szCs w:val="20"/>
              </w:rPr>
            </w:pPr>
            <w:r>
              <w:rPr>
                <w:rFonts w:ascii="Garamond" w:hAnsi="Garamond" w:cs="Calibri"/>
                <w:color w:val="000000"/>
                <w:sz w:val="20"/>
                <w:szCs w:val="20"/>
              </w:rPr>
              <w:t xml:space="preserve">4.883 </w:t>
            </w:r>
          </w:p>
        </w:tc>
        <w:tc>
          <w:tcPr>
            <w:tcW w:w="1520" w:type="dxa"/>
            <w:tcBorders>
              <w:top w:val="nil"/>
              <w:left w:val="nil"/>
              <w:bottom w:val="single" w:sz="8" w:space="0" w:color="auto"/>
              <w:right w:val="nil"/>
            </w:tcBorders>
            <w:shd w:val="clear" w:color="auto" w:fill="auto"/>
            <w:noWrap/>
            <w:vAlign w:val="center"/>
            <w:hideMark/>
          </w:tcPr>
          <w:p w14:paraId="41CE2B9F" w14:textId="77777777" w:rsidR="006E31CF" w:rsidRDefault="006E31CF">
            <w:pPr>
              <w:jc w:val="center"/>
              <w:rPr>
                <w:rFonts w:ascii="Garamond" w:hAnsi="Garamond" w:cs="Calibri"/>
                <w:color w:val="000000"/>
                <w:sz w:val="20"/>
                <w:szCs w:val="20"/>
              </w:rPr>
            </w:pPr>
            <w:r>
              <w:rPr>
                <w:rFonts w:ascii="Garamond" w:hAnsi="Garamond" w:cs="Calibri"/>
                <w:color w:val="000000"/>
                <w:sz w:val="20"/>
                <w:szCs w:val="20"/>
              </w:rPr>
              <w:t xml:space="preserve">729 </w:t>
            </w:r>
          </w:p>
        </w:tc>
        <w:tc>
          <w:tcPr>
            <w:tcW w:w="1460" w:type="dxa"/>
            <w:tcBorders>
              <w:top w:val="nil"/>
              <w:left w:val="nil"/>
              <w:bottom w:val="single" w:sz="8" w:space="0" w:color="auto"/>
              <w:right w:val="nil"/>
            </w:tcBorders>
            <w:shd w:val="clear" w:color="auto" w:fill="auto"/>
            <w:noWrap/>
            <w:vAlign w:val="center"/>
            <w:hideMark/>
          </w:tcPr>
          <w:p w14:paraId="1D6C5944" w14:textId="77777777" w:rsidR="006E31CF" w:rsidRDefault="006E31CF">
            <w:pPr>
              <w:jc w:val="center"/>
              <w:rPr>
                <w:rFonts w:ascii="Garamond" w:hAnsi="Garamond" w:cs="Calibri"/>
                <w:color w:val="000000"/>
                <w:sz w:val="20"/>
                <w:szCs w:val="20"/>
              </w:rPr>
            </w:pPr>
            <w:r>
              <w:rPr>
                <w:rFonts w:ascii="Garamond" w:hAnsi="Garamond" w:cs="Calibri"/>
                <w:color w:val="000000"/>
                <w:sz w:val="20"/>
                <w:szCs w:val="20"/>
              </w:rPr>
              <w:t xml:space="preserve">19.334 </w:t>
            </w:r>
          </w:p>
        </w:tc>
      </w:tr>
    </w:tbl>
    <w:p w14:paraId="06C9A25B" w14:textId="77777777" w:rsidR="007A35C6" w:rsidRPr="00077F18" w:rsidRDefault="007A35C6" w:rsidP="00077F18">
      <w:pPr>
        <w:rPr>
          <w:lang w:val="es-ES"/>
        </w:rPr>
      </w:pPr>
    </w:p>
    <w:p w14:paraId="50D34707" w14:textId="0118A9F3" w:rsidR="00A82430" w:rsidRDefault="00881114" w:rsidP="00155715">
      <w:pPr>
        <w:jc w:val="both"/>
        <w:rPr>
          <w:lang w:val="es-ES"/>
        </w:rPr>
      </w:pPr>
      <w:r>
        <w:rPr>
          <w:lang w:val="es-ES"/>
        </w:rPr>
        <w:lastRenderedPageBreak/>
        <w:t xml:space="preserve">Considerando la importancia de </w:t>
      </w:r>
      <w:r w:rsidR="000950F2">
        <w:rPr>
          <w:lang w:val="es-ES"/>
        </w:rPr>
        <w:t>analizar el comportamiento de Colombia en relación con el resto del mundo,</w:t>
      </w:r>
      <w:r w:rsidR="00A8541F">
        <w:rPr>
          <w:lang w:val="es-ES"/>
        </w:rPr>
        <w:t xml:space="preserve"> se presenta la distribución de </w:t>
      </w:r>
      <w:r w:rsidR="00D3464B">
        <w:rPr>
          <w:lang w:val="es-ES"/>
        </w:rPr>
        <w:t>algunas variables como la IED y la Balanza Comercial</w:t>
      </w:r>
      <w:r w:rsidR="005559D8">
        <w:rPr>
          <w:lang w:val="es-ES"/>
        </w:rPr>
        <w:t xml:space="preserve">, que </w:t>
      </w:r>
      <w:r w:rsidR="000950F2">
        <w:rPr>
          <w:lang w:val="es-ES"/>
        </w:rPr>
        <w:t xml:space="preserve">permiten ver este tipo de relaciones. Las </w:t>
      </w:r>
      <w:r w:rsidR="00CC7A85">
        <w:rPr>
          <w:lang w:val="es-ES"/>
        </w:rPr>
        <w:t>G</w:t>
      </w:r>
      <w:r w:rsidR="000950F2">
        <w:rPr>
          <w:lang w:val="es-ES"/>
        </w:rPr>
        <w:t xml:space="preserve">ráficas 4 y 6 dejan ver </w:t>
      </w:r>
      <w:r w:rsidR="008767F7">
        <w:rPr>
          <w:lang w:val="es-ES"/>
        </w:rPr>
        <w:t xml:space="preserve">que en el período de estudio se han tenido flujos de inversión extranjera directa entrantes hacia Colombia, lo cual </w:t>
      </w:r>
      <w:r w:rsidR="00E04B7E">
        <w:rPr>
          <w:lang w:val="es-ES"/>
        </w:rPr>
        <w:t xml:space="preserve">está en consonancia con </w:t>
      </w:r>
      <w:r w:rsidR="00192CC1">
        <w:rPr>
          <w:lang w:val="es-ES"/>
        </w:rPr>
        <w:t>la relevancia de</w:t>
      </w:r>
      <w:r w:rsidR="009C4404">
        <w:rPr>
          <w:lang w:val="es-ES"/>
        </w:rPr>
        <w:t>l rol económico de Colombia en la región.</w:t>
      </w:r>
      <w:r w:rsidR="00BC2C6C">
        <w:rPr>
          <w:lang w:val="es-ES"/>
        </w:rPr>
        <w:t xml:space="preserve"> También como la presencia de una balanza deficitaria, que en principio no está tan desbalanceada,</w:t>
      </w:r>
      <w:r w:rsidR="00AE02CC">
        <w:rPr>
          <w:lang w:val="es-ES"/>
        </w:rPr>
        <w:t xml:space="preserve"> ya que </w:t>
      </w:r>
      <w:r w:rsidR="00325AB6">
        <w:rPr>
          <w:lang w:val="es-ES"/>
        </w:rPr>
        <w:t xml:space="preserve">tan sólo </w:t>
      </w:r>
      <w:r w:rsidR="00AE02CC">
        <w:rPr>
          <w:lang w:val="es-ES"/>
        </w:rPr>
        <w:t xml:space="preserve">un poco más del 50% de los datos muestran que es deficitaria, lo que también es un indicador de la relevancia del país como </w:t>
      </w:r>
      <w:r w:rsidR="00325AB6">
        <w:rPr>
          <w:lang w:val="es-ES"/>
        </w:rPr>
        <w:t>potencial exportador</w:t>
      </w:r>
      <w:r w:rsidR="00D05903">
        <w:rPr>
          <w:lang w:val="es-ES"/>
        </w:rPr>
        <w:t>.</w:t>
      </w:r>
    </w:p>
    <w:p w14:paraId="14F0F853" w14:textId="77777777" w:rsidR="005867D4" w:rsidRDefault="005867D4" w:rsidP="00155715">
      <w:pPr>
        <w:jc w:val="both"/>
        <w:rPr>
          <w:lang w:val="es-ES"/>
        </w:rPr>
      </w:pPr>
    </w:p>
    <w:p w14:paraId="021A7020" w14:textId="7B00C21F" w:rsidR="00D05903" w:rsidRDefault="005867D4" w:rsidP="00D05903">
      <w:pPr>
        <w:keepNext/>
        <w:jc w:val="center"/>
      </w:pPr>
      <w:r>
        <w:rPr>
          <w:noProof/>
          <w:lang w:val="es-ES"/>
        </w:rPr>
        <w:drawing>
          <wp:inline distT="0" distB="0" distL="0" distR="0" wp14:anchorId="4B69ED6E" wp14:editId="618592BB">
            <wp:extent cx="4776818" cy="2668249"/>
            <wp:effectExtent l="0" t="0" r="0" b="0"/>
            <wp:docPr id="11485979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597998" name="Picture 1148597998"/>
                    <pic:cNvPicPr/>
                  </pic:nvPicPr>
                  <pic:blipFill>
                    <a:blip r:embed="rId15">
                      <a:extLst>
                        <a:ext uri="{28A0092B-C50C-407E-A947-70E740481C1C}">
                          <a14:useLocalDpi xmlns:a14="http://schemas.microsoft.com/office/drawing/2010/main" val="0"/>
                        </a:ext>
                      </a:extLst>
                    </a:blip>
                    <a:stretch>
                      <a:fillRect/>
                    </a:stretch>
                  </pic:blipFill>
                  <pic:spPr>
                    <a:xfrm>
                      <a:off x="0" y="0"/>
                      <a:ext cx="4877157" cy="2724297"/>
                    </a:xfrm>
                    <a:prstGeom prst="rect">
                      <a:avLst/>
                    </a:prstGeom>
                  </pic:spPr>
                </pic:pic>
              </a:graphicData>
            </a:graphic>
          </wp:inline>
        </w:drawing>
      </w:r>
    </w:p>
    <w:p w14:paraId="0FE47631" w14:textId="1DC59CB0" w:rsidR="005867D4" w:rsidRPr="00D05903" w:rsidRDefault="00360CD8" w:rsidP="0032226B">
      <w:pPr>
        <w:pStyle w:val="Caption"/>
        <w:jc w:val="center"/>
        <w:rPr>
          <w:rFonts w:ascii="Garamond" w:hAnsi="Garamond"/>
          <w:color w:val="262626" w:themeColor="text1" w:themeTint="D9"/>
          <w:sz w:val="22"/>
          <w:szCs w:val="22"/>
          <w:lang w:val="es-ES"/>
        </w:rPr>
      </w:pPr>
      <w:r w:rsidRPr="00D05903">
        <w:rPr>
          <w:rFonts w:ascii="Garamond" w:hAnsi="Garamond"/>
          <w:color w:val="262626" w:themeColor="text1" w:themeTint="D9"/>
          <w:sz w:val="22"/>
          <w:szCs w:val="22"/>
          <w:lang w:val="es-ES"/>
        </w:rPr>
        <w:t xml:space="preserve">Gráfica </w:t>
      </w:r>
      <w:r w:rsidRPr="00D05903">
        <w:rPr>
          <w:rFonts w:ascii="Garamond" w:hAnsi="Garamond"/>
          <w:color w:val="262626" w:themeColor="text1" w:themeTint="D9"/>
          <w:sz w:val="22"/>
          <w:szCs w:val="22"/>
          <w:lang w:val="es-ES"/>
        </w:rPr>
        <w:fldChar w:fldCharType="begin"/>
      </w:r>
      <w:r w:rsidRPr="00D05903">
        <w:rPr>
          <w:rFonts w:ascii="Garamond" w:hAnsi="Garamond"/>
          <w:color w:val="262626" w:themeColor="text1" w:themeTint="D9"/>
          <w:sz w:val="22"/>
          <w:szCs w:val="22"/>
          <w:lang w:val="es-ES"/>
        </w:rPr>
        <w:instrText xml:space="preserve"> SEQ Gráfica \* ARABIC </w:instrText>
      </w:r>
      <w:r w:rsidRPr="00D05903">
        <w:rPr>
          <w:rFonts w:ascii="Garamond" w:hAnsi="Garamond"/>
          <w:color w:val="262626" w:themeColor="text1" w:themeTint="D9"/>
          <w:sz w:val="22"/>
          <w:szCs w:val="22"/>
          <w:lang w:val="es-ES"/>
        </w:rPr>
        <w:fldChar w:fldCharType="separate"/>
      </w:r>
      <w:r w:rsidR="00470EC2">
        <w:rPr>
          <w:rFonts w:ascii="Garamond" w:hAnsi="Garamond"/>
          <w:noProof/>
          <w:color w:val="262626" w:themeColor="text1" w:themeTint="D9"/>
          <w:sz w:val="22"/>
          <w:szCs w:val="22"/>
          <w:lang w:val="es-ES"/>
        </w:rPr>
        <w:t>5</w:t>
      </w:r>
      <w:r w:rsidRPr="00D05903">
        <w:rPr>
          <w:rFonts w:ascii="Garamond" w:hAnsi="Garamond"/>
          <w:color w:val="262626" w:themeColor="text1" w:themeTint="D9"/>
          <w:sz w:val="22"/>
          <w:szCs w:val="22"/>
          <w:lang w:val="es-ES"/>
        </w:rPr>
        <w:fldChar w:fldCharType="end"/>
      </w:r>
      <w:r w:rsidRPr="00D05903">
        <w:rPr>
          <w:rFonts w:ascii="Garamond" w:hAnsi="Garamond"/>
          <w:color w:val="262626" w:themeColor="text1" w:themeTint="D9"/>
          <w:sz w:val="22"/>
          <w:szCs w:val="22"/>
          <w:lang w:val="es-ES"/>
        </w:rPr>
        <w:t xml:space="preserve">. Histograma IED. </w:t>
      </w:r>
      <w:r w:rsidR="00FA4FF6" w:rsidRPr="00D05903">
        <w:rPr>
          <w:rFonts w:ascii="Garamond" w:hAnsi="Garamond"/>
          <w:color w:val="262626" w:themeColor="text1" w:themeTint="D9"/>
          <w:sz w:val="22"/>
          <w:szCs w:val="22"/>
          <w:lang w:val="es-ES"/>
        </w:rPr>
        <w:t>El 92% de los datos muestran que los flujos de IED son positivos hacia Colombia.</w:t>
      </w:r>
    </w:p>
    <w:p w14:paraId="1CDF4BF3" w14:textId="77777777" w:rsidR="006D1E2B" w:rsidRDefault="006D1E2B" w:rsidP="0032226B">
      <w:pPr>
        <w:keepNext/>
        <w:jc w:val="center"/>
      </w:pPr>
      <w:r>
        <w:rPr>
          <w:noProof/>
          <w:lang w:val="es-ES"/>
        </w:rPr>
        <w:drawing>
          <wp:inline distT="0" distB="0" distL="0" distR="0" wp14:anchorId="593C844A" wp14:editId="072F1973">
            <wp:extent cx="4830490" cy="2698230"/>
            <wp:effectExtent l="0" t="0" r="0" b="0"/>
            <wp:docPr id="3287930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793063" name="Picture 328793063"/>
                    <pic:cNvPicPr/>
                  </pic:nvPicPr>
                  <pic:blipFill>
                    <a:blip r:embed="rId16">
                      <a:extLst>
                        <a:ext uri="{28A0092B-C50C-407E-A947-70E740481C1C}">
                          <a14:useLocalDpi xmlns:a14="http://schemas.microsoft.com/office/drawing/2010/main" val="0"/>
                        </a:ext>
                      </a:extLst>
                    </a:blip>
                    <a:stretch>
                      <a:fillRect/>
                    </a:stretch>
                  </pic:blipFill>
                  <pic:spPr>
                    <a:xfrm>
                      <a:off x="0" y="0"/>
                      <a:ext cx="4897554" cy="2735691"/>
                    </a:xfrm>
                    <a:prstGeom prst="rect">
                      <a:avLst/>
                    </a:prstGeom>
                  </pic:spPr>
                </pic:pic>
              </a:graphicData>
            </a:graphic>
          </wp:inline>
        </w:drawing>
      </w:r>
    </w:p>
    <w:p w14:paraId="3A711D01" w14:textId="7695AC5F" w:rsidR="0039262A" w:rsidRPr="00D05903" w:rsidRDefault="006D1E2B" w:rsidP="0032226B">
      <w:pPr>
        <w:pStyle w:val="Caption"/>
        <w:jc w:val="center"/>
        <w:rPr>
          <w:rFonts w:ascii="Garamond" w:hAnsi="Garamond"/>
          <w:color w:val="262626" w:themeColor="text1" w:themeTint="D9"/>
          <w:sz w:val="22"/>
          <w:szCs w:val="22"/>
          <w:lang w:val="es-ES"/>
        </w:rPr>
      </w:pPr>
      <w:r w:rsidRPr="00D05903">
        <w:rPr>
          <w:rFonts w:ascii="Garamond" w:hAnsi="Garamond"/>
          <w:color w:val="262626" w:themeColor="text1" w:themeTint="D9"/>
          <w:sz w:val="22"/>
          <w:szCs w:val="22"/>
          <w:lang w:val="es-ES"/>
        </w:rPr>
        <w:t xml:space="preserve">Gráfica </w:t>
      </w:r>
      <w:r w:rsidRPr="00D05903">
        <w:rPr>
          <w:rFonts w:ascii="Garamond" w:hAnsi="Garamond"/>
          <w:color w:val="262626" w:themeColor="text1" w:themeTint="D9"/>
          <w:sz w:val="22"/>
          <w:szCs w:val="22"/>
          <w:lang w:val="es-ES"/>
        </w:rPr>
        <w:fldChar w:fldCharType="begin"/>
      </w:r>
      <w:r w:rsidRPr="00D05903">
        <w:rPr>
          <w:rFonts w:ascii="Garamond" w:hAnsi="Garamond"/>
          <w:color w:val="262626" w:themeColor="text1" w:themeTint="D9"/>
          <w:sz w:val="22"/>
          <w:szCs w:val="22"/>
          <w:lang w:val="es-ES"/>
        </w:rPr>
        <w:instrText xml:space="preserve"> SEQ Gráfica \* ARABIC </w:instrText>
      </w:r>
      <w:r w:rsidRPr="00D05903">
        <w:rPr>
          <w:rFonts w:ascii="Garamond" w:hAnsi="Garamond"/>
          <w:color w:val="262626" w:themeColor="text1" w:themeTint="D9"/>
          <w:sz w:val="22"/>
          <w:szCs w:val="22"/>
          <w:lang w:val="es-ES"/>
        </w:rPr>
        <w:fldChar w:fldCharType="separate"/>
      </w:r>
      <w:r w:rsidR="00470EC2">
        <w:rPr>
          <w:rFonts w:ascii="Garamond" w:hAnsi="Garamond"/>
          <w:noProof/>
          <w:color w:val="262626" w:themeColor="text1" w:themeTint="D9"/>
          <w:sz w:val="22"/>
          <w:szCs w:val="22"/>
          <w:lang w:val="es-ES"/>
        </w:rPr>
        <w:t>6</w:t>
      </w:r>
      <w:r w:rsidRPr="00D05903">
        <w:rPr>
          <w:rFonts w:ascii="Garamond" w:hAnsi="Garamond"/>
          <w:color w:val="262626" w:themeColor="text1" w:themeTint="D9"/>
          <w:sz w:val="22"/>
          <w:szCs w:val="22"/>
          <w:lang w:val="es-ES"/>
        </w:rPr>
        <w:fldChar w:fldCharType="end"/>
      </w:r>
      <w:r w:rsidRPr="00D05903">
        <w:rPr>
          <w:rFonts w:ascii="Garamond" w:hAnsi="Garamond"/>
          <w:color w:val="262626" w:themeColor="text1" w:themeTint="D9"/>
          <w:sz w:val="22"/>
          <w:szCs w:val="22"/>
          <w:lang w:val="es-ES"/>
        </w:rPr>
        <w:t>. Balanza Comercial. El</w:t>
      </w:r>
      <w:r w:rsidR="004C3E89" w:rsidRPr="00D05903">
        <w:rPr>
          <w:rFonts w:ascii="Garamond" w:hAnsi="Garamond"/>
          <w:color w:val="262626" w:themeColor="text1" w:themeTint="D9"/>
          <w:sz w:val="22"/>
          <w:szCs w:val="22"/>
          <w:lang w:val="es-ES"/>
        </w:rPr>
        <w:t xml:space="preserve"> 51% de los datos </w:t>
      </w:r>
      <w:r w:rsidR="0065762F" w:rsidRPr="00D05903">
        <w:rPr>
          <w:rFonts w:ascii="Garamond" w:hAnsi="Garamond"/>
          <w:color w:val="262626" w:themeColor="text1" w:themeTint="D9"/>
          <w:sz w:val="22"/>
          <w:szCs w:val="22"/>
          <w:lang w:val="es-ES"/>
        </w:rPr>
        <w:t>son menores a cero para la Balanza Comercial</w:t>
      </w:r>
    </w:p>
    <w:p w14:paraId="09D18FD4" w14:textId="41FD0B94" w:rsidR="00AE6356" w:rsidRDefault="00782A4A" w:rsidP="00155715">
      <w:pPr>
        <w:jc w:val="both"/>
        <w:rPr>
          <w:lang w:val="es-ES"/>
        </w:rPr>
      </w:pPr>
      <w:r>
        <w:rPr>
          <w:lang w:val="es-ES"/>
        </w:rPr>
        <w:t>Por último</w:t>
      </w:r>
      <w:r w:rsidR="00CC7A85">
        <w:rPr>
          <w:lang w:val="es-ES"/>
        </w:rPr>
        <w:t>, bajo la arista tributaria, l</w:t>
      </w:r>
      <w:r w:rsidR="00E64A3D">
        <w:rPr>
          <w:lang w:val="es-ES"/>
        </w:rPr>
        <w:t xml:space="preserve">a </w:t>
      </w:r>
      <w:r w:rsidR="00CC7A85">
        <w:rPr>
          <w:lang w:val="es-ES"/>
        </w:rPr>
        <w:t>G</w:t>
      </w:r>
      <w:r w:rsidR="00E64A3D">
        <w:rPr>
          <w:lang w:val="es-ES"/>
        </w:rPr>
        <w:t xml:space="preserve">ráfica </w:t>
      </w:r>
      <w:r w:rsidR="00CC7A85">
        <w:rPr>
          <w:lang w:val="es-ES"/>
        </w:rPr>
        <w:t>7</w:t>
      </w:r>
      <w:r w:rsidR="00E64A3D">
        <w:rPr>
          <w:lang w:val="es-ES"/>
        </w:rPr>
        <w:t xml:space="preserve"> muestra la diferencia </w:t>
      </w:r>
      <w:r w:rsidR="00AF728E">
        <w:rPr>
          <w:lang w:val="es-ES"/>
        </w:rPr>
        <w:t xml:space="preserve">promedio </w:t>
      </w:r>
      <w:r w:rsidR="00E64A3D">
        <w:rPr>
          <w:lang w:val="es-ES"/>
        </w:rPr>
        <w:t>del impuesto de renta entre los países y Colombia</w:t>
      </w:r>
      <w:r w:rsidR="00E271C2">
        <w:rPr>
          <w:lang w:val="es-ES"/>
        </w:rPr>
        <w:t xml:space="preserve">. Los cuadros verdes </w:t>
      </w:r>
      <w:r w:rsidR="00DF70D0">
        <w:rPr>
          <w:lang w:val="es-ES"/>
        </w:rPr>
        <w:t>indican</w:t>
      </w:r>
      <w:r w:rsidR="00E271C2">
        <w:rPr>
          <w:lang w:val="es-ES"/>
        </w:rPr>
        <w:t xml:space="preserve"> una diferencia positiva, que significa que </w:t>
      </w:r>
      <w:r w:rsidR="006F78A2">
        <w:rPr>
          <w:lang w:val="es-ES"/>
        </w:rPr>
        <w:t xml:space="preserve">Colombia tiene un impuesto de renta menor </w:t>
      </w:r>
      <w:r w:rsidR="00D71CA4">
        <w:rPr>
          <w:lang w:val="es-ES"/>
        </w:rPr>
        <w:t>en comparación</w:t>
      </w:r>
      <w:r w:rsidR="006F78A2">
        <w:rPr>
          <w:lang w:val="es-ES"/>
        </w:rPr>
        <w:t xml:space="preserve"> </w:t>
      </w:r>
      <w:r w:rsidR="00D71CA4">
        <w:rPr>
          <w:lang w:val="es-ES"/>
        </w:rPr>
        <w:t xml:space="preserve">con el </w:t>
      </w:r>
      <w:r w:rsidR="006F78A2">
        <w:rPr>
          <w:lang w:val="es-ES"/>
        </w:rPr>
        <w:t>país</w:t>
      </w:r>
      <w:r w:rsidR="00D71CA4">
        <w:rPr>
          <w:lang w:val="es-ES"/>
        </w:rPr>
        <w:t xml:space="preserve"> en cuestión.</w:t>
      </w:r>
      <w:r w:rsidR="00AE6356">
        <w:rPr>
          <w:lang w:val="es-ES"/>
        </w:rPr>
        <w:t xml:space="preserve"> Mientras que, los cuadros rojos representan una diferencia </w:t>
      </w:r>
      <w:r w:rsidR="004B3F05">
        <w:rPr>
          <w:lang w:val="es-ES"/>
        </w:rPr>
        <w:t>negativa</w:t>
      </w:r>
      <w:r w:rsidR="00AE6356">
        <w:rPr>
          <w:lang w:val="es-ES"/>
        </w:rPr>
        <w:t xml:space="preserve">, </w:t>
      </w:r>
      <w:r w:rsidR="004B3F05">
        <w:rPr>
          <w:lang w:val="es-ES"/>
        </w:rPr>
        <w:t xml:space="preserve">lo que implica </w:t>
      </w:r>
      <w:r w:rsidR="004B3F05">
        <w:rPr>
          <w:lang w:val="es-ES"/>
        </w:rPr>
        <w:lastRenderedPageBreak/>
        <w:t xml:space="preserve">que </w:t>
      </w:r>
      <w:r w:rsidR="00AE6356">
        <w:rPr>
          <w:lang w:val="es-ES"/>
        </w:rPr>
        <w:t>Colombia tiene un impuesto</w:t>
      </w:r>
      <w:r w:rsidR="004B3F05">
        <w:rPr>
          <w:lang w:val="es-ES"/>
        </w:rPr>
        <w:t xml:space="preserve"> de renta</w:t>
      </w:r>
      <w:r w:rsidR="00AE6356">
        <w:rPr>
          <w:lang w:val="es-ES"/>
        </w:rPr>
        <w:t xml:space="preserve"> mayor que el país en observación.</w:t>
      </w:r>
      <w:r w:rsidR="005317A1">
        <w:rPr>
          <w:lang w:val="es-ES"/>
        </w:rPr>
        <w:t xml:space="preserve"> Cada cuadro en la gráfica representa la diferencia promedi</w:t>
      </w:r>
      <w:r w:rsidR="00EF5B43">
        <w:rPr>
          <w:lang w:val="es-ES"/>
        </w:rPr>
        <w:t xml:space="preserve">o entre el país en observación y Colombia </w:t>
      </w:r>
      <w:r w:rsidR="00724B1D">
        <w:rPr>
          <w:lang w:val="es-ES"/>
        </w:rPr>
        <w:t xml:space="preserve">durante </w:t>
      </w:r>
      <w:r w:rsidR="00EF5B43">
        <w:rPr>
          <w:lang w:val="es-ES"/>
        </w:rPr>
        <w:t>el período de estudio comprendido entre 2007 y 2022.</w:t>
      </w:r>
    </w:p>
    <w:p w14:paraId="75937BE5" w14:textId="77777777" w:rsidR="00BC7709" w:rsidRDefault="00BC7709" w:rsidP="00155715">
      <w:pPr>
        <w:jc w:val="both"/>
        <w:rPr>
          <w:lang w:val="es-ES"/>
        </w:rPr>
      </w:pPr>
    </w:p>
    <w:p w14:paraId="330DB6E5" w14:textId="77777777" w:rsidR="000D3AA5" w:rsidRDefault="00AF728E" w:rsidP="001819BE">
      <w:pPr>
        <w:keepNext/>
        <w:jc w:val="center"/>
      </w:pPr>
      <w:r>
        <w:rPr>
          <w:noProof/>
          <w:lang w:val="es-ES"/>
        </w:rPr>
        <w:drawing>
          <wp:inline distT="0" distB="0" distL="0" distR="0" wp14:anchorId="4DF7C1D1" wp14:editId="090E7BAA">
            <wp:extent cx="5358765" cy="2993316"/>
            <wp:effectExtent l="0" t="0" r="635" b="4445"/>
            <wp:docPr id="11206675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667527" name="Picture 1120667527"/>
                    <pic:cNvPicPr/>
                  </pic:nvPicPr>
                  <pic:blipFill>
                    <a:blip r:embed="rId17">
                      <a:extLst>
                        <a:ext uri="{28A0092B-C50C-407E-A947-70E740481C1C}">
                          <a14:useLocalDpi xmlns:a14="http://schemas.microsoft.com/office/drawing/2010/main" val="0"/>
                        </a:ext>
                      </a:extLst>
                    </a:blip>
                    <a:stretch>
                      <a:fillRect/>
                    </a:stretch>
                  </pic:blipFill>
                  <pic:spPr>
                    <a:xfrm>
                      <a:off x="0" y="0"/>
                      <a:ext cx="5397540" cy="3014975"/>
                    </a:xfrm>
                    <a:prstGeom prst="rect">
                      <a:avLst/>
                    </a:prstGeom>
                  </pic:spPr>
                </pic:pic>
              </a:graphicData>
            </a:graphic>
          </wp:inline>
        </w:drawing>
      </w:r>
    </w:p>
    <w:p w14:paraId="533E83B4" w14:textId="39399096" w:rsidR="00AF728E" w:rsidRPr="00BC7709" w:rsidRDefault="000D3AA5" w:rsidP="001819BE">
      <w:pPr>
        <w:pStyle w:val="Caption"/>
        <w:jc w:val="center"/>
        <w:rPr>
          <w:rFonts w:ascii="Garamond" w:hAnsi="Garamond"/>
          <w:color w:val="262626" w:themeColor="text1" w:themeTint="D9"/>
          <w:sz w:val="22"/>
          <w:szCs w:val="22"/>
          <w:lang w:val="es-ES"/>
        </w:rPr>
      </w:pPr>
      <w:r w:rsidRPr="00BC7709">
        <w:rPr>
          <w:rFonts w:ascii="Garamond" w:hAnsi="Garamond"/>
          <w:color w:val="262626" w:themeColor="text1" w:themeTint="D9"/>
          <w:sz w:val="22"/>
          <w:szCs w:val="22"/>
          <w:lang w:val="es-ES"/>
        </w:rPr>
        <w:t xml:space="preserve">Gráfica </w:t>
      </w:r>
      <w:r w:rsidRPr="00BC7709">
        <w:rPr>
          <w:rFonts w:ascii="Garamond" w:hAnsi="Garamond"/>
          <w:color w:val="262626" w:themeColor="text1" w:themeTint="D9"/>
          <w:sz w:val="22"/>
          <w:szCs w:val="22"/>
          <w:lang w:val="es-ES"/>
        </w:rPr>
        <w:fldChar w:fldCharType="begin"/>
      </w:r>
      <w:r w:rsidRPr="00BC7709">
        <w:rPr>
          <w:rFonts w:ascii="Garamond" w:hAnsi="Garamond"/>
          <w:color w:val="262626" w:themeColor="text1" w:themeTint="D9"/>
          <w:sz w:val="22"/>
          <w:szCs w:val="22"/>
          <w:lang w:val="es-ES"/>
        </w:rPr>
        <w:instrText xml:space="preserve"> SEQ Gráfica \* ARABIC </w:instrText>
      </w:r>
      <w:r w:rsidRPr="00BC7709">
        <w:rPr>
          <w:rFonts w:ascii="Garamond" w:hAnsi="Garamond"/>
          <w:color w:val="262626" w:themeColor="text1" w:themeTint="D9"/>
          <w:sz w:val="22"/>
          <w:szCs w:val="22"/>
          <w:lang w:val="es-ES"/>
        </w:rPr>
        <w:fldChar w:fldCharType="separate"/>
      </w:r>
      <w:r w:rsidR="00470EC2">
        <w:rPr>
          <w:rFonts w:ascii="Garamond" w:hAnsi="Garamond"/>
          <w:noProof/>
          <w:color w:val="262626" w:themeColor="text1" w:themeTint="D9"/>
          <w:sz w:val="22"/>
          <w:szCs w:val="22"/>
          <w:lang w:val="es-ES"/>
        </w:rPr>
        <w:t>7</w:t>
      </w:r>
      <w:r w:rsidRPr="00BC7709">
        <w:rPr>
          <w:rFonts w:ascii="Garamond" w:hAnsi="Garamond"/>
          <w:color w:val="262626" w:themeColor="text1" w:themeTint="D9"/>
          <w:sz w:val="22"/>
          <w:szCs w:val="22"/>
          <w:lang w:val="es-ES"/>
        </w:rPr>
        <w:fldChar w:fldCharType="end"/>
      </w:r>
      <w:r w:rsidRPr="00BC7709">
        <w:rPr>
          <w:rFonts w:ascii="Garamond" w:hAnsi="Garamond"/>
          <w:color w:val="262626" w:themeColor="text1" w:themeTint="D9"/>
          <w:sz w:val="22"/>
          <w:szCs w:val="22"/>
          <w:lang w:val="es-ES"/>
        </w:rPr>
        <w:t>. Diferencia promedio de</w:t>
      </w:r>
      <w:r w:rsidR="0036051B" w:rsidRPr="00BC7709">
        <w:rPr>
          <w:rFonts w:ascii="Garamond" w:hAnsi="Garamond"/>
          <w:color w:val="262626" w:themeColor="text1" w:themeTint="D9"/>
          <w:sz w:val="22"/>
          <w:szCs w:val="22"/>
          <w:lang w:val="es-ES"/>
        </w:rPr>
        <w:t>l impuesto de renta entre los países y Colombia. Cada cuadrado en la gráfica representa uno de los 4</w:t>
      </w:r>
      <w:r w:rsidR="001819BE" w:rsidRPr="00BC7709">
        <w:rPr>
          <w:rFonts w:ascii="Garamond" w:hAnsi="Garamond"/>
          <w:color w:val="262626" w:themeColor="text1" w:themeTint="D9"/>
          <w:sz w:val="22"/>
          <w:szCs w:val="22"/>
          <w:lang w:val="es-ES"/>
        </w:rPr>
        <w:t>1 países disponibles en la base de datos.</w:t>
      </w:r>
    </w:p>
    <w:p w14:paraId="23782757" w14:textId="77777777" w:rsidR="00790B1F" w:rsidRDefault="00790B1F" w:rsidP="00155715">
      <w:pPr>
        <w:jc w:val="both"/>
        <w:rPr>
          <w:lang w:val="es-ES"/>
        </w:rPr>
      </w:pPr>
    </w:p>
    <w:p w14:paraId="1483ED11" w14:textId="3D773197" w:rsidR="00790B1F" w:rsidRDefault="00790B1F" w:rsidP="00790B1F">
      <w:pPr>
        <w:jc w:val="both"/>
        <w:rPr>
          <w:lang w:val="es-ES"/>
        </w:rPr>
      </w:pPr>
      <w:r>
        <w:rPr>
          <w:lang w:val="es-ES"/>
        </w:rPr>
        <w:t xml:space="preserve">Considerando lo anterior, Colombia es más competitivo en términos </w:t>
      </w:r>
      <w:r w:rsidR="00BC7709">
        <w:rPr>
          <w:lang w:val="es-ES"/>
        </w:rPr>
        <w:t>tributarios</w:t>
      </w:r>
      <w:r w:rsidR="00A227FF">
        <w:rPr>
          <w:lang w:val="es-ES"/>
        </w:rPr>
        <w:t xml:space="preserve">, </w:t>
      </w:r>
      <w:r>
        <w:rPr>
          <w:lang w:val="es-ES"/>
        </w:rPr>
        <w:t>co</w:t>
      </w:r>
      <w:r w:rsidR="000D3AA5">
        <w:rPr>
          <w:lang w:val="es-ES"/>
        </w:rPr>
        <w:t>mparado con</w:t>
      </w:r>
      <w:r>
        <w:rPr>
          <w:lang w:val="es-ES"/>
        </w:rPr>
        <w:t xml:space="preserve"> los 8 países</w:t>
      </w:r>
      <w:r w:rsidR="000D3AA5">
        <w:rPr>
          <w:lang w:val="es-ES"/>
        </w:rPr>
        <w:t xml:space="preserve"> de la tabla 5</w:t>
      </w:r>
    </w:p>
    <w:p w14:paraId="67E4B7D8" w14:textId="77777777" w:rsidR="00790B1F" w:rsidRDefault="00790B1F" w:rsidP="00790B1F">
      <w:pPr>
        <w:jc w:val="both"/>
        <w:rPr>
          <w:lang w:val="es-ES"/>
        </w:rPr>
      </w:pPr>
    </w:p>
    <w:p w14:paraId="12F3CABF" w14:textId="030904C4" w:rsidR="000D3AA5" w:rsidRPr="00A227FF" w:rsidRDefault="000D3AA5" w:rsidP="000D3AA5">
      <w:pPr>
        <w:pStyle w:val="Caption"/>
        <w:keepNext/>
        <w:jc w:val="center"/>
        <w:rPr>
          <w:rFonts w:ascii="Garamond" w:hAnsi="Garamond"/>
          <w:color w:val="404040" w:themeColor="text1" w:themeTint="BF"/>
          <w:sz w:val="22"/>
          <w:szCs w:val="22"/>
          <w:lang w:val="es-ES"/>
        </w:rPr>
      </w:pPr>
      <w:r w:rsidRPr="00A227FF">
        <w:rPr>
          <w:rFonts w:ascii="Garamond" w:hAnsi="Garamond"/>
          <w:color w:val="404040" w:themeColor="text1" w:themeTint="BF"/>
          <w:sz w:val="22"/>
          <w:szCs w:val="22"/>
          <w:lang w:val="es-ES"/>
        </w:rPr>
        <w:t xml:space="preserve">Tabla </w:t>
      </w:r>
      <w:r w:rsidRPr="00A227FF">
        <w:rPr>
          <w:rFonts w:ascii="Garamond" w:hAnsi="Garamond"/>
          <w:color w:val="404040" w:themeColor="text1" w:themeTint="BF"/>
          <w:sz w:val="22"/>
          <w:szCs w:val="22"/>
          <w:lang w:val="es-ES"/>
        </w:rPr>
        <w:fldChar w:fldCharType="begin"/>
      </w:r>
      <w:r w:rsidRPr="00A227FF">
        <w:rPr>
          <w:rFonts w:ascii="Garamond" w:hAnsi="Garamond"/>
          <w:color w:val="404040" w:themeColor="text1" w:themeTint="BF"/>
          <w:sz w:val="22"/>
          <w:szCs w:val="22"/>
          <w:lang w:val="es-ES"/>
        </w:rPr>
        <w:instrText xml:space="preserve"> SEQ Tabla \* ARABIC </w:instrText>
      </w:r>
      <w:r w:rsidRPr="00A227FF">
        <w:rPr>
          <w:rFonts w:ascii="Garamond" w:hAnsi="Garamond"/>
          <w:color w:val="404040" w:themeColor="text1" w:themeTint="BF"/>
          <w:sz w:val="22"/>
          <w:szCs w:val="22"/>
          <w:lang w:val="es-ES"/>
        </w:rPr>
        <w:fldChar w:fldCharType="separate"/>
      </w:r>
      <w:r w:rsidR="00B74590">
        <w:rPr>
          <w:rFonts w:ascii="Garamond" w:hAnsi="Garamond"/>
          <w:noProof/>
          <w:color w:val="404040" w:themeColor="text1" w:themeTint="BF"/>
          <w:sz w:val="22"/>
          <w:szCs w:val="22"/>
          <w:lang w:val="es-ES"/>
        </w:rPr>
        <w:t>5</w:t>
      </w:r>
      <w:r w:rsidRPr="00A227FF">
        <w:rPr>
          <w:rFonts w:ascii="Garamond" w:hAnsi="Garamond"/>
          <w:color w:val="404040" w:themeColor="text1" w:themeTint="BF"/>
          <w:sz w:val="22"/>
          <w:szCs w:val="22"/>
          <w:lang w:val="es-ES"/>
        </w:rPr>
        <w:fldChar w:fldCharType="end"/>
      </w:r>
      <w:r w:rsidRPr="00A227FF">
        <w:rPr>
          <w:rFonts w:ascii="Garamond" w:hAnsi="Garamond"/>
          <w:color w:val="404040" w:themeColor="text1" w:themeTint="BF"/>
          <w:sz w:val="22"/>
          <w:szCs w:val="22"/>
          <w:lang w:val="es-ES"/>
        </w:rPr>
        <w:t>. Países menos competitivos que Colombia en términos de impuesto de renta</w:t>
      </w:r>
    </w:p>
    <w:tbl>
      <w:tblPr>
        <w:tblStyle w:val="TableGrid"/>
        <w:tblW w:w="0" w:type="auto"/>
        <w:jc w:val="center"/>
        <w:tblLook w:val="04A0" w:firstRow="1" w:lastRow="0" w:firstColumn="1" w:lastColumn="0" w:noHBand="0" w:noVBand="1"/>
      </w:tblPr>
      <w:tblGrid>
        <w:gridCol w:w="2238"/>
        <w:gridCol w:w="1676"/>
        <w:gridCol w:w="15"/>
      </w:tblGrid>
      <w:tr w:rsidR="00920BD0" w:rsidRPr="00086F01" w14:paraId="267E8ECF" w14:textId="77777777" w:rsidTr="00920BD0">
        <w:trPr>
          <w:trHeight w:val="594"/>
          <w:jc w:val="center"/>
        </w:trPr>
        <w:tc>
          <w:tcPr>
            <w:tcW w:w="3929" w:type="dxa"/>
            <w:gridSpan w:val="3"/>
            <w:vAlign w:val="center"/>
          </w:tcPr>
          <w:p w14:paraId="22A81D73" w14:textId="01BF7AB8" w:rsidR="00920BD0" w:rsidRPr="00920BD0" w:rsidRDefault="00920BD0" w:rsidP="00920BD0">
            <w:pPr>
              <w:jc w:val="center"/>
              <w:rPr>
                <w:b/>
                <w:bCs/>
                <w:sz w:val="20"/>
                <w:szCs w:val="20"/>
                <w:lang w:val="es-ES"/>
              </w:rPr>
            </w:pPr>
            <w:r w:rsidRPr="00920BD0">
              <w:rPr>
                <w:b/>
                <w:bCs/>
                <w:sz w:val="20"/>
                <w:szCs w:val="20"/>
                <w:lang w:val="es-ES"/>
              </w:rPr>
              <w:t>Países que tienen un impuesto de renta mayor que el de Colombia</w:t>
            </w:r>
          </w:p>
        </w:tc>
      </w:tr>
      <w:tr w:rsidR="00790B1F" w:rsidRPr="00920BD0" w14:paraId="49C58C6B" w14:textId="77777777" w:rsidTr="00920BD0">
        <w:trPr>
          <w:gridAfter w:val="1"/>
          <w:wAfter w:w="15" w:type="dxa"/>
          <w:trHeight w:val="204"/>
          <w:jc w:val="center"/>
        </w:trPr>
        <w:tc>
          <w:tcPr>
            <w:tcW w:w="2238" w:type="dxa"/>
            <w:vAlign w:val="center"/>
          </w:tcPr>
          <w:p w14:paraId="1B60CCD6" w14:textId="286A9CDF" w:rsidR="00790B1F" w:rsidRPr="00920BD0" w:rsidRDefault="00790B1F" w:rsidP="00920BD0">
            <w:pPr>
              <w:jc w:val="center"/>
              <w:rPr>
                <w:sz w:val="20"/>
                <w:szCs w:val="20"/>
                <w:lang w:val="es-ES"/>
              </w:rPr>
            </w:pPr>
            <w:r w:rsidRPr="00920BD0">
              <w:rPr>
                <w:sz w:val="20"/>
                <w:szCs w:val="20"/>
                <w:lang w:val="es-ES"/>
              </w:rPr>
              <w:t>Argentina</w:t>
            </w:r>
          </w:p>
        </w:tc>
        <w:tc>
          <w:tcPr>
            <w:tcW w:w="1676" w:type="dxa"/>
            <w:vAlign w:val="center"/>
          </w:tcPr>
          <w:p w14:paraId="6B9EE509" w14:textId="704880B6" w:rsidR="00790B1F" w:rsidRPr="00920BD0" w:rsidRDefault="00C2028A" w:rsidP="00920BD0">
            <w:pPr>
              <w:jc w:val="center"/>
              <w:rPr>
                <w:sz w:val="20"/>
                <w:szCs w:val="20"/>
                <w:lang w:val="es-ES"/>
              </w:rPr>
            </w:pPr>
            <w:r w:rsidRPr="00920BD0">
              <w:rPr>
                <w:sz w:val="20"/>
                <w:szCs w:val="20"/>
                <w:lang w:val="es-ES"/>
              </w:rPr>
              <w:t>Francia</w:t>
            </w:r>
          </w:p>
        </w:tc>
      </w:tr>
      <w:tr w:rsidR="00790B1F" w:rsidRPr="00920BD0" w14:paraId="2CF90721" w14:textId="77777777" w:rsidTr="00920BD0">
        <w:trPr>
          <w:gridAfter w:val="1"/>
          <w:wAfter w:w="15" w:type="dxa"/>
          <w:trHeight w:val="194"/>
          <w:jc w:val="center"/>
        </w:trPr>
        <w:tc>
          <w:tcPr>
            <w:tcW w:w="2238" w:type="dxa"/>
            <w:vAlign w:val="center"/>
          </w:tcPr>
          <w:p w14:paraId="3AA8D258" w14:textId="4FEAED54" w:rsidR="00790B1F" w:rsidRPr="00920BD0" w:rsidRDefault="00C2028A" w:rsidP="00920BD0">
            <w:pPr>
              <w:jc w:val="center"/>
              <w:rPr>
                <w:sz w:val="20"/>
                <w:szCs w:val="20"/>
                <w:lang w:val="es-ES"/>
              </w:rPr>
            </w:pPr>
            <w:r w:rsidRPr="00920BD0">
              <w:rPr>
                <w:sz w:val="20"/>
                <w:szCs w:val="20"/>
                <w:lang w:val="es-ES"/>
              </w:rPr>
              <w:t>Bélgica</w:t>
            </w:r>
          </w:p>
        </w:tc>
        <w:tc>
          <w:tcPr>
            <w:tcW w:w="1676" w:type="dxa"/>
            <w:vAlign w:val="center"/>
          </w:tcPr>
          <w:p w14:paraId="799A3BE7" w14:textId="287EAAAC" w:rsidR="00790B1F" w:rsidRPr="00920BD0" w:rsidRDefault="00790B1F" w:rsidP="00920BD0">
            <w:pPr>
              <w:jc w:val="center"/>
              <w:rPr>
                <w:sz w:val="20"/>
                <w:szCs w:val="20"/>
                <w:lang w:val="es-ES"/>
              </w:rPr>
            </w:pPr>
            <w:r w:rsidRPr="00920BD0">
              <w:rPr>
                <w:sz w:val="20"/>
                <w:szCs w:val="20"/>
                <w:lang w:val="es-ES"/>
              </w:rPr>
              <w:t>Indi</w:t>
            </w:r>
            <w:r w:rsidR="00C2028A" w:rsidRPr="00920BD0">
              <w:rPr>
                <w:sz w:val="20"/>
                <w:szCs w:val="20"/>
                <w:lang w:val="es-ES"/>
              </w:rPr>
              <w:t>a</w:t>
            </w:r>
          </w:p>
        </w:tc>
      </w:tr>
      <w:tr w:rsidR="00C2028A" w:rsidRPr="00920BD0" w14:paraId="25513986" w14:textId="77777777" w:rsidTr="00920BD0">
        <w:trPr>
          <w:gridAfter w:val="1"/>
          <w:wAfter w:w="15" w:type="dxa"/>
          <w:trHeight w:val="194"/>
          <w:jc w:val="center"/>
        </w:trPr>
        <w:tc>
          <w:tcPr>
            <w:tcW w:w="2238" w:type="dxa"/>
            <w:vAlign w:val="center"/>
          </w:tcPr>
          <w:p w14:paraId="560F6DF6" w14:textId="1899A9AE" w:rsidR="00C2028A" w:rsidRPr="00920BD0" w:rsidRDefault="00C2028A" w:rsidP="00920BD0">
            <w:pPr>
              <w:jc w:val="center"/>
              <w:rPr>
                <w:sz w:val="20"/>
                <w:szCs w:val="20"/>
                <w:lang w:val="es-ES"/>
              </w:rPr>
            </w:pPr>
            <w:r w:rsidRPr="00920BD0">
              <w:rPr>
                <w:sz w:val="20"/>
                <w:szCs w:val="20"/>
                <w:lang w:val="es-ES"/>
              </w:rPr>
              <w:t>Brasil</w:t>
            </w:r>
          </w:p>
        </w:tc>
        <w:tc>
          <w:tcPr>
            <w:tcW w:w="1676" w:type="dxa"/>
            <w:vAlign w:val="center"/>
          </w:tcPr>
          <w:p w14:paraId="28FA4C63" w14:textId="64F17F81" w:rsidR="00C2028A" w:rsidRPr="00920BD0" w:rsidRDefault="00C2028A" w:rsidP="00920BD0">
            <w:pPr>
              <w:jc w:val="center"/>
              <w:rPr>
                <w:sz w:val="20"/>
                <w:szCs w:val="20"/>
                <w:lang w:val="es-ES"/>
              </w:rPr>
            </w:pPr>
            <w:r w:rsidRPr="00920BD0">
              <w:rPr>
                <w:sz w:val="20"/>
                <w:szCs w:val="20"/>
                <w:lang w:val="es-ES"/>
              </w:rPr>
              <w:t>Japón</w:t>
            </w:r>
          </w:p>
        </w:tc>
      </w:tr>
      <w:tr w:rsidR="00C2028A" w:rsidRPr="00920BD0" w14:paraId="558D4FDD" w14:textId="77777777" w:rsidTr="00920BD0">
        <w:trPr>
          <w:gridAfter w:val="1"/>
          <w:wAfter w:w="15" w:type="dxa"/>
          <w:trHeight w:val="194"/>
          <w:jc w:val="center"/>
        </w:trPr>
        <w:tc>
          <w:tcPr>
            <w:tcW w:w="2238" w:type="dxa"/>
            <w:vAlign w:val="center"/>
          </w:tcPr>
          <w:p w14:paraId="409B6709" w14:textId="33FA705A" w:rsidR="00C2028A" w:rsidRPr="00920BD0" w:rsidRDefault="00C2028A" w:rsidP="00920BD0">
            <w:pPr>
              <w:jc w:val="center"/>
              <w:rPr>
                <w:sz w:val="20"/>
                <w:szCs w:val="20"/>
                <w:lang w:val="es-ES"/>
              </w:rPr>
            </w:pPr>
            <w:r w:rsidRPr="00920BD0">
              <w:rPr>
                <w:sz w:val="20"/>
                <w:szCs w:val="20"/>
                <w:lang w:val="es-ES"/>
              </w:rPr>
              <w:t>Estados Unidos</w:t>
            </w:r>
          </w:p>
        </w:tc>
        <w:tc>
          <w:tcPr>
            <w:tcW w:w="1676" w:type="dxa"/>
            <w:vAlign w:val="center"/>
          </w:tcPr>
          <w:p w14:paraId="24CC8815" w14:textId="33DCDD2F" w:rsidR="00C2028A" w:rsidRPr="00920BD0" w:rsidRDefault="00C2028A" w:rsidP="00920BD0">
            <w:pPr>
              <w:jc w:val="center"/>
              <w:rPr>
                <w:sz w:val="20"/>
                <w:szCs w:val="20"/>
                <w:lang w:val="es-ES"/>
              </w:rPr>
            </w:pPr>
            <w:r w:rsidRPr="00920BD0">
              <w:rPr>
                <w:sz w:val="20"/>
                <w:szCs w:val="20"/>
                <w:lang w:val="es-ES"/>
              </w:rPr>
              <w:t>Venezuela</w:t>
            </w:r>
          </w:p>
        </w:tc>
      </w:tr>
    </w:tbl>
    <w:p w14:paraId="6FF62891" w14:textId="77777777" w:rsidR="00790B1F" w:rsidRDefault="00790B1F" w:rsidP="00155715">
      <w:pPr>
        <w:jc w:val="both"/>
        <w:rPr>
          <w:lang w:val="es-ES"/>
        </w:rPr>
      </w:pPr>
    </w:p>
    <w:p w14:paraId="4699AC85" w14:textId="77777777" w:rsidR="00A8541F" w:rsidRPr="00CD503F" w:rsidRDefault="00A8541F" w:rsidP="00155715">
      <w:pPr>
        <w:jc w:val="both"/>
        <w:rPr>
          <w:lang w:val="es-ES"/>
        </w:rPr>
      </w:pPr>
    </w:p>
    <w:p w14:paraId="69DECB2B" w14:textId="5C558829" w:rsidR="00A82430" w:rsidRPr="00CD503F" w:rsidRDefault="00D268D8" w:rsidP="00155715">
      <w:pPr>
        <w:pStyle w:val="Heading3"/>
        <w:ind w:firstLine="360"/>
        <w:jc w:val="both"/>
        <w:rPr>
          <w:lang w:val="es-ES"/>
        </w:rPr>
      </w:pPr>
      <w:r>
        <w:rPr>
          <w:lang w:val="es-ES"/>
        </w:rPr>
        <w:t xml:space="preserve">Enfoque detallado de la </w:t>
      </w:r>
      <w:r w:rsidR="00A82430" w:rsidRPr="00CD503F">
        <w:rPr>
          <w:lang w:val="es-ES"/>
        </w:rPr>
        <w:t>IED</w:t>
      </w:r>
      <w:r>
        <w:rPr>
          <w:lang w:val="es-ES"/>
        </w:rPr>
        <w:t>: E</w:t>
      </w:r>
      <w:r w:rsidR="006831F5">
        <w:rPr>
          <w:lang w:val="es-ES"/>
        </w:rPr>
        <w:t>studio de eventos</w:t>
      </w:r>
      <w:r w:rsidR="00FC0C91">
        <w:rPr>
          <w:lang w:val="es-ES"/>
        </w:rPr>
        <w:t xml:space="preserve"> – análisis de tendencias</w:t>
      </w:r>
    </w:p>
    <w:p w14:paraId="15B73C33" w14:textId="77777777" w:rsidR="005969FB" w:rsidRPr="005513D8" w:rsidRDefault="005969FB" w:rsidP="00155715">
      <w:pPr>
        <w:jc w:val="both"/>
        <w:rPr>
          <w:b/>
          <w:bCs/>
          <w:lang w:val="es-ES"/>
        </w:rPr>
      </w:pPr>
    </w:p>
    <w:p w14:paraId="25DCDA90" w14:textId="0AA300F0" w:rsidR="00D86369" w:rsidRPr="00CD503F" w:rsidRDefault="00B45A0E" w:rsidP="00155715">
      <w:pPr>
        <w:jc w:val="both"/>
        <w:rPr>
          <w:lang w:val="es-ES"/>
        </w:rPr>
      </w:pPr>
      <w:r w:rsidRPr="00CD503F">
        <w:rPr>
          <w:lang w:val="es-ES"/>
        </w:rPr>
        <w:t xml:space="preserve">En </w:t>
      </w:r>
      <w:r w:rsidR="00FF3617">
        <w:rPr>
          <w:lang w:val="es-ES"/>
        </w:rPr>
        <w:t>el análisis</w:t>
      </w:r>
      <w:r w:rsidRPr="00CD503F">
        <w:rPr>
          <w:lang w:val="es-ES"/>
        </w:rPr>
        <w:t xml:space="preserve"> pr</w:t>
      </w:r>
      <w:r w:rsidR="00CD284F">
        <w:rPr>
          <w:lang w:val="es-ES"/>
        </w:rPr>
        <w:t>eliminar del</w:t>
      </w:r>
      <w:r w:rsidRPr="00CD503F">
        <w:rPr>
          <w:lang w:val="es-ES"/>
        </w:rPr>
        <w:t xml:space="preserve"> histórico de flujos de IED</w:t>
      </w:r>
      <w:r w:rsidR="008B0756">
        <w:rPr>
          <w:lang w:val="es-ES"/>
        </w:rPr>
        <w:t xml:space="preserve"> </w:t>
      </w:r>
      <w:r w:rsidRPr="00CD503F">
        <w:rPr>
          <w:lang w:val="es-ES"/>
        </w:rPr>
        <w:t xml:space="preserve">y su </w:t>
      </w:r>
      <w:r w:rsidR="008B0756">
        <w:rPr>
          <w:lang w:val="es-ES"/>
        </w:rPr>
        <w:t>relación</w:t>
      </w:r>
      <w:r w:rsidRPr="00CD503F">
        <w:rPr>
          <w:lang w:val="es-ES"/>
        </w:rPr>
        <w:t xml:space="preserve"> con la </w:t>
      </w:r>
      <w:proofErr w:type="gramStart"/>
      <w:r w:rsidRPr="00CD503F">
        <w:rPr>
          <w:lang w:val="es-ES"/>
        </w:rPr>
        <w:t>entrada en vigencia</w:t>
      </w:r>
      <w:proofErr w:type="gramEnd"/>
      <w:r w:rsidRPr="00CD503F">
        <w:rPr>
          <w:lang w:val="es-ES"/>
        </w:rPr>
        <w:t xml:space="preserve"> de los </w:t>
      </w:r>
      <w:proofErr w:type="spellStart"/>
      <w:r w:rsidRPr="00CD503F">
        <w:rPr>
          <w:lang w:val="es-ES"/>
        </w:rPr>
        <w:t>ADTs</w:t>
      </w:r>
      <w:proofErr w:type="spellEnd"/>
      <w:r w:rsidRPr="00CD503F">
        <w:rPr>
          <w:lang w:val="es-ES"/>
        </w:rPr>
        <w:t xml:space="preserve">, </w:t>
      </w:r>
      <w:r w:rsidR="00CD5845" w:rsidRPr="00CD503F">
        <w:rPr>
          <w:lang w:val="es-ES"/>
        </w:rPr>
        <w:t xml:space="preserve">no </w:t>
      </w:r>
      <w:r w:rsidRPr="00CD503F">
        <w:rPr>
          <w:lang w:val="es-ES"/>
        </w:rPr>
        <w:t xml:space="preserve">se </w:t>
      </w:r>
      <w:r w:rsidR="00546BDF">
        <w:rPr>
          <w:lang w:val="es-ES"/>
        </w:rPr>
        <w:t>evidenció</w:t>
      </w:r>
      <w:r w:rsidR="00CD5845" w:rsidRPr="00CD503F">
        <w:rPr>
          <w:lang w:val="es-ES"/>
        </w:rPr>
        <w:t xml:space="preserve"> una tendencia clara</w:t>
      </w:r>
      <w:r w:rsidR="00D86369" w:rsidRPr="00CD503F">
        <w:rPr>
          <w:lang w:val="es-ES"/>
        </w:rPr>
        <w:t xml:space="preserve"> en el comportamiento de los flujos </w:t>
      </w:r>
      <w:r w:rsidR="00546BDF">
        <w:rPr>
          <w:lang w:val="es-ES"/>
        </w:rPr>
        <w:t>posterior a la</w:t>
      </w:r>
      <w:r w:rsidR="00D86369" w:rsidRPr="00CD503F">
        <w:rPr>
          <w:lang w:val="es-ES"/>
        </w:rPr>
        <w:t xml:space="preserve"> fecha</w:t>
      </w:r>
      <w:r w:rsidR="00546BDF">
        <w:rPr>
          <w:lang w:val="es-ES"/>
        </w:rPr>
        <w:t xml:space="preserve"> de inicio de vigencia.</w:t>
      </w:r>
      <w:r w:rsidR="009128EC">
        <w:rPr>
          <w:lang w:val="es-ES"/>
        </w:rPr>
        <w:t xml:space="preserve"> La Gráfica 8 </w:t>
      </w:r>
      <w:r w:rsidR="00524010">
        <w:rPr>
          <w:lang w:val="es-ES"/>
        </w:rPr>
        <w:t>muestra</w:t>
      </w:r>
      <w:r w:rsidR="009128EC">
        <w:rPr>
          <w:lang w:val="es-ES"/>
        </w:rPr>
        <w:t xml:space="preserve"> los flujos </w:t>
      </w:r>
      <w:r w:rsidR="001E5EC2">
        <w:rPr>
          <w:lang w:val="es-ES"/>
        </w:rPr>
        <w:t xml:space="preserve">de IED con los países </w:t>
      </w:r>
      <w:r w:rsidR="00277048">
        <w:rPr>
          <w:lang w:val="es-ES"/>
        </w:rPr>
        <w:t xml:space="preserve">que tienen </w:t>
      </w:r>
      <w:r w:rsidR="004064E9">
        <w:rPr>
          <w:lang w:val="es-ES"/>
        </w:rPr>
        <w:t xml:space="preserve">un acuerdo vigente y la línea punteada indica la fecha de </w:t>
      </w:r>
      <w:proofErr w:type="gramStart"/>
      <w:r w:rsidR="00FB33BE">
        <w:rPr>
          <w:lang w:val="es-ES"/>
        </w:rPr>
        <w:t>entrada en vigencia</w:t>
      </w:r>
      <w:proofErr w:type="gramEnd"/>
      <w:r w:rsidR="00FB33BE">
        <w:rPr>
          <w:lang w:val="es-ES"/>
        </w:rPr>
        <w:t>.</w:t>
      </w:r>
    </w:p>
    <w:p w14:paraId="080180B7" w14:textId="77777777" w:rsidR="005D0D52" w:rsidRDefault="005D0D52" w:rsidP="00155715">
      <w:pPr>
        <w:jc w:val="both"/>
        <w:rPr>
          <w:lang w:val="es-ES"/>
        </w:rPr>
      </w:pPr>
    </w:p>
    <w:p w14:paraId="0C49DAC6" w14:textId="77777777" w:rsidR="00C0463B" w:rsidRDefault="005D0D52" w:rsidP="00155715">
      <w:pPr>
        <w:jc w:val="both"/>
        <w:rPr>
          <w:lang w:val="es-ES"/>
        </w:rPr>
      </w:pPr>
      <w:r>
        <w:rPr>
          <w:lang w:val="es-ES"/>
        </w:rPr>
        <w:t>Específicamente,</w:t>
      </w:r>
      <w:r w:rsidR="00B45A0E" w:rsidRPr="00CD503F">
        <w:rPr>
          <w:lang w:val="es-ES"/>
        </w:rPr>
        <w:t xml:space="preserve"> países como Canadá, Chile, </w:t>
      </w:r>
      <w:r w:rsidR="00DF4BFD" w:rsidRPr="00CD503F">
        <w:rPr>
          <w:lang w:val="es-ES"/>
        </w:rPr>
        <w:t>Corea del Sur, España</w:t>
      </w:r>
      <w:r w:rsidR="008803F4" w:rsidRPr="00CD503F">
        <w:rPr>
          <w:lang w:val="es-ES"/>
        </w:rPr>
        <w:t>, India, Portugal y Suiza</w:t>
      </w:r>
      <w:r w:rsidR="00A435E3" w:rsidRPr="00CD503F">
        <w:rPr>
          <w:lang w:val="es-ES"/>
        </w:rPr>
        <w:t xml:space="preserve"> </w:t>
      </w:r>
      <w:r w:rsidR="00B45A0E" w:rsidRPr="00CD503F">
        <w:rPr>
          <w:lang w:val="es-ES"/>
        </w:rPr>
        <w:t xml:space="preserve">parecen </w:t>
      </w:r>
      <w:r w:rsidR="00F94BE2" w:rsidRPr="00CD503F">
        <w:rPr>
          <w:lang w:val="es-ES"/>
        </w:rPr>
        <w:t xml:space="preserve">verse afectados positivamente por la firma de los acuerdos, </w:t>
      </w:r>
      <w:r w:rsidR="00DD3315">
        <w:rPr>
          <w:lang w:val="es-ES"/>
        </w:rPr>
        <w:t xml:space="preserve">ya que se observan </w:t>
      </w:r>
      <w:r w:rsidR="00C93378" w:rsidRPr="00CD503F">
        <w:rPr>
          <w:lang w:val="es-ES"/>
        </w:rPr>
        <w:t xml:space="preserve">incrementos </w:t>
      </w:r>
      <w:r w:rsidR="00FB33BE">
        <w:rPr>
          <w:lang w:val="es-ES"/>
        </w:rPr>
        <w:t>en los flujos</w:t>
      </w:r>
      <w:r w:rsidR="007F6B09">
        <w:rPr>
          <w:lang w:val="es-ES"/>
        </w:rPr>
        <w:t xml:space="preserve"> después</w:t>
      </w:r>
      <w:r w:rsidR="00FB33BE">
        <w:rPr>
          <w:lang w:val="es-ES"/>
        </w:rPr>
        <w:t xml:space="preserve"> </w:t>
      </w:r>
      <w:r w:rsidR="007F6B09">
        <w:rPr>
          <w:lang w:val="es-ES"/>
        </w:rPr>
        <w:t>del</w:t>
      </w:r>
      <w:r w:rsidR="00FB33BE">
        <w:rPr>
          <w:lang w:val="es-ES"/>
        </w:rPr>
        <w:t xml:space="preserve"> inicio de la vigencia del acuerdo</w:t>
      </w:r>
      <w:r w:rsidR="00717F49" w:rsidRPr="00CD503F">
        <w:rPr>
          <w:lang w:val="es-ES"/>
        </w:rPr>
        <w:t xml:space="preserve">. </w:t>
      </w:r>
    </w:p>
    <w:p w14:paraId="57DD3183" w14:textId="7D48FA40" w:rsidR="00D86369" w:rsidRPr="00CD503F" w:rsidRDefault="00E6140B" w:rsidP="00155715">
      <w:pPr>
        <w:jc w:val="both"/>
        <w:rPr>
          <w:lang w:val="es-ES"/>
        </w:rPr>
      </w:pPr>
      <w:r w:rsidRPr="00CD503F">
        <w:rPr>
          <w:lang w:val="es-ES"/>
        </w:rPr>
        <w:lastRenderedPageBreak/>
        <w:t xml:space="preserve">Sin embargo, </w:t>
      </w:r>
      <w:r w:rsidR="007F6B09">
        <w:rPr>
          <w:lang w:val="es-ES"/>
        </w:rPr>
        <w:t xml:space="preserve">en el caso de </w:t>
      </w:r>
      <w:r w:rsidRPr="00CD503F">
        <w:rPr>
          <w:lang w:val="es-ES"/>
        </w:rPr>
        <w:t>Francia, Inglaterra, Italia, Japón y México</w:t>
      </w:r>
      <w:r w:rsidR="00B45A0E" w:rsidRPr="00CD503F">
        <w:rPr>
          <w:lang w:val="es-ES"/>
        </w:rPr>
        <w:t xml:space="preserve">, los flujos </w:t>
      </w:r>
      <w:r w:rsidR="008B6196" w:rsidRPr="00CD503F">
        <w:rPr>
          <w:lang w:val="es-ES"/>
        </w:rPr>
        <w:t>parece</w:t>
      </w:r>
      <w:r w:rsidR="001E6E58">
        <w:rPr>
          <w:lang w:val="es-ES"/>
        </w:rPr>
        <w:t>n</w:t>
      </w:r>
      <w:r w:rsidR="008B6196" w:rsidRPr="00CD503F">
        <w:rPr>
          <w:lang w:val="es-ES"/>
        </w:rPr>
        <w:t xml:space="preserve"> mantener su tendencia histórica</w:t>
      </w:r>
      <w:r w:rsidR="001E6E58">
        <w:rPr>
          <w:lang w:val="es-ES"/>
        </w:rPr>
        <w:t xml:space="preserve">. Es importante tener en cuenta que, </w:t>
      </w:r>
      <w:r w:rsidR="007B5B13">
        <w:rPr>
          <w:lang w:val="es-ES"/>
        </w:rPr>
        <w:t>except</w:t>
      </w:r>
      <w:r w:rsidR="001E6E58">
        <w:rPr>
          <w:lang w:val="es-ES"/>
        </w:rPr>
        <w:t>o</w:t>
      </w:r>
      <w:r w:rsidR="007B5B13">
        <w:rPr>
          <w:lang w:val="es-ES"/>
        </w:rPr>
        <w:t xml:space="preserve"> México, </w:t>
      </w:r>
      <w:r w:rsidR="001E6E58">
        <w:rPr>
          <w:lang w:val="es-ES"/>
        </w:rPr>
        <w:t xml:space="preserve">estos países </w:t>
      </w:r>
      <w:r w:rsidR="00C25695">
        <w:rPr>
          <w:lang w:val="es-ES"/>
        </w:rPr>
        <w:t>llevan menos t</w:t>
      </w:r>
      <w:r w:rsidR="007B5B13">
        <w:rPr>
          <w:lang w:val="es-ES"/>
        </w:rPr>
        <w:t xml:space="preserve">iempo con el acuerdo vigente, </w:t>
      </w:r>
      <w:r w:rsidR="0053365C">
        <w:rPr>
          <w:lang w:val="es-ES"/>
        </w:rPr>
        <w:t xml:space="preserve">lo que sugiere que el impacto de los acuerdos </w:t>
      </w:r>
      <w:r w:rsidR="00C0463B">
        <w:rPr>
          <w:lang w:val="es-ES"/>
        </w:rPr>
        <w:t xml:space="preserve">podría no ser evaluado adecuadamente debido a su corta duración. </w:t>
      </w:r>
    </w:p>
    <w:p w14:paraId="533B4F55" w14:textId="77777777" w:rsidR="00921802" w:rsidRPr="00CD503F" w:rsidRDefault="00921802" w:rsidP="00155715">
      <w:pPr>
        <w:jc w:val="both"/>
        <w:rPr>
          <w:lang w:val="es-ES"/>
        </w:rPr>
      </w:pPr>
    </w:p>
    <w:p w14:paraId="162902BD" w14:textId="77777777" w:rsidR="006A784B" w:rsidRDefault="00B45A0E" w:rsidP="006A784B">
      <w:pPr>
        <w:keepNext/>
        <w:jc w:val="both"/>
      </w:pPr>
      <w:r w:rsidRPr="005513D8">
        <w:rPr>
          <w:noProof/>
        </w:rPr>
        <w:drawing>
          <wp:inline distT="0" distB="0" distL="0" distR="0" wp14:anchorId="3FE2730F" wp14:editId="10AF739B">
            <wp:extent cx="5476875" cy="24149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4878" r="8146"/>
                    <a:stretch/>
                  </pic:blipFill>
                  <pic:spPr bwMode="auto">
                    <a:xfrm>
                      <a:off x="0" y="0"/>
                      <a:ext cx="5497984" cy="2424213"/>
                    </a:xfrm>
                    <a:prstGeom prst="rect">
                      <a:avLst/>
                    </a:prstGeom>
                    <a:ln>
                      <a:noFill/>
                    </a:ln>
                    <a:extLst>
                      <a:ext uri="{53640926-AAD7-44D8-BBD7-CCE9431645EC}">
                        <a14:shadowObscured xmlns:a14="http://schemas.microsoft.com/office/drawing/2010/main"/>
                      </a:ext>
                    </a:extLst>
                  </pic:spPr>
                </pic:pic>
              </a:graphicData>
            </a:graphic>
          </wp:inline>
        </w:drawing>
      </w:r>
    </w:p>
    <w:p w14:paraId="2C33D59F" w14:textId="4CDBC886" w:rsidR="00B45A0E" w:rsidRPr="006A784B" w:rsidRDefault="006A784B" w:rsidP="006A784B">
      <w:pPr>
        <w:pStyle w:val="Caption"/>
        <w:jc w:val="center"/>
        <w:rPr>
          <w:rFonts w:ascii="Garamond" w:hAnsi="Garamond"/>
          <w:color w:val="262626" w:themeColor="text1" w:themeTint="D9"/>
          <w:sz w:val="22"/>
          <w:szCs w:val="22"/>
          <w:lang w:val="es-ES"/>
        </w:rPr>
      </w:pPr>
      <w:r w:rsidRPr="006A784B">
        <w:rPr>
          <w:rFonts w:ascii="Garamond" w:hAnsi="Garamond"/>
          <w:color w:val="262626" w:themeColor="text1" w:themeTint="D9"/>
          <w:sz w:val="22"/>
          <w:szCs w:val="22"/>
          <w:lang w:val="es-ES"/>
        </w:rPr>
        <w:t xml:space="preserve">Gráfica </w:t>
      </w:r>
      <w:r w:rsidRPr="006A784B">
        <w:rPr>
          <w:rFonts w:ascii="Garamond" w:hAnsi="Garamond"/>
          <w:color w:val="262626" w:themeColor="text1" w:themeTint="D9"/>
          <w:sz w:val="22"/>
          <w:szCs w:val="22"/>
          <w:lang w:val="es-ES"/>
        </w:rPr>
        <w:fldChar w:fldCharType="begin"/>
      </w:r>
      <w:r w:rsidRPr="006A784B">
        <w:rPr>
          <w:rFonts w:ascii="Garamond" w:hAnsi="Garamond"/>
          <w:color w:val="262626" w:themeColor="text1" w:themeTint="D9"/>
          <w:sz w:val="22"/>
          <w:szCs w:val="22"/>
          <w:lang w:val="es-ES"/>
        </w:rPr>
        <w:instrText xml:space="preserve"> SEQ Gráfica \* ARABIC </w:instrText>
      </w:r>
      <w:r w:rsidRPr="006A784B">
        <w:rPr>
          <w:rFonts w:ascii="Garamond" w:hAnsi="Garamond"/>
          <w:color w:val="262626" w:themeColor="text1" w:themeTint="D9"/>
          <w:sz w:val="22"/>
          <w:szCs w:val="22"/>
          <w:lang w:val="es-ES"/>
        </w:rPr>
        <w:fldChar w:fldCharType="separate"/>
      </w:r>
      <w:r w:rsidR="00470EC2">
        <w:rPr>
          <w:rFonts w:ascii="Garamond" w:hAnsi="Garamond"/>
          <w:noProof/>
          <w:color w:val="262626" w:themeColor="text1" w:themeTint="D9"/>
          <w:sz w:val="22"/>
          <w:szCs w:val="22"/>
          <w:lang w:val="es-ES"/>
        </w:rPr>
        <w:t>8</w:t>
      </w:r>
      <w:r w:rsidRPr="006A784B">
        <w:rPr>
          <w:rFonts w:ascii="Garamond" w:hAnsi="Garamond"/>
          <w:color w:val="262626" w:themeColor="text1" w:themeTint="D9"/>
          <w:sz w:val="22"/>
          <w:szCs w:val="22"/>
          <w:lang w:val="es-ES"/>
        </w:rPr>
        <w:fldChar w:fldCharType="end"/>
      </w:r>
      <w:r w:rsidRPr="006A784B">
        <w:rPr>
          <w:rFonts w:ascii="Garamond" w:hAnsi="Garamond"/>
          <w:color w:val="262626" w:themeColor="text1" w:themeTint="D9"/>
          <w:sz w:val="22"/>
          <w:szCs w:val="22"/>
          <w:lang w:val="es-ES"/>
        </w:rPr>
        <w:t>. Flujos de IED por país hacia Colombia en el período 2007 - 2022</w:t>
      </w:r>
    </w:p>
    <w:p w14:paraId="2A35D1BA" w14:textId="77777777" w:rsidR="00B45A0E" w:rsidRPr="00CD503F" w:rsidRDefault="00B45A0E" w:rsidP="00155715">
      <w:pPr>
        <w:jc w:val="both"/>
        <w:rPr>
          <w:lang w:val="es-ES"/>
        </w:rPr>
      </w:pPr>
    </w:p>
    <w:p w14:paraId="6DBB8D4E" w14:textId="651DB111" w:rsidR="00B45A0E" w:rsidRPr="00CD503F" w:rsidRDefault="00B45A0E" w:rsidP="00155715">
      <w:pPr>
        <w:jc w:val="both"/>
        <w:rPr>
          <w:lang w:val="es-ES"/>
        </w:rPr>
      </w:pPr>
      <w:r w:rsidRPr="00CD503F">
        <w:rPr>
          <w:lang w:val="es-ES"/>
        </w:rPr>
        <w:t>Para identificar</w:t>
      </w:r>
      <w:r w:rsidR="00E35E7F" w:rsidRPr="00CD503F">
        <w:rPr>
          <w:lang w:val="es-ES"/>
        </w:rPr>
        <w:t xml:space="preserve"> </w:t>
      </w:r>
      <w:r w:rsidR="00703F1C">
        <w:rPr>
          <w:lang w:val="es-ES"/>
        </w:rPr>
        <w:t xml:space="preserve">gráficamente </w:t>
      </w:r>
      <w:r w:rsidRPr="00CD503F">
        <w:rPr>
          <w:lang w:val="es-ES"/>
        </w:rPr>
        <w:t>de una manera más clara</w:t>
      </w:r>
      <w:r w:rsidR="00703F1C">
        <w:rPr>
          <w:lang w:val="es-ES"/>
        </w:rPr>
        <w:t>,</w:t>
      </w:r>
      <w:r w:rsidRPr="00CD503F">
        <w:rPr>
          <w:lang w:val="es-ES"/>
        </w:rPr>
        <w:t xml:space="preserve"> si los acuerdos de doble tributación afectan los flujos de IED que entran a Colombia, se realiz</w:t>
      </w:r>
      <w:r w:rsidR="00703F1C">
        <w:rPr>
          <w:lang w:val="es-ES"/>
        </w:rPr>
        <w:t>ó</w:t>
      </w:r>
      <w:r w:rsidRPr="00CD503F">
        <w:rPr>
          <w:lang w:val="es-ES"/>
        </w:rPr>
        <w:t xml:space="preserve"> una normalización de los flujos de IED</w:t>
      </w:r>
      <w:r w:rsidR="00234BFB">
        <w:rPr>
          <w:lang w:val="es-ES"/>
        </w:rPr>
        <w:t xml:space="preserve"> de la siguiente manera:</w:t>
      </w:r>
    </w:p>
    <w:p w14:paraId="69998DE4" w14:textId="77777777" w:rsidR="006F06F2" w:rsidRPr="00CD503F" w:rsidRDefault="006F06F2" w:rsidP="00155715">
      <w:pPr>
        <w:jc w:val="both"/>
        <w:rPr>
          <w:lang w:val="es-ES"/>
        </w:rPr>
      </w:pPr>
    </w:p>
    <w:p w14:paraId="61994BA3" w14:textId="260CEDD7" w:rsidR="00A847F3" w:rsidRPr="00CD503F" w:rsidRDefault="00B45A0E" w:rsidP="00155715">
      <w:pPr>
        <w:pStyle w:val="ListParagraph"/>
        <w:numPr>
          <w:ilvl w:val="0"/>
          <w:numId w:val="25"/>
        </w:numPr>
        <w:jc w:val="both"/>
        <w:rPr>
          <w:szCs w:val="24"/>
          <w:lang w:val="es-ES"/>
        </w:rPr>
      </w:pPr>
      <w:r w:rsidRPr="00CD503F">
        <w:rPr>
          <w:szCs w:val="24"/>
          <w:lang w:val="es-ES"/>
        </w:rPr>
        <w:t xml:space="preserve">Relación con la </w:t>
      </w:r>
      <w:proofErr w:type="gramStart"/>
      <w:r w:rsidRPr="00CD503F">
        <w:rPr>
          <w:szCs w:val="24"/>
          <w:lang w:val="es-ES"/>
        </w:rPr>
        <w:t>entrada en vigencia</w:t>
      </w:r>
      <w:proofErr w:type="gramEnd"/>
      <w:r w:rsidRPr="00CD503F">
        <w:rPr>
          <w:szCs w:val="24"/>
          <w:lang w:val="es-ES"/>
        </w:rPr>
        <w:t xml:space="preserve"> del acuerdo:</w:t>
      </w:r>
    </w:p>
    <w:p w14:paraId="66723766" w14:textId="77777777" w:rsidR="00CA1765" w:rsidRPr="00CD503F" w:rsidRDefault="00CA1765" w:rsidP="00155715">
      <w:pPr>
        <w:pStyle w:val="ListParagraph"/>
        <w:jc w:val="both"/>
        <w:rPr>
          <w:szCs w:val="24"/>
          <w:lang w:val="es-ES"/>
        </w:rPr>
      </w:pPr>
    </w:p>
    <w:p w14:paraId="3D5EFF49" w14:textId="77777777" w:rsidR="00A847F3" w:rsidRPr="00CD503F" w:rsidRDefault="00B45A0E" w:rsidP="00155715">
      <w:pPr>
        <w:pStyle w:val="ListParagraph"/>
        <w:numPr>
          <w:ilvl w:val="1"/>
          <w:numId w:val="25"/>
        </w:numPr>
        <w:jc w:val="both"/>
        <w:rPr>
          <w:szCs w:val="24"/>
          <w:lang w:val="es-ES"/>
        </w:rPr>
      </w:pPr>
      <w:r w:rsidRPr="00CD503F">
        <w:rPr>
          <w:szCs w:val="24"/>
          <w:lang w:val="es-ES"/>
        </w:rPr>
        <w:t xml:space="preserve">Teniendo en cuenta que la información para cada país es trimestral, se procede a identificar el trimestre más cercano a la </w:t>
      </w:r>
      <w:proofErr w:type="gramStart"/>
      <w:r w:rsidRPr="00CD503F">
        <w:rPr>
          <w:szCs w:val="24"/>
          <w:lang w:val="es-ES"/>
        </w:rPr>
        <w:t>entrada en vigencia</w:t>
      </w:r>
      <w:proofErr w:type="gramEnd"/>
      <w:r w:rsidRPr="00CD503F">
        <w:rPr>
          <w:szCs w:val="24"/>
          <w:lang w:val="es-ES"/>
        </w:rPr>
        <w:t xml:space="preserve"> del acuerdo de doble tributación con Colombia.</w:t>
      </w:r>
    </w:p>
    <w:p w14:paraId="1409B7FA" w14:textId="513063FE" w:rsidR="00A847F3" w:rsidRPr="00CD503F" w:rsidRDefault="00B45A0E" w:rsidP="00155715">
      <w:pPr>
        <w:pStyle w:val="ListParagraph"/>
        <w:numPr>
          <w:ilvl w:val="1"/>
          <w:numId w:val="25"/>
        </w:numPr>
        <w:jc w:val="both"/>
        <w:rPr>
          <w:szCs w:val="24"/>
          <w:lang w:val="es-ES"/>
        </w:rPr>
      </w:pPr>
      <w:r w:rsidRPr="00CD503F">
        <w:rPr>
          <w:szCs w:val="24"/>
          <w:lang w:val="es-ES"/>
        </w:rPr>
        <w:t xml:space="preserve">Se toman los flujos que entraron de cada país para </w:t>
      </w:r>
      <w:r w:rsidR="0001321D">
        <w:rPr>
          <w:szCs w:val="24"/>
          <w:lang w:val="es-ES"/>
        </w:rPr>
        <w:t>el trimestre</w:t>
      </w:r>
      <w:r w:rsidRPr="00CD503F">
        <w:rPr>
          <w:szCs w:val="24"/>
          <w:lang w:val="es-ES"/>
        </w:rPr>
        <w:t xml:space="preserve"> identificad</w:t>
      </w:r>
      <w:r w:rsidR="0001321D">
        <w:rPr>
          <w:szCs w:val="24"/>
          <w:lang w:val="es-ES"/>
        </w:rPr>
        <w:t>o</w:t>
      </w:r>
      <w:r w:rsidRPr="00CD503F">
        <w:rPr>
          <w:szCs w:val="24"/>
          <w:lang w:val="es-ES"/>
        </w:rPr>
        <w:t xml:space="preserve"> en el paso anterior.</w:t>
      </w:r>
    </w:p>
    <w:p w14:paraId="51E7FED9" w14:textId="1C416699" w:rsidR="00B45A0E" w:rsidRPr="00CD503F" w:rsidRDefault="00B45A0E" w:rsidP="00155715">
      <w:pPr>
        <w:pStyle w:val="ListParagraph"/>
        <w:numPr>
          <w:ilvl w:val="1"/>
          <w:numId w:val="25"/>
        </w:numPr>
        <w:jc w:val="both"/>
        <w:rPr>
          <w:szCs w:val="24"/>
          <w:lang w:val="es-ES"/>
        </w:rPr>
      </w:pPr>
      <w:r w:rsidRPr="00CD503F">
        <w:rPr>
          <w:szCs w:val="24"/>
          <w:lang w:val="es-ES"/>
        </w:rPr>
        <w:t>Se divide este valor respecto a todos los flujos de IED del país en cuestión:</w:t>
      </w:r>
    </w:p>
    <w:p w14:paraId="4C28A27F" w14:textId="77777777" w:rsidR="00B45A0E" w:rsidRPr="005513D8" w:rsidRDefault="00B45A0E" w:rsidP="00155715">
      <w:pPr>
        <w:jc w:val="both"/>
        <w:rPr>
          <w:rFonts w:eastAsiaTheme="minorEastAsia"/>
        </w:rPr>
      </w:pPr>
      <m:oMathPara>
        <m:oMath>
          <m:r>
            <w:rPr>
              <w:rFonts w:ascii="Cambria Math" w:hAnsi="Cambria Math"/>
            </w:rPr>
            <m:t>Parámetr</m:t>
          </m:r>
          <m:sSub>
            <m:sSubPr>
              <m:ctrlPr>
                <w:rPr>
                  <w:rFonts w:ascii="Cambria Math" w:hAnsi="Cambria Math"/>
                  <w:i/>
                </w:rPr>
              </m:ctrlPr>
            </m:sSubPr>
            <m:e>
              <m:r>
                <w:rPr>
                  <w:rFonts w:ascii="Cambria Math" w:hAnsi="Cambria Math"/>
                </w:rPr>
                <m:t>o1</m:t>
              </m:r>
            </m:e>
            <m:sub>
              <m:r>
                <w:rPr>
                  <w:rFonts w:ascii="Cambria Math" w:hAnsi="Cambria Math"/>
                </w:rPr>
                <m:t>it</m:t>
              </m:r>
            </m:sub>
          </m:sSub>
          <m:r>
            <w:rPr>
              <w:rFonts w:ascii="Cambria Math" w:hAnsi="Cambria Math"/>
            </w:rPr>
            <m:t>=</m:t>
          </m:r>
          <m:f>
            <m:fPr>
              <m:ctrlPr>
                <w:rPr>
                  <w:rFonts w:ascii="Cambria Math" w:hAnsi="Cambria Math"/>
                  <w:i/>
                </w:rPr>
              </m:ctrlPr>
            </m:fPr>
            <m:num>
              <m:r>
                <w:rPr>
                  <w:rFonts w:ascii="Cambria Math" w:hAnsi="Cambria Math"/>
                </w:rPr>
                <m:t>IE</m:t>
              </m:r>
              <m:sSub>
                <m:sSubPr>
                  <m:ctrlPr>
                    <w:rPr>
                      <w:rFonts w:ascii="Cambria Math" w:hAnsi="Cambria Math"/>
                      <w:i/>
                    </w:rPr>
                  </m:ctrlPr>
                </m:sSubPr>
                <m:e>
                  <m:r>
                    <w:rPr>
                      <w:rFonts w:ascii="Cambria Math" w:hAnsi="Cambria Math"/>
                    </w:rPr>
                    <m:t>D</m:t>
                  </m:r>
                </m:e>
                <m:sub>
                  <m:r>
                    <w:rPr>
                      <w:rFonts w:ascii="Cambria Math" w:hAnsi="Cambria Math"/>
                    </w:rPr>
                    <m:t>it</m:t>
                  </m:r>
                </m:sub>
              </m:sSub>
              <m:ctrlPr>
                <w:rPr>
                  <w:rFonts w:ascii="Cambria Math" w:eastAsiaTheme="minorEastAsia" w:hAnsi="Cambria Math"/>
                  <w:i/>
                </w:rPr>
              </m:ctrlPr>
            </m:num>
            <m:den>
              <m:r>
                <w:rPr>
                  <w:rFonts w:ascii="Cambria Math" w:eastAsiaTheme="minorEastAsia" w:hAnsi="Cambria Math"/>
                </w:rPr>
                <m:t>IE</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ib</m:t>
                  </m:r>
                </m:sub>
              </m:sSub>
            </m:den>
          </m:f>
        </m:oMath>
      </m:oMathPara>
    </w:p>
    <w:p w14:paraId="4CE5D5A6" w14:textId="77777777" w:rsidR="00A847F3" w:rsidRPr="005513D8" w:rsidRDefault="00A847F3" w:rsidP="00AA3B4D">
      <w:pPr>
        <w:jc w:val="both"/>
        <w:rPr>
          <w:rFonts w:eastAsiaTheme="minorEastAsia"/>
        </w:rPr>
      </w:pPr>
    </w:p>
    <w:p w14:paraId="4DEECFE8" w14:textId="7965AE8A" w:rsidR="00B45A0E" w:rsidRPr="005513D8" w:rsidRDefault="00B45A0E" w:rsidP="00155715">
      <w:pPr>
        <w:ind w:firstLine="708"/>
        <w:jc w:val="both"/>
        <w:rPr>
          <w:rFonts w:eastAsiaTheme="minorEastAsia"/>
        </w:rPr>
      </w:pPr>
      <w:r w:rsidRPr="005513D8">
        <w:rPr>
          <w:rFonts w:eastAsiaTheme="minorEastAsia"/>
        </w:rPr>
        <w:t>Donde:</w:t>
      </w:r>
    </w:p>
    <w:p w14:paraId="5DAAD517" w14:textId="64E947E2" w:rsidR="00B45A0E" w:rsidRPr="00090210" w:rsidRDefault="00B45A0E" w:rsidP="00155715">
      <w:pPr>
        <w:pStyle w:val="ListParagraph"/>
        <w:numPr>
          <w:ilvl w:val="0"/>
          <w:numId w:val="23"/>
        </w:numPr>
        <w:jc w:val="both"/>
        <w:rPr>
          <w:rFonts w:eastAsiaTheme="minorEastAsia"/>
          <w:szCs w:val="24"/>
          <w:lang w:val="es-ES"/>
        </w:rPr>
      </w:pPr>
      <m:oMath>
        <m:r>
          <w:rPr>
            <w:rFonts w:ascii="Cambria Math" w:hAnsi="Cambria Math"/>
            <w:szCs w:val="24"/>
          </w:rPr>
          <m:t>IE</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ib</m:t>
            </m:r>
          </m:sub>
        </m:sSub>
      </m:oMath>
      <w:r w:rsidRPr="00090210">
        <w:rPr>
          <w:rFonts w:eastAsiaTheme="minorEastAsia"/>
          <w:szCs w:val="24"/>
          <w:lang w:val="es-ES"/>
        </w:rPr>
        <w:t xml:space="preserve"> es la inversión extranjera directa que entra a Colombia del país i en el periodo más cercano a la </w:t>
      </w:r>
      <w:proofErr w:type="gramStart"/>
      <w:r w:rsidRPr="00090210">
        <w:rPr>
          <w:rFonts w:eastAsiaTheme="minorEastAsia"/>
          <w:szCs w:val="24"/>
          <w:lang w:val="es-ES"/>
        </w:rPr>
        <w:t>entrada en vigencia</w:t>
      </w:r>
      <w:proofErr w:type="gramEnd"/>
      <w:r w:rsidRPr="00090210">
        <w:rPr>
          <w:rFonts w:eastAsiaTheme="minorEastAsia"/>
          <w:szCs w:val="24"/>
          <w:lang w:val="es-ES"/>
        </w:rPr>
        <w:t xml:space="preserve"> del acuerdo.</w:t>
      </w:r>
    </w:p>
    <w:p w14:paraId="7DBDBD13" w14:textId="0F37F6BD" w:rsidR="00B45A0E" w:rsidRPr="00CD503F" w:rsidRDefault="00B45A0E" w:rsidP="00155715">
      <w:pPr>
        <w:pStyle w:val="ListParagraph"/>
        <w:numPr>
          <w:ilvl w:val="0"/>
          <w:numId w:val="23"/>
        </w:numPr>
        <w:jc w:val="both"/>
        <w:rPr>
          <w:rFonts w:eastAsiaTheme="minorEastAsia"/>
          <w:szCs w:val="24"/>
          <w:lang w:val="es-ES"/>
        </w:rPr>
      </w:pPr>
      <m:oMath>
        <m:r>
          <w:rPr>
            <w:rFonts w:ascii="Cambria Math" w:hAnsi="Cambria Math"/>
            <w:szCs w:val="24"/>
          </w:rPr>
          <m:t>IE</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it</m:t>
            </m:r>
          </m:sub>
        </m:sSub>
      </m:oMath>
      <w:r w:rsidRPr="00CD503F">
        <w:rPr>
          <w:rFonts w:eastAsiaTheme="minorEastAsia"/>
          <w:szCs w:val="24"/>
          <w:lang w:val="es-ES"/>
        </w:rPr>
        <w:t xml:space="preserve"> es la inversión extranjera directa que entra a Colombia del país i en el tiempo t.</w:t>
      </w:r>
    </w:p>
    <w:p w14:paraId="730B8D6B" w14:textId="77777777" w:rsidR="00B45A0E" w:rsidRDefault="00B45A0E" w:rsidP="00155715">
      <w:pPr>
        <w:jc w:val="both"/>
        <w:rPr>
          <w:lang w:val="es-ES"/>
        </w:rPr>
      </w:pPr>
    </w:p>
    <w:p w14:paraId="7D018D28" w14:textId="77777777" w:rsidR="00E87CEB" w:rsidRDefault="00E87CEB" w:rsidP="00155715">
      <w:pPr>
        <w:jc w:val="both"/>
        <w:rPr>
          <w:lang w:val="es-ES"/>
        </w:rPr>
      </w:pPr>
    </w:p>
    <w:p w14:paraId="3DC3FF1F" w14:textId="77777777" w:rsidR="00E87CEB" w:rsidRPr="00CD503F" w:rsidRDefault="00E87CEB" w:rsidP="00155715">
      <w:pPr>
        <w:jc w:val="both"/>
        <w:rPr>
          <w:lang w:val="es-ES"/>
        </w:rPr>
      </w:pPr>
    </w:p>
    <w:p w14:paraId="1D3D241B" w14:textId="274FCA87" w:rsidR="00B45A0E" w:rsidRPr="005513D8" w:rsidRDefault="00B45A0E" w:rsidP="00155715">
      <w:pPr>
        <w:pStyle w:val="ListParagraph"/>
        <w:numPr>
          <w:ilvl w:val="0"/>
          <w:numId w:val="25"/>
        </w:numPr>
        <w:jc w:val="both"/>
        <w:rPr>
          <w:szCs w:val="24"/>
        </w:rPr>
      </w:pPr>
      <w:r w:rsidRPr="005513D8">
        <w:rPr>
          <w:szCs w:val="24"/>
        </w:rPr>
        <w:lastRenderedPageBreak/>
        <w:t xml:space="preserve">Nivel de </w:t>
      </w:r>
      <w:proofErr w:type="spellStart"/>
      <w:r w:rsidRPr="005513D8">
        <w:rPr>
          <w:szCs w:val="24"/>
        </w:rPr>
        <w:t>los</w:t>
      </w:r>
      <w:proofErr w:type="spellEnd"/>
      <w:r w:rsidRPr="005513D8">
        <w:rPr>
          <w:szCs w:val="24"/>
        </w:rPr>
        <w:t xml:space="preserve"> </w:t>
      </w:r>
      <w:proofErr w:type="spellStart"/>
      <w:r w:rsidRPr="005513D8">
        <w:rPr>
          <w:szCs w:val="24"/>
        </w:rPr>
        <w:t>flujos</w:t>
      </w:r>
      <w:proofErr w:type="spellEnd"/>
    </w:p>
    <w:p w14:paraId="103C4FED" w14:textId="77777777" w:rsidR="00136D9A" w:rsidRPr="005513D8" w:rsidRDefault="00136D9A" w:rsidP="00155715">
      <w:pPr>
        <w:jc w:val="both"/>
      </w:pPr>
    </w:p>
    <w:p w14:paraId="4D9ED861" w14:textId="14F31453" w:rsidR="00B45A0E" w:rsidRPr="00CD503F" w:rsidRDefault="00B45A0E" w:rsidP="00155715">
      <w:pPr>
        <w:pStyle w:val="ListParagraph"/>
        <w:numPr>
          <w:ilvl w:val="1"/>
          <w:numId w:val="25"/>
        </w:numPr>
        <w:jc w:val="both"/>
        <w:rPr>
          <w:szCs w:val="24"/>
          <w:lang w:val="es-ES"/>
        </w:rPr>
      </w:pPr>
      <w:r w:rsidRPr="00CD503F">
        <w:rPr>
          <w:szCs w:val="24"/>
          <w:lang w:val="es-ES"/>
        </w:rPr>
        <w:t>Para poder observar los datos teniendo en cuenta su magnitud, se procede a realizar la suma de los flujos de IED que entran a Colombia en cada país desde el primer trimestre de 2007 hasta el último trimestre de 2022:</w:t>
      </w:r>
    </w:p>
    <w:p w14:paraId="6B2AE975" w14:textId="1DD76EE5" w:rsidR="00136D9A" w:rsidRPr="005513D8" w:rsidRDefault="00B45A0E" w:rsidP="001A497B">
      <w:pPr>
        <w:jc w:val="both"/>
        <w:rPr>
          <w:rFonts w:eastAsiaTheme="minorEastAsia"/>
        </w:rPr>
      </w:pPr>
      <m:oMathPara>
        <m:oMath>
          <m:r>
            <w:rPr>
              <w:rFonts w:ascii="Cambria Math" w:hAnsi="Cambria Math"/>
            </w:rPr>
            <m:t>Total_ IE</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r>
                <w:rPr>
                  <w:rFonts w:ascii="Cambria Math" w:hAnsi="Cambria Math"/>
                </w:rPr>
                <m:t>IE</m:t>
              </m:r>
              <m:sSub>
                <m:sSubPr>
                  <m:ctrlPr>
                    <w:rPr>
                      <w:rFonts w:ascii="Cambria Math" w:hAnsi="Cambria Math"/>
                      <w:i/>
                    </w:rPr>
                  </m:ctrlPr>
                </m:sSubPr>
                <m:e>
                  <m:r>
                    <w:rPr>
                      <w:rFonts w:ascii="Cambria Math" w:hAnsi="Cambria Math"/>
                    </w:rPr>
                    <m:t>D</m:t>
                  </m:r>
                </m:e>
                <m:sub>
                  <m:r>
                    <w:rPr>
                      <w:rFonts w:ascii="Cambria Math" w:hAnsi="Cambria Math"/>
                    </w:rPr>
                    <m:t>it</m:t>
                  </m:r>
                </m:sub>
              </m:sSub>
            </m:e>
          </m:nary>
        </m:oMath>
      </m:oMathPara>
    </w:p>
    <w:p w14:paraId="64B076C1" w14:textId="6DC9A0CE" w:rsidR="00B45A0E" w:rsidRPr="005513D8" w:rsidRDefault="00B45A0E" w:rsidP="00155715">
      <w:pPr>
        <w:ind w:firstLine="708"/>
        <w:jc w:val="both"/>
        <w:rPr>
          <w:rFonts w:eastAsiaTheme="minorEastAsia"/>
        </w:rPr>
      </w:pPr>
      <w:r w:rsidRPr="005513D8">
        <w:rPr>
          <w:rFonts w:eastAsiaTheme="minorEastAsia"/>
        </w:rPr>
        <w:t>Donde:</w:t>
      </w:r>
    </w:p>
    <w:p w14:paraId="58130C3F" w14:textId="77777777" w:rsidR="00136D9A" w:rsidRPr="005513D8" w:rsidRDefault="00136D9A" w:rsidP="00155715">
      <w:pPr>
        <w:ind w:firstLine="708"/>
        <w:jc w:val="both"/>
        <w:rPr>
          <w:rFonts w:eastAsiaTheme="minorEastAsia"/>
        </w:rPr>
      </w:pPr>
    </w:p>
    <w:p w14:paraId="0E5A6164" w14:textId="66E13A25" w:rsidR="00B45A0E" w:rsidRDefault="00B45A0E" w:rsidP="00155715">
      <w:pPr>
        <w:pStyle w:val="ListParagraph"/>
        <w:numPr>
          <w:ilvl w:val="0"/>
          <w:numId w:val="23"/>
        </w:numPr>
        <w:jc w:val="both"/>
        <w:rPr>
          <w:rFonts w:eastAsiaTheme="minorEastAsia"/>
          <w:szCs w:val="24"/>
          <w:lang w:val="es-ES"/>
        </w:rPr>
      </w:pPr>
      <m:oMath>
        <m:r>
          <w:rPr>
            <w:rFonts w:ascii="Cambria Math" w:hAnsi="Cambria Math"/>
            <w:szCs w:val="24"/>
          </w:rPr>
          <m:t>IE</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it</m:t>
            </m:r>
          </m:sub>
        </m:sSub>
      </m:oMath>
      <w:r w:rsidRPr="00CD503F">
        <w:rPr>
          <w:rFonts w:eastAsiaTheme="minorEastAsia"/>
          <w:szCs w:val="24"/>
          <w:lang w:val="es-ES"/>
        </w:rPr>
        <w:t xml:space="preserve"> es la inversión extranjera directa que entra a Colombia del país i en el tiempo t.</w:t>
      </w:r>
    </w:p>
    <w:p w14:paraId="040D4D0F" w14:textId="77777777" w:rsidR="001A497B" w:rsidRPr="001A497B" w:rsidRDefault="001A497B" w:rsidP="001A497B">
      <w:pPr>
        <w:pStyle w:val="ListParagraph"/>
        <w:ind w:left="1428"/>
        <w:jc w:val="both"/>
        <w:rPr>
          <w:rFonts w:eastAsiaTheme="minorEastAsia"/>
          <w:szCs w:val="24"/>
          <w:lang w:val="es-ES"/>
        </w:rPr>
      </w:pPr>
    </w:p>
    <w:p w14:paraId="3C56F13A" w14:textId="0946491B" w:rsidR="00B45A0E" w:rsidRPr="00CD503F" w:rsidRDefault="00B45A0E" w:rsidP="00155715">
      <w:pPr>
        <w:pStyle w:val="ListParagraph"/>
        <w:numPr>
          <w:ilvl w:val="1"/>
          <w:numId w:val="25"/>
        </w:numPr>
        <w:jc w:val="both"/>
        <w:rPr>
          <w:szCs w:val="24"/>
          <w:lang w:val="es-ES"/>
        </w:rPr>
      </w:pPr>
      <w:r w:rsidRPr="00CD503F">
        <w:rPr>
          <w:szCs w:val="24"/>
          <w:lang w:val="es-ES"/>
        </w:rPr>
        <w:t xml:space="preserve">Se </w:t>
      </w:r>
      <w:r w:rsidR="00042633">
        <w:rPr>
          <w:szCs w:val="24"/>
          <w:lang w:val="es-ES"/>
        </w:rPr>
        <w:t xml:space="preserve">calcula </w:t>
      </w:r>
      <w:r w:rsidRPr="00CD503F">
        <w:rPr>
          <w:szCs w:val="24"/>
          <w:lang w:val="es-ES"/>
        </w:rPr>
        <w:t>la razón entre el total de los flujos de IED que entran a Colombia de cada país y la IED de cada país en cada periodo de tiempo:</w:t>
      </w:r>
    </w:p>
    <w:p w14:paraId="6E7104E0" w14:textId="77777777" w:rsidR="00B45A0E" w:rsidRPr="005513D8" w:rsidRDefault="00B45A0E" w:rsidP="00155715">
      <w:pPr>
        <w:jc w:val="both"/>
        <w:rPr>
          <w:rFonts w:eastAsiaTheme="minorEastAsia"/>
        </w:rPr>
      </w:pPr>
      <m:oMathPara>
        <m:oMath>
          <m:r>
            <w:rPr>
              <w:rFonts w:ascii="Cambria Math" w:hAnsi="Cambria Math"/>
            </w:rPr>
            <m:t>Parámetr</m:t>
          </m:r>
          <m:sSub>
            <m:sSubPr>
              <m:ctrlPr>
                <w:rPr>
                  <w:rFonts w:ascii="Cambria Math" w:hAnsi="Cambria Math"/>
                  <w:i/>
                </w:rPr>
              </m:ctrlPr>
            </m:sSubPr>
            <m:e>
              <m:r>
                <w:rPr>
                  <w:rFonts w:ascii="Cambria Math" w:hAnsi="Cambria Math"/>
                </w:rPr>
                <m:t>o2</m:t>
              </m:r>
            </m:e>
            <m:sub>
              <m:r>
                <w:rPr>
                  <w:rFonts w:ascii="Cambria Math" w:hAnsi="Cambria Math"/>
                </w:rPr>
                <m:t>it</m:t>
              </m:r>
            </m:sub>
          </m:sSub>
          <m:r>
            <w:rPr>
              <w:rFonts w:ascii="Cambria Math" w:hAnsi="Cambria Math"/>
            </w:rPr>
            <m:t>=</m:t>
          </m:r>
          <m:f>
            <m:fPr>
              <m:ctrlPr>
                <w:rPr>
                  <w:rFonts w:ascii="Cambria Math" w:hAnsi="Cambria Math"/>
                  <w:i/>
                </w:rPr>
              </m:ctrlPr>
            </m:fPr>
            <m:num>
              <m:r>
                <w:rPr>
                  <w:rFonts w:ascii="Cambria Math" w:eastAsiaTheme="minorEastAsia" w:hAnsi="Cambria Math"/>
                </w:rPr>
                <m:t>IE</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it</m:t>
                  </m:r>
                </m:sub>
              </m:sSub>
              <m:ctrlPr>
                <w:rPr>
                  <w:rFonts w:ascii="Cambria Math" w:eastAsiaTheme="minorEastAsia" w:hAnsi="Cambria Math"/>
                  <w:i/>
                </w:rPr>
              </m:ctrlPr>
            </m:num>
            <m:den>
              <m:r>
                <w:rPr>
                  <w:rFonts w:ascii="Cambria Math" w:hAnsi="Cambria Math"/>
                </w:rPr>
                <m:t>Total_ IE</m:t>
              </m:r>
              <m:sSub>
                <m:sSubPr>
                  <m:ctrlPr>
                    <w:rPr>
                      <w:rFonts w:ascii="Cambria Math" w:hAnsi="Cambria Math"/>
                      <w:i/>
                    </w:rPr>
                  </m:ctrlPr>
                </m:sSubPr>
                <m:e>
                  <m:r>
                    <w:rPr>
                      <w:rFonts w:ascii="Cambria Math" w:hAnsi="Cambria Math"/>
                    </w:rPr>
                    <m:t>D</m:t>
                  </m:r>
                </m:e>
                <m:sub>
                  <m:r>
                    <w:rPr>
                      <w:rFonts w:ascii="Cambria Math" w:hAnsi="Cambria Math"/>
                    </w:rPr>
                    <m:t>i</m:t>
                  </m:r>
                </m:sub>
              </m:sSub>
            </m:den>
          </m:f>
        </m:oMath>
      </m:oMathPara>
    </w:p>
    <w:p w14:paraId="00D4F82B" w14:textId="77777777" w:rsidR="00B45A0E" w:rsidRPr="005513D8" w:rsidRDefault="00B45A0E" w:rsidP="00155715">
      <w:pPr>
        <w:ind w:firstLine="708"/>
        <w:jc w:val="both"/>
        <w:rPr>
          <w:rFonts w:eastAsiaTheme="minorEastAsia"/>
        </w:rPr>
      </w:pPr>
      <w:r w:rsidRPr="005513D8">
        <w:rPr>
          <w:rFonts w:eastAsiaTheme="minorEastAsia"/>
        </w:rPr>
        <w:t>Donde:</w:t>
      </w:r>
    </w:p>
    <w:p w14:paraId="05414797" w14:textId="7A1F50F2" w:rsidR="00B45A0E" w:rsidRPr="00CD503F" w:rsidRDefault="00B45A0E" w:rsidP="00155715">
      <w:pPr>
        <w:pStyle w:val="ListParagraph"/>
        <w:numPr>
          <w:ilvl w:val="0"/>
          <w:numId w:val="21"/>
        </w:numPr>
        <w:jc w:val="both"/>
        <w:rPr>
          <w:rFonts w:eastAsiaTheme="minorEastAsia"/>
          <w:szCs w:val="24"/>
          <w:lang w:val="es-ES"/>
        </w:rPr>
      </w:pPr>
      <m:oMath>
        <m:r>
          <w:rPr>
            <w:rFonts w:ascii="Cambria Math" w:hAnsi="Cambria Math"/>
            <w:szCs w:val="24"/>
          </w:rPr>
          <m:t>IE</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it</m:t>
            </m:r>
          </m:sub>
        </m:sSub>
      </m:oMath>
      <w:r w:rsidRPr="00CD503F">
        <w:rPr>
          <w:rFonts w:eastAsiaTheme="minorEastAsia"/>
          <w:szCs w:val="24"/>
          <w:lang w:val="es-ES"/>
        </w:rPr>
        <w:t xml:space="preserve"> es la inversión extranjera directa que entra a Colombia del país </w:t>
      </w:r>
      <w:r w:rsidRPr="00CD503F">
        <w:rPr>
          <w:rFonts w:eastAsiaTheme="minorEastAsia"/>
          <w:i/>
          <w:iCs/>
          <w:szCs w:val="24"/>
          <w:lang w:val="es-ES"/>
        </w:rPr>
        <w:t>i</w:t>
      </w:r>
      <w:r w:rsidRPr="00CD503F">
        <w:rPr>
          <w:rFonts w:eastAsiaTheme="minorEastAsia"/>
          <w:szCs w:val="24"/>
          <w:lang w:val="es-ES"/>
        </w:rPr>
        <w:t xml:space="preserve"> en el tiempo </w:t>
      </w:r>
      <w:r w:rsidRPr="00CD503F">
        <w:rPr>
          <w:rFonts w:eastAsiaTheme="minorEastAsia"/>
          <w:i/>
          <w:iCs/>
          <w:szCs w:val="24"/>
          <w:lang w:val="es-ES"/>
        </w:rPr>
        <w:t>t.</w:t>
      </w:r>
    </w:p>
    <w:p w14:paraId="346427A7" w14:textId="15C4B2D5" w:rsidR="00B45A0E" w:rsidRPr="00CD503F" w:rsidRDefault="00B45A0E" w:rsidP="00155715">
      <w:pPr>
        <w:pStyle w:val="ListParagraph"/>
        <w:numPr>
          <w:ilvl w:val="0"/>
          <w:numId w:val="21"/>
        </w:numPr>
        <w:jc w:val="both"/>
        <w:rPr>
          <w:rFonts w:eastAsiaTheme="minorEastAsia"/>
          <w:szCs w:val="24"/>
          <w:lang w:val="es-ES"/>
        </w:rPr>
      </w:pPr>
      <m:oMath>
        <m:r>
          <w:rPr>
            <w:rFonts w:ascii="Cambria Math" w:hAnsi="Cambria Math"/>
            <w:szCs w:val="24"/>
          </w:rPr>
          <m:t>Total</m:t>
        </m:r>
        <m:r>
          <w:rPr>
            <w:rFonts w:ascii="Cambria Math" w:hAnsi="Cambria Math"/>
            <w:szCs w:val="24"/>
            <w:lang w:val="es-ES"/>
          </w:rPr>
          <m:t xml:space="preserve">_ </m:t>
        </m:r>
        <m:r>
          <w:rPr>
            <w:rFonts w:ascii="Cambria Math" w:hAnsi="Cambria Math"/>
            <w:szCs w:val="24"/>
          </w:rPr>
          <m:t>IE</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i</m:t>
            </m:r>
          </m:sub>
        </m:sSub>
      </m:oMath>
      <w:r w:rsidRPr="00CD503F">
        <w:rPr>
          <w:rFonts w:eastAsiaTheme="minorEastAsia"/>
          <w:szCs w:val="24"/>
          <w:lang w:val="es-ES"/>
        </w:rPr>
        <w:t xml:space="preserve"> es la suma de la Inversión Extranjera Directa desde el primer periodo hasta el último</w:t>
      </w:r>
      <w:r w:rsidR="00621085">
        <w:rPr>
          <w:rFonts w:eastAsiaTheme="minorEastAsia"/>
          <w:szCs w:val="24"/>
          <w:lang w:val="es-ES"/>
        </w:rPr>
        <w:t>,</w:t>
      </w:r>
      <w:r w:rsidRPr="00CD503F">
        <w:rPr>
          <w:rFonts w:eastAsiaTheme="minorEastAsia"/>
          <w:szCs w:val="24"/>
          <w:lang w:val="es-ES"/>
        </w:rPr>
        <w:t xml:space="preserve"> </w:t>
      </w:r>
      <w:r w:rsidR="00621085">
        <w:rPr>
          <w:rFonts w:eastAsiaTheme="minorEastAsia"/>
          <w:szCs w:val="24"/>
          <w:lang w:val="es-ES"/>
        </w:rPr>
        <w:t>para el</w:t>
      </w:r>
      <w:r w:rsidRPr="00CD503F">
        <w:rPr>
          <w:rFonts w:eastAsiaTheme="minorEastAsia"/>
          <w:szCs w:val="24"/>
          <w:lang w:val="es-ES"/>
        </w:rPr>
        <w:t xml:space="preserve"> país </w:t>
      </w:r>
      <w:r w:rsidRPr="00CD503F">
        <w:rPr>
          <w:rFonts w:eastAsiaTheme="minorEastAsia"/>
          <w:i/>
          <w:iCs/>
          <w:szCs w:val="24"/>
          <w:lang w:val="es-ES"/>
        </w:rPr>
        <w:t>i.</w:t>
      </w:r>
    </w:p>
    <w:p w14:paraId="34C8B376" w14:textId="77777777" w:rsidR="005969FB" w:rsidRPr="00CD503F" w:rsidRDefault="005969FB" w:rsidP="00155715">
      <w:pPr>
        <w:jc w:val="both"/>
        <w:rPr>
          <w:lang w:val="es-ES"/>
        </w:rPr>
      </w:pPr>
    </w:p>
    <w:p w14:paraId="3F3EDF9E" w14:textId="7A2EF808" w:rsidR="00B45A0E" w:rsidRPr="005513D8" w:rsidRDefault="00B45A0E" w:rsidP="00155715">
      <w:pPr>
        <w:pStyle w:val="ListParagraph"/>
        <w:numPr>
          <w:ilvl w:val="0"/>
          <w:numId w:val="25"/>
        </w:numPr>
        <w:jc w:val="both"/>
        <w:rPr>
          <w:szCs w:val="24"/>
        </w:rPr>
      </w:pPr>
      <w:proofErr w:type="spellStart"/>
      <w:r w:rsidRPr="005513D8">
        <w:rPr>
          <w:szCs w:val="24"/>
        </w:rPr>
        <w:t>Flujos</w:t>
      </w:r>
      <w:proofErr w:type="spellEnd"/>
      <w:r w:rsidRPr="005513D8">
        <w:rPr>
          <w:szCs w:val="24"/>
        </w:rPr>
        <w:t xml:space="preserve"> </w:t>
      </w:r>
      <w:proofErr w:type="spellStart"/>
      <w:r w:rsidRPr="005513D8">
        <w:rPr>
          <w:szCs w:val="24"/>
        </w:rPr>
        <w:t>normalizados</w:t>
      </w:r>
      <w:proofErr w:type="spellEnd"/>
    </w:p>
    <w:p w14:paraId="2D29D415" w14:textId="00406085" w:rsidR="003D3397" w:rsidRPr="00CD503F" w:rsidRDefault="00B45A0E" w:rsidP="00155715">
      <w:pPr>
        <w:jc w:val="both"/>
        <w:rPr>
          <w:lang w:val="es-ES"/>
        </w:rPr>
      </w:pPr>
      <w:r w:rsidRPr="00CD503F">
        <w:rPr>
          <w:lang w:val="es-ES"/>
        </w:rPr>
        <w:t xml:space="preserve">Finalmente, para obtener los flujos normalizados de IED que </w:t>
      </w:r>
      <w:r w:rsidR="003D3397">
        <w:rPr>
          <w:lang w:val="es-ES"/>
        </w:rPr>
        <w:t>ingresan</w:t>
      </w:r>
      <w:r w:rsidRPr="00CD503F">
        <w:rPr>
          <w:lang w:val="es-ES"/>
        </w:rPr>
        <w:t xml:space="preserve"> a Colombia por país en cada trimestre, </w:t>
      </w:r>
      <w:r w:rsidR="003D3397">
        <w:rPr>
          <w:lang w:val="es-ES"/>
        </w:rPr>
        <w:t>teniendo en cuenta</w:t>
      </w:r>
      <w:r w:rsidRPr="00CD503F">
        <w:rPr>
          <w:lang w:val="es-ES"/>
        </w:rPr>
        <w:t xml:space="preserve"> la </w:t>
      </w:r>
      <w:proofErr w:type="gramStart"/>
      <w:r w:rsidRPr="00CD503F">
        <w:rPr>
          <w:lang w:val="es-ES"/>
        </w:rPr>
        <w:t>entrada en vigencia</w:t>
      </w:r>
      <w:proofErr w:type="gramEnd"/>
      <w:r w:rsidRPr="00CD503F">
        <w:rPr>
          <w:lang w:val="es-ES"/>
        </w:rPr>
        <w:t xml:space="preserve"> de los acuerdos</w:t>
      </w:r>
      <w:r w:rsidR="00C33E50">
        <w:rPr>
          <w:lang w:val="es-ES"/>
        </w:rPr>
        <w:t xml:space="preserve"> </w:t>
      </w:r>
      <w:r w:rsidRPr="00CD503F">
        <w:rPr>
          <w:lang w:val="es-ES"/>
        </w:rPr>
        <w:t xml:space="preserve">y su magnitud, se multiplican los flujos de IED </w:t>
      </w:r>
      <w:r w:rsidR="00756C09">
        <w:rPr>
          <w:lang w:val="es-ES"/>
        </w:rPr>
        <w:t xml:space="preserve">de cada país para </w:t>
      </w:r>
      <w:r w:rsidRPr="00CD503F">
        <w:rPr>
          <w:lang w:val="es-ES"/>
        </w:rPr>
        <w:t>cada periodo</w:t>
      </w:r>
      <w:r w:rsidR="00756C09">
        <w:rPr>
          <w:lang w:val="es-ES"/>
        </w:rPr>
        <w:t xml:space="preserve"> de tiempo</w:t>
      </w:r>
      <w:r w:rsidR="003D3397">
        <w:rPr>
          <w:lang w:val="es-ES"/>
        </w:rPr>
        <w:t xml:space="preserve"> </w:t>
      </w:r>
      <w:r w:rsidRPr="00CD503F">
        <w:rPr>
          <w:lang w:val="es-ES"/>
        </w:rPr>
        <w:t>por los parámetros 1 y 2</w:t>
      </w:r>
      <w:r w:rsidR="00697CE1">
        <w:rPr>
          <w:lang w:val="es-ES"/>
        </w:rPr>
        <w:t>:</w:t>
      </w:r>
    </w:p>
    <w:p w14:paraId="59D45619" w14:textId="72C913DE" w:rsidR="00371E7E" w:rsidRPr="005513D8" w:rsidRDefault="00B45A0E" w:rsidP="00155715">
      <w:pPr>
        <w:jc w:val="both"/>
        <w:rPr>
          <w:rFonts w:eastAsiaTheme="minorEastAsia"/>
        </w:rPr>
      </w:pPr>
      <m:oMathPara>
        <m:oMath>
          <m:r>
            <w:rPr>
              <w:rFonts w:ascii="Cambria Math" w:hAnsi="Cambria Math"/>
            </w:rPr>
            <m:t>Nor</m:t>
          </m:r>
          <m:sSub>
            <m:sSubPr>
              <m:ctrlPr>
                <w:rPr>
                  <w:rFonts w:ascii="Cambria Math" w:hAnsi="Cambria Math"/>
                  <w:i/>
                </w:rPr>
              </m:ctrlPr>
            </m:sSubPr>
            <m:e>
              <m:r>
                <w:rPr>
                  <w:rFonts w:ascii="Cambria Math" w:hAnsi="Cambria Math"/>
                </w:rPr>
                <m:t>m</m:t>
              </m:r>
            </m:e>
            <m:sub>
              <m:r>
                <w:rPr>
                  <w:rFonts w:ascii="Cambria Math" w:hAnsi="Cambria Math"/>
                </w:rPr>
                <m:t>it</m:t>
              </m:r>
            </m:sub>
          </m:sSub>
          <m:r>
            <w:rPr>
              <w:rFonts w:ascii="Cambria Math" w:hAnsi="Cambria Math"/>
            </w:rPr>
            <m:t>=IE</m:t>
          </m:r>
          <m:sSub>
            <m:sSubPr>
              <m:ctrlPr>
                <w:rPr>
                  <w:rFonts w:ascii="Cambria Math" w:hAnsi="Cambria Math"/>
                  <w:i/>
                </w:rPr>
              </m:ctrlPr>
            </m:sSubPr>
            <m:e>
              <m:r>
                <w:rPr>
                  <w:rFonts w:ascii="Cambria Math" w:hAnsi="Cambria Math"/>
                </w:rPr>
                <m:t>D</m:t>
              </m:r>
            </m:e>
            <m:sub>
              <m:r>
                <w:rPr>
                  <w:rFonts w:ascii="Cambria Math" w:hAnsi="Cambria Math"/>
                </w:rPr>
                <m:t>it</m:t>
              </m:r>
            </m:sub>
          </m:sSub>
          <m:r>
            <w:rPr>
              <w:rFonts w:ascii="Cambria Math" w:hAnsi="Cambria Math"/>
            </w:rPr>
            <m:t xml:space="preserve"> x Parámetro</m:t>
          </m:r>
          <m:sSub>
            <m:sSubPr>
              <m:ctrlPr>
                <w:rPr>
                  <w:rFonts w:ascii="Cambria Math" w:hAnsi="Cambria Math"/>
                  <w:i/>
                </w:rPr>
              </m:ctrlPr>
            </m:sSubPr>
            <m:e>
              <m:r>
                <w:rPr>
                  <w:rFonts w:ascii="Cambria Math" w:hAnsi="Cambria Math"/>
                </w:rPr>
                <m:t>1</m:t>
              </m:r>
            </m:e>
            <m:sub>
              <m:r>
                <w:rPr>
                  <w:rFonts w:ascii="Cambria Math" w:hAnsi="Cambria Math"/>
                </w:rPr>
                <m:t>it</m:t>
              </m:r>
            </m:sub>
          </m:sSub>
          <m:r>
            <w:rPr>
              <w:rFonts w:ascii="Cambria Math" w:hAnsi="Cambria Math"/>
            </w:rPr>
            <m:t xml:space="preserve"> x Parámetro</m:t>
          </m:r>
          <m:sSub>
            <m:sSubPr>
              <m:ctrlPr>
                <w:rPr>
                  <w:rFonts w:ascii="Cambria Math" w:hAnsi="Cambria Math"/>
                  <w:i/>
                </w:rPr>
              </m:ctrlPr>
            </m:sSubPr>
            <m:e>
              <m:r>
                <w:rPr>
                  <w:rFonts w:ascii="Cambria Math" w:hAnsi="Cambria Math"/>
                </w:rPr>
                <m:t>2</m:t>
              </m:r>
            </m:e>
            <m:sub>
              <m:r>
                <w:rPr>
                  <w:rFonts w:ascii="Cambria Math" w:hAnsi="Cambria Math"/>
                </w:rPr>
                <m:t>it</m:t>
              </m:r>
            </m:sub>
          </m:sSub>
        </m:oMath>
      </m:oMathPara>
    </w:p>
    <w:p w14:paraId="2644ACCA" w14:textId="77777777" w:rsidR="00C33E50" w:rsidRPr="005513D8" w:rsidRDefault="00C33E50" w:rsidP="00155715">
      <w:pPr>
        <w:jc w:val="both"/>
        <w:rPr>
          <w:rFonts w:eastAsiaTheme="minorEastAsia"/>
        </w:rPr>
      </w:pPr>
    </w:p>
    <w:p w14:paraId="3C71203F" w14:textId="380563B0" w:rsidR="00F32E8B" w:rsidRPr="003D3397" w:rsidRDefault="00B45A0E" w:rsidP="00155715">
      <w:pPr>
        <w:pStyle w:val="ListParagraph"/>
        <w:numPr>
          <w:ilvl w:val="0"/>
          <w:numId w:val="25"/>
        </w:numPr>
        <w:jc w:val="both"/>
        <w:rPr>
          <w:szCs w:val="24"/>
        </w:rPr>
      </w:pPr>
      <w:proofErr w:type="spellStart"/>
      <w:r w:rsidRPr="005513D8">
        <w:rPr>
          <w:szCs w:val="24"/>
        </w:rPr>
        <w:t>Resultado</w:t>
      </w:r>
      <w:proofErr w:type="spellEnd"/>
    </w:p>
    <w:p w14:paraId="22D94871" w14:textId="2F019B3C" w:rsidR="00B45A0E" w:rsidRDefault="00B45A0E" w:rsidP="00155715">
      <w:pPr>
        <w:jc w:val="both"/>
        <w:rPr>
          <w:lang w:val="es-ES"/>
        </w:rPr>
      </w:pPr>
      <w:r w:rsidRPr="00CD503F">
        <w:rPr>
          <w:lang w:val="es-ES"/>
        </w:rPr>
        <w:t xml:space="preserve">A </w:t>
      </w:r>
      <w:r w:rsidR="0072608B" w:rsidRPr="00CD503F">
        <w:rPr>
          <w:lang w:val="es-ES"/>
        </w:rPr>
        <w:t>continuación,</w:t>
      </w:r>
      <w:r w:rsidRPr="00CD503F">
        <w:rPr>
          <w:lang w:val="es-ES"/>
        </w:rPr>
        <w:t xml:space="preserve"> </w:t>
      </w:r>
      <w:r w:rsidR="006428FB">
        <w:rPr>
          <w:lang w:val="es-ES"/>
        </w:rPr>
        <w:t xml:space="preserve">la Gráfica 9 presenta </w:t>
      </w:r>
      <w:r w:rsidRPr="00CD503F">
        <w:rPr>
          <w:lang w:val="es-ES"/>
        </w:rPr>
        <w:t xml:space="preserve">los resultados de la normalización </w:t>
      </w:r>
      <w:r w:rsidR="006428FB">
        <w:rPr>
          <w:lang w:val="es-ES"/>
        </w:rPr>
        <w:t xml:space="preserve">de los flujos de IED </w:t>
      </w:r>
      <w:r w:rsidRPr="00CD503F">
        <w:rPr>
          <w:lang w:val="es-ES"/>
        </w:rPr>
        <w:t>para cada país</w:t>
      </w:r>
      <w:r w:rsidR="006428FB">
        <w:rPr>
          <w:lang w:val="es-ES"/>
        </w:rPr>
        <w:t>.</w:t>
      </w:r>
    </w:p>
    <w:p w14:paraId="1C1749D9" w14:textId="77777777" w:rsidR="006D64DB" w:rsidRDefault="006D64DB" w:rsidP="00155715">
      <w:pPr>
        <w:jc w:val="both"/>
        <w:rPr>
          <w:lang w:val="es-ES"/>
        </w:rPr>
      </w:pPr>
    </w:p>
    <w:p w14:paraId="68CF3CAD" w14:textId="2C9B843C" w:rsidR="006D64DB" w:rsidRDefault="006D64DB" w:rsidP="00155715">
      <w:pPr>
        <w:jc w:val="both"/>
        <w:rPr>
          <w:lang w:val="es-ES"/>
        </w:rPr>
      </w:pPr>
      <w:r w:rsidRPr="00CD503F">
        <w:rPr>
          <w:lang w:val="es-ES"/>
        </w:rPr>
        <w:t xml:space="preserve">Se observa que, en general, el comportamiento de los flujos provenientes de estos países aumenta después de la firma del acuerdo. En concreto, Canadá, España, India, México, Portugal y Suiza empiezan a </w:t>
      </w:r>
      <w:r w:rsidR="001E3025">
        <w:rPr>
          <w:lang w:val="es-ES"/>
        </w:rPr>
        <w:t>mostrar</w:t>
      </w:r>
      <w:r w:rsidRPr="00CD503F">
        <w:rPr>
          <w:lang w:val="es-ES"/>
        </w:rPr>
        <w:t xml:space="preserve"> picos de inversión luego de la </w:t>
      </w:r>
      <w:proofErr w:type="gramStart"/>
      <w:r w:rsidRPr="00CD503F">
        <w:rPr>
          <w:lang w:val="es-ES"/>
        </w:rPr>
        <w:t>entrada en vigencia</w:t>
      </w:r>
      <w:proofErr w:type="gramEnd"/>
      <w:r w:rsidRPr="00CD503F">
        <w:rPr>
          <w:lang w:val="es-ES"/>
        </w:rPr>
        <w:t xml:space="preserve"> de los </w:t>
      </w:r>
      <w:proofErr w:type="spellStart"/>
      <w:r w:rsidRPr="00CD503F">
        <w:rPr>
          <w:lang w:val="es-ES"/>
        </w:rPr>
        <w:t>ADTs</w:t>
      </w:r>
      <w:proofErr w:type="spellEnd"/>
      <w:r w:rsidRPr="00CD503F">
        <w:rPr>
          <w:lang w:val="es-ES"/>
        </w:rPr>
        <w:t xml:space="preserve">. </w:t>
      </w:r>
      <w:r w:rsidR="00073D9F">
        <w:rPr>
          <w:lang w:val="es-ES"/>
        </w:rPr>
        <w:t>Mientras que,</w:t>
      </w:r>
      <w:r w:rsidR="001A09F4">
        <w:rPr>
          <w:lang w:val="es-ES"/>
        </w:rPr>
        <w:t xml:space="preserve"> Chile y Corea del Sur</w:t>
      </w:r>
      <w:r w:rsidR="00D928D1">
        <w:rPr>
          <w:lang w:val="es-ES"/>
        </w:rPr>
        <w:t xml:space="preserve">, por el </w:t>
      </w:r>
      <w:r w:rsidR="00073D9F">
        <w:rPr>
          <w:lang w:val="es-ES"/>
        </w:rPr>
        <w:t>contrario,</w:t>
      </w:r>
      <w:r w:rsidR="00D928D1">
        <w:rPr>
          <w:lang w:val="es-ES"/>
        </w:rPr>
        <w:t xml:space="preserve"> presentaron </w:t>
      </w:r>
      <w:r w:rsidR="00073D9F">
        <w:rPr>
          <w:lang w:val="es-ES"/>
        </w:rPr>
        <w:t>disminución</w:t>
      </w:r>
      <w:r w:rsidR="00D928D1">
        <w:rPr>
          <w:lang w:val="es-ES"/>
        </w:rPr>
        <w:t xml:space="preserve"> en los flujos, efecto que no habíamos visto en l</w:t>
      </w:r>
      <w:r w:rsidR="00583B13">
        <w:rPr>
          <w:lang w:val="es-ES"/>
        </w:rPr>
        <w:t>os flujos sin normalizar de la Gráfica 8.</w:t>
      </w:r>
    </w:p>
    <w:p w14:paraId="337D49CE" w14:textId="77777777" w:rsidR="00470EC2" w:rsidRDefault="00B45A0E" w:rsidP="00470EC2">
      <w:pPr>
        <w:keepNext/>
        <w:jc w:val="center"/>
      </w:pPr>
      <w:r w:rsidRPr="005513D8">
        <w:rPr>
          <w:noProof/>
        </w:rPr>
        <w:lastRenderedPageBreak/>
        <w:drawing>
          <wp:inline distT="0" distB="0" distL="0" distR="0" wp14:anchorId="4FC42229" wp14:editId="40D52184">
            <wp:extent cx="5574542" cy="2683239"/>
            <wp:effectExtent l="0" t="0" r="1270" b="0"/>
            <wp:docPr id="1923281098" name="Picture 1923281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281098" name=""/>
                    <pic:cNvPicPr/>
                  </pic:nvPicPr>
                  <pic:blipFill rotWithShape="1">
                    <a:blip r:embed="rId19"/>
                    <a:srcRect t="4871" r="7734"/>
                    <a:stretch/>
                  </pic:blipFill>
                  <pic:spPr bwMode="auto">
                    <a:xfrm>
                      <a:off x="0" y="0"/>
                      <a:ext cx="5594749" cy="2692965"/>
                    </a:xfrm>
                    <a:prstGeom prst="rect">
                      <a:avLst/>
                    </a:prstGeom>
                    <a:ln>
                      <a:noFill/>
                    </a:ln>
                    <a:extLst>
                      <a:ext uri="{53640926-AAD7-44D8-BBD7-CCE9431645EC}">
                        <a14:shadowObscured xmlns:a14="http://schemas.microsoft.com/office/drawing/2010/main"/>
                      </a:ext>
                    </a:extLst>
                  </pic:spPr>
                </pic:pic>
              </a:graphicData>
            </a:graphic>
          </wp:inline>
        </w:drawing>
      </w:r>
    </w:p>
    <w:p w14:paraId="04BCEB46" w14:textId="29C54936" w:rsidR="00B45A0E" w:rsidRPr="00470EC2" w:rsidRDefault="00470EC2" w:rsidP="00470EC2">
      <w:pPr>
        <w:pStyle w:val="Caption"/>
        <w:jc w:val="center"/>
        <w:rPr>
          <w:rFonts w:ascii="Garamond" w:hAnsi="Garamond"/>
          <w:color w:val="262626" w:themeColor="text1" w:themeTint="D9"/>
          <w:sz w:val="22"/>
          <w:szCs w:val="22"/>
          <w:lang w:val="es-ES"/>
        </w:rPr>
      </w:pPr>
      <w:r w:rsidRPr="00470EC2">
        <w:rPr>
          <w:rFonts w:ascii="Garamond" w:hAnsi="Garamond"/>
          <w:color w:val="262626" w:themeColor="text1" w:themeTint="D9"/>
          <w:sz w:val="22"/>
          <w:szCs w:val="22"/>
          <w:lang w:val="es-ES"/>
        </w:rPr>
        <w:t xml:space="preserve">Gráfica </w:t>
      </w:r>
      <w:r w:rsidRPr="00470EC2">
        <w:rPr>
          <w:rFonts w:ascii="Garamond" w:hAnsi="Garamond"/>
          <w:color w:val="262626" w:themeColor="text1" w:themeTint="D9"/>
          <w:sz w:val="22"/>
          <w:szCs w:val="22"/>
          <w:lang w:val="es-ES"/>
        </w:rPr>
        <w:fldChar w:fldCharType="begin"/>
      </w:r>
      <w:r w:rsidRPr="00470EC2">
        <w:rPr>
          <w:rFonts w:ascii="Garamond" w:hAnsi="Garamond"/>
          <w:color w:val="262626" w:themeColor="text1" w:themeTint="D9"/>
          <w:sz w:val="22"/>
          <w:szCs w:val="22"/>
          <w:lang w:val="es-ES"/>
        </w:rPr>
        <w:instrText xml:space="preserve"> SEQ Gráfica \* ARABIC </w:instrText>
      </w:r>
      <w:r w:rsidRPr="00470EC2">
        <w:rPr>
          <w:rFonts w:ascii="Garamond" w:hAnsi="Garamond"/>
          <w:color w:val="262626" w:themeColor="text1" w:themeTint="D9"/>
          <w:sz w:val="22"/>
          <w:szCs w:val="22"/>
          <w:lang w:val="es-ES"/>
        </w:rPr>
        <w:fldChar w:fldCharType="separate"/>
      </w:r>
      <w:r w:rsidRPr="00470EC2">
        <w:rPr>
          <w:rFonts w:ascii="Garamond" w:hAnsi="Garamond"/>
          <w:color w:val="262626" w:themeColor="text1" w:themeTint="D9"/>
          <w:sz w:val="22"/>
          <w:szCs w:val="22"/>
          <w:lang w:val="es-ES"/>
        </w:rPr>
        <w:t>9</w:t>
      </w:r>
      <w:r w:rsidRPr="00470EC2">
        <w:rPr>
          <w:rFonts w:ascii="Garamond" w:hAnsi="Garamond"/>
          <w:color w:val="262626" w:themeColor="text1" w:themeTint="D9"/>
          <w:sz w:val="22"/>
          <w:szCs w:val="22"/>
          <w:lang w:val="es-ES"/>
        </w:rPr>
        <w:fldChar w:fldCharType="end"/>
      </w:r>
      <w:r w:rsidRPr="00470EC2">
        <w:rPr>
          <w:rFonts w:ascii="Garamond" w:hAnsi="Garamond"/>
          <w:color w:val="262626" w:themeColor="text1" w:themeTint="D9"/>
          <w:sz w:val="22"/>
          <w:szCs w:val="22"/>
          <w:lang w:val="es-ES"/>
        </w:rPr>
        <w:t>. Flujos entrantes normalizados de IED hacia Colombia por país en el período 2027 – 2022</w:t>
      </w:r>
    </w:p>
    <w:p w14:paraId="4EA090D8" w14:textId="77777777" w:rsidR="00B45A0E" w:rsidRPr="00CD503F" w:rsidRDefault="00B45A0E" w:rsidP="00155715">
      <w:pPr>
        <w:jc w:val="both"/>
        <w:rPr>
          <w:lang w:val="es-ES"/>
        </w:rPr>
      </w:pPr>
    </w:p>
    <w:p w14:paraId="4EA145FC" w14:textId="3C5E10B4" w:rsidR="000E1FFD" w:rsidRDefault="00B45A0E" w:rsidP="00155715">
      <w:pPr>
        <w:jc w:val="both"/>
        <w:rPr>
          <w:lang w:val="es-ES"/>
        </w:rPr>
      </w:pPr>
      <w:r w:rsidRPr="00CD503F">
        <w:rPr>
          <w:lang w:val="es-ES"/>
        </w:rPr>
        <w:t xml:space="preserve">Al respecto, cabe mencionar que después de la celebración de un acuerdo de doble tributación, es posible que los flujos de inversión no experimenten cambios significativos de inmediato, </w:t>
      </w:r>
      <w:r w:rsidR="006D299F">
        <w:rPr>
          <w:lang w:val="es-ES"/>
        </w:rPr>
        <w:t>debido a</w:t>
      </w:r>
      <w:r w:rsidR="00FF1BAD">
        <w:rPr>
          <w:lang w:val="es-ES"/>
        </w:rPr>
        <w:t xml:space="preserve"> </w:t>
      </w:r>
      <w:r w:rsidR="006D299F">
        <w:rPr>
          <w:lang w:val="es-ES"/>
        </w:rPr>
        <w:t>los</w:t>
      </w:r>
      <w:r w:rsidRPr="00CD503F">
        <w:rPr>
          <w:lang w:val="es-ES"/>
        </w:rPr>
        <w:t xml:space="preserve"> múltiples factores</w:t>
      </w:r>
      <w:r w:rsidR="006D299F">
        <w:rPr>
          <w:lang w:val="es-ES"/>
        </w:rPr>
        <w:t xml:space="preserve"> por los que se podrían ver impactados</w:t>
      </w:r>
      <w:r w:rsidRPr="00CD503F">
        <w:rPr>
          <w:lang w:val="es-ES"/>
        </w:rPr>
        <w:t xml:space="preserve">, como la estabilidad macroeconómica, el tamaño del mercado, la disponibilidad de recursos, las políticas gubernamentales, entre otros; </w:t>
      </w:r>
      <w:r w:rsidR="000B4F1F">
        <w:rPr>
          <w:lang w:val="es-ES"/>
        </w:rPr>
        <w:t>por lo tanto</w:t>
      </w:r>
      <w:r w:rsidR="000E1FFD">
        <w:rPr>
          <w:lang w:val="es-ES"/>
        </w:rPr>
        <w:t>,</w:t>
      </w:r>
      <w:r w:rsidR="000B4F1F">
        <w:rPr>
          <w:lang w:val="es-ES"/>
        </w:rPr>
        <w:t xml:space="preserve"> algunas </w:t>
      </w:r>
      <w:r w:rsidR="000E1FFD">
        <w:rPr>
          <w:lang w:val="es-ES"/>
        </w:rPr>
        <w:t>de estas variables relacionadas</w:t>
      </w:r>
      <w:r w:rsidRPr="00CD503F">
        <w:rPr>
          <w:lang w:val="es-ES"/>
        </w:rPr>
        <w:t xml:space="preserve"> </w:t>
      </w:r>
      <w:r w:rsidR="000B4F1F">
        <w:rPr>
          <w:lang w:val="es-ES"/>
        </w:rPr>
        <w:t>se han tenido en cuenta en el an</w:t>
      </w:r>
      <w:r w:rsidR="000E1FFD">
        <w:rPr>
          <w:lang w:val="es-ES"/>
        </w:rPr>
        <w:t xml:space="preserve">álisis econométrico de este estudio. </w:t>
      </w:r>
    </w:p>
    <w:p w14:paraId="5AA7C457" w14:textId="77777777" w:rsidR="00A2511B" w:rsidRDefault="00A2511B" w:rsidP="00155715">
      <w:pPr>
        <w:jc w:val="both"/>
        <w:rPr>
          <w:lang w:val="es-ES"/>
        </w:rPr>
      </w:pPr>
    </w:p>
    <w:p w14:paraId="5BA5ECD1" w14:textId="04EEDD2D" w:rsidR="00B45A0E" w:rsidRPr="00CD503F" w:rsidRDefault="00B45A0E" w:rsidP="00155715">
      <w:pPr>
        <w:jc w:val="both"/>
        <w:rPr>
          <w:lang w:val="es-ES"/>
        </w:rPr>
      </w:pPr>
      <w:r w:rsidRPr="00CD503F">
        <w:rPr>
          <w:lang w:val="es-ES"/>
        </w:rPr>
        <w:t>Además, es importante destacar que, aunque el acuerdo puede proporcionar un marco legal más favorable para la inversión, el éxito de las inversiones dependerá en gran medida de la calidad y competitividad de los proyectos de inversión en sí mismos.</w:t>
      </w:r>
    </w:p>
    <w:p w14:paraId="5E035AF0" w14:textId="77777777" w:rsidR="0072608B" w:rsidRPr="00CD503F" w:rsidRDefault="0072608B" w:rsidP="00155715">
      <w:pPr>
        <w:jc w:val="both"/>
        <w:rPr>
          <w:lang w:val="es-ES"/>
        </w:rPr>
      </w:pPr>
    </w:p>
    <w:bookmarkEnd w:id="1"/>
    <w:p w14:paraId="14247D29" w14:textId="6015CBD5" w:rsidR="005B14BF" w:rsidRPr="00CD503F" w:rsidRDefault="005B14BF" w:rsidP="00155715">
      <w:pPr>
        <w:pStyle w:val="Heading2"/>
        <w:jc w:val="both"/>
        <w:rPr>
          <w:szCs w:val="24"/>
          <w:lang w:val="es-ES"/>
        </w:rPr>
      </w:pPr>
      <w:r w:rsidRPr="00CD503F">
        <w:rPr>
          <w:szCs w:val="24"/>
          <w:lang w:val="es-ES"/>
        </w:rPr>
        <w:t>Metodología</w:t>
      </w:r>
      <w:r w:rsidR="00322626" w:rsidRPr="00CD503F">
        <w:rPr>
          <w:szCs w:val="24"/>
          <w:lang w:val="es-ES"/>
        </w:rPr>
        <w:t xml:space="preserve"> e identificaci</w:t>
      </w:r>
      <w:r w:rsidR="00D4497C" w:rsidRPr="00CD503F">
        <w:rPr>
          <w:szCs w:val="24"/>
          <w:lang w:val="es-ES"/>
        </w:rPr>
        <w:t>ón</w:t>
      </w:r>
    </w:p>
    <w:p w14:paraId="6D86EDBB" w14:textId="77777777" w:rsidR="003D2F7B" w:rsidRPr="00CD503F" w:rsidRDefault="003D2F7B" w:rsidP="00155715">
      <w:pPr>
        <w:jc w:val="both"/>
        <w:rPr>
          <w:lang w:val="es-ES"/>
        </w:rPr>
      </w:pPr>
    </w:p>
    <w:p w14:paraId="1C6C0030" w14:textId="6B49FB4B" w:rsidR="00D2451D" w:rsidRPr="00CD503F" w:rsidRDefault="00D2451D" w:rsidP="00155715">
      <w:pPr>
        <w:jc w:val="both"/>
        <w:rPr>
          <w:lang w:val="es-ES"/>
        </w:rPr>
      </w:pPr>
      <w:r w:rsidRPr="00CD503F">
        <w:rPr>
          <w:lang w:val="es-ES"/>
        </w:rPr>
        <w:t>Para el objetivo de este estudio, se utiliza</w:t>
      </w:r>
      <w:r w:rsidR="005158CD">
        <w:rPr>
          <w:lang w:val="es-ES"/>
        </w:rPr>
        <w:t>n</w:t>
      </w:r>
      <w:r w:rsidRPr="00CD503F">
        <w:rPr>
          <w:lang w:val="es-ES"/>
        </w:rPr>
        <w:t xml:space="preserve"> tres modelos de evaluación de impacto: el modelo de mínimos cuadrados ordinarios agrupados (POLS), el modelo de diferencias en diferencias (DID) y el modelo de DID con emparejamiento por puntaje de propensión (PSM). Estos modelos permiten estimar el efecto causal de los </w:t>
      </w:r>
      <w:proofErr w:type="spellStart"/>
      <w:r w:rsidRPr="00CD503F">
        <w:rPr>
          <w:lang w:val="es-ES"/>
        </w:rPr>
        <w:t>ADTs</w:t>
      </w:r>
      <w:proofErr w:type="spellEnd"/>
      <w:r w:rsidRPr="00CD503F">
        <w:rPr>
          <w:lang w:val="es-ES"/>
        </w:rPr>
        <w:t xml:space="preserve">, controlando por posibles factores de confusión y heterogeneidad entre los grupos de tratamiento y control. La comparación de los resultados obtenidos con los tres modelos permitirá identificar </w:t>
      </w:r>
      <w:r w:rsidR="00190ACF" w:rsidRPr="00CD503F">
        <w:rPr>
          <w:lang w:val="es-ES"/>
        </w:rPr>
        <w:t xml:space="preserve">la </w:t>
      </w:r>
      <w:r w:rsidRPr="00CD503F">
        <w:rPr>
          <w:lang w:val="es-ES"/>
        </w:rPr>
        <w:t xml:space="preserve">consistencia </w:t>
      </w:r>
      <w:r w:rsidR="00190ACF" w:rsidRPr="00CD503F">
        <w:rPr>
          <w:lang w:val="es-ES"/>
        </w:rPr>
        <w:t xml:space="preserve">de los resultados </w:t>
      </w:r>
      <w:r w:rsidRPr="00CD503F">
        <w:rPr>
          <w:lang w:val="es-ES"/>
        </w:rPr>
        <w:t>y</w:t>
      </w:r>
      <w:r w:rsidR="00190ACF" w:rsidRPr="00CD503F">
        <w:rPr>
          <w:lang w:val="es-ES"/>
        </w:rPr>
        <w:t xml:space="preserve"> la</w:t>
      </w:r>
      <w:r w:rsidRPr="00CD503F">
        <w:rPr>
          <w:lang w:val="es-ES"/>
        </w:rPr>
        <w:t xml:space="preserve"> alineación entre ellos, </w:t>
      </w:r>
      <w:r w:rsidR="00AB0E86" w:rsidRPr="00CD503F">
        <w:rPr>
          <w:lang w:val="es-ES"/>
        </w:rPr>
        <w:t xml:space="preserve">de esta forma, se obtendrá </w:t>
      </w:r>
      <w:r w:rsidRPr="00CD503F">
        <w:rPr>
          <w:lang w:val="es-ES"/>
        </w:rPr>
        <w:t>un análisis más completo y robusto del impacto de la intervención.</w:t>
      </w:r>
    </w:p>
    <w:p w14:paraId="1B58100A" w14:textId="77777777" w:rsidR="00D2451D" w:rsidRPr="00CD503F" w:rsidRDefault="00D2451D" w:rsidP="00155715">
      <w:pPr>
        <w:jc w:val="both"/>
        <w:rPr>
          <w:lang w:val="es-ES"/>
        </w:rPr>
      </w:pPr>
    </w:p>
    <w:p w14:paraId="450EBBDA" w14:textId="77777777" w:rsidR="004D3BA6" w:rsidRPr="00CD503F" w:rsidRDefault="004D3BA6" w:rsidP="00155715">
      <w:pPr>
        <w:pStyle w:val="Heading3"/>
        <w:ind w:firstLine="708"/>
        <w:jc w:val="both"/>
        <w:rPr>
          <w:lang w:val="es-ES"/>
        </w:rPr>
      </w:pPr>
      <w:bookmarkStart w:id="2" w:name="_Toc135999378"/>
      <w:r w:rsidRPr="00CD503F">
        <w:rPr>
          <w:lang w:val="es-ES"/>
        </w:rPr>
        <w:t>Modelo POLS</w:t>
      </w:r>
      <w:bookmarkEnd w:id="2"/>
    </w:p>
    <w:p w14:paraId="61496772" w14:textId="77777777" w:rsidR="004D3BA6" w:rsidRPr="00CD503F" w:rsidRDefault="004D3BA6" w:rsidP="00155715">
      <w:pPr>
        <w:jc w:val="both"/>
        <w:rPr>
          <w:lang w:val="es-ES"/>
        </w:rPr>
      </w:pPr>
    </w:p>
    <w:p w14:paraId="581264AB" w14:textId="13EB6A41" w:rsidR="004D3BA6" w:rsidRPr="005513D8" w:rsidRDefault="004D3BA6" w:rsidP="00155715">
      <w:pPr>
        <w:jc w:val="both"/>
        <w:rPr>
          <w:lang w:val="es-ES"/>
        </w:rPr>
      </w:pPr>
      <w:r w:rsidRPr="005513D8">
        <w:rPr>
          <w:lang w:val="es-ES"/>
        </w:rPr>
        <w:t xml:space="preserve">Mediante el uso de POLS, se busca estimar los coeficientes β que </w:t>
      </w:r>
      <w:r w:rsidR="00454273">
        <w:rPr>
          <w:lang w:val="es-ES"/>
        </w:rPr>
        <w:t xml:space="preserve">buscan </w:t>
      </w:r>
      <w:r w:rsidRPr="005513D8">
        <w:rPr>
          <w:lang w:val="es-ES"/>
        </w:rPr>
        <w:t>cuantifica</w:t>
      </w:r>
      <w:r w:rsidR="00454273">
        <w:rPr>
          <w:lang w:val="es-ES"/>
        </w:rPr>
        <w:t>r</w:t>
      </w:r>
      <w:r w:rsidRPr="005513D8">
        <w:rPr>
          <w:lang w:val="es-ES"/>
        </w:rPr>
        <w:t xml:space="preserve"> el impacto de los </w:t>
      </w:r>
      <w:proofErr w:type="spellStart"/>
      <w:r w:rsidRPr="005513D8">
        <w:rPr>
          <w:lang w:val="es-ES"/>
        </w:rPr>
        <w:t>ADTs</w:t>
      </w:r>
      <w:proofErr w:type="spellEnd"/>
      <w:r w:rsidRPr="005513D8">
        <w:rPr>
          <w:lang w:val="es-ES"/>
        </w:rPr>
        <w:t xml:space="preserve">, el PIB, la inflación y la balanza comercial, entre otras variables de control, en el flujo de IED. Este enfoque permite controlar por las características observables de cada país y obtener estimaciones de los efectos promedio de las variables independientes </w:t>
      </w:r>
      <w:r w:rsidRPr="005513D8">
        <w:rPr>
          <w:lang w:val="es-ES"/>
        </w:rPr>
        <w:lastRenderedPageBreak/>
        <w:t>en el flujo de IED, considerando tanto las diferencias entre países como las variaciones a lo largo del tiempo.</w:t>
      </w:r>
    </w:p>
    <w:p w14:paraId="54ACCF4F" w14:textId="77777777" w:rsidR="004D3BA6" w:rsidRPr="005513D8" w:rsidRDefault="004D3BA6" w:rsidP="00155715">
      <w:pPr>
        <w:jc w:val="both"/>
        <w:rPr>
          <w:lang w:val="es-ES"/>
        </w:rPr>
      </w:pPr>
    </w:p>
    <w:p w14:paraId="0499E5B7" w14:textId="5263F811" w:rsidR="004D3BA6" w:rsidRPr="005513D8" w:rsidRDefault="004D3BA6" w:rsidP="00155715">
      <w:pPr>
        <w:jc w:val="both"/>
        <w:rPr>
          <w:lang w:val="es-ES"/>
        </w:rPr>
      </w:pPr>
      <w:r w:rsidRPr="005513D8">
        <w:rPr>
          <w:lang w:val="es-ES"/>
        </w:rPr>
        <w:t>Es importante tener en cuenta que los resultados obtenidos deben interpretarse en términos de asociaciones</w:t>
      </w:r>
      <w:r w:rsidR="00394C18">
        <w:rPr>
          <w:lang w:val="es-ES"/>
        </w:rPr>
        <w:t>,</w:t>
      </w:r>
      <w:r w:rsidRPr="005513D8">
        <w:rPr>
          <w:lang w:val="es-ES"/>
        </w:rPr>
        <w:t xml:space="preserve"> y no </w:t>
      </w:r>
      <w:r w:rsidR="00394C18">
        <w:rPr>
          <w:lang w:val="es-ES"/>
        </w:rPr>
        <w:t>de</w:t>
      </w:r>
      <w:r w:rsidRPr="005513D8">
        <w:rPr>
          <w:lang w:val="es-ES"/>
        </w:rPr>
        <w:t xml:space="preserve"> causalidad directa. Su especificación funcional se muestra a continuación.</w:t>
      </w:r>
    </w:p>
    <w:p w14:paraId="1F0E530E" w14:textId="77777777" w:rsidR="004D3BA6" w:rsidRPr="005513D8" w:rsidRDefault="004D3BA6" w:rsidP="00155715">
      <w:pPr>
        <w:tabs>
          <w:tab w:val="left" w:pos="1200"/>
        </w:tabs>
        <w:spacing w:before="196" w:line="242" w:lineRule="auto"/>
        <w:jc w:val="both"/>
        <w:rPr>
          <w:rFonts w:cstheme="minorHAnsi"/>
          <w:b/>
          <w:bCs/>
        </w:rPr>
      </w:pPr>
      <m:oMathPara>
        <m:oMath>
          <m:r>
            <w:rPr>
              <w:rFonts w:ascii="Cambria Math" w:hAnsi="Cambria Math" w:cstheme="minorHAnsi"/>
            </w:rPr>
            <m:t>Log IE</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it</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o</m:t>
              </m:r>
            </m:sub>
          </m:sSub>
          <m:r>
            <w:rPr>
              <w:rFonts w:ascii="Cambria Math" w:hAnsi="Cambria Math" w:cstheme="minorHAnsi"/>
            </w:rPr>
            <m:t>+</m:t>
          </m:r>
          <m:sSub>
            <m:sSubPr>
              <m:ctrlPr>
                <w:rPr>
                  <w:rFonts w:ascii="Cambria Math" w:eastAsia="Cambria Math" w:hAnsi="Cambria Math" w:cstheme="minorHAnsi"/>
                  <w:spacing w:val="-2"/>
                  <w:w w:val="105"/>
                  <w:vertAlign w:val="subscript"/>
                </w:rPr>
              </m:ctrlPr>
            </m:sSubPr>
            <m:e>
              <m:r>
                <m:rPr>
                  <m:sty m:val="p"/>
                </m:rPr>
                <w:rPr>
                  <w:rFonts w:ascii="Cambria Math" w:eastAsia="Cambria Math" w:hAnsi="Cambria Math" w:cstheme="minorHAnsi"/>
                  <w:spacing w:val="-2"/>
                  <w:w w:val="105"/>
                </w:rPr>
                <m:t>β</m:t>
              </m:r>
              <m:ctrlPr>
                <w:rPr>
                  <w:rFonts w:ascii="Cambria Math" w:eastAsia="Cambria Math" w:hAnsi="Cambria Math" w:cstheme="minorHAnsi"/>
                  <w:spacing w:val="-2"/>
                  <w:w w:val="105"/>
                </w:rPr>
              </m:ctrlPr>
            </m:e>
            <m:sub>
              <m:r>
                <m:rPr>
                  <m:sty m:val="p"/>
                </m:rPr>
                <w:rPr>
                  <w:rFonts w:ascii="Cambria Math" w:eastAsia="Cambria Math" w:hAnsi="Cambria Math" w:cstheme="minorHAnsi"/>
                  <w:spacing w:val="-2"/>
                  <w:w w:val="105"/>
                  <w:vertAlign w:val="subscript"/>
                </w:rPr>
                <m:t>1</m:t>
              </m:r>
            </m:sub>
          </m:sSub>
          <m:sSub>
            <m:sSubPr>
              <m:ctrlPr>
                <w:rPr>
                  <w:rFonts w:ascii="Cambria Math" w:eastAsia="Cambria Math" w:hAnsi="Cambria Math" w:cstheme="minorHAnsi"/>
                  <w:spacing w:val="-2"/>
                  <w:w w:val="105"/>
                </w:rPr>
              </m:ctrlPr>
            </m:sSubPr>
            <m:e>
              <m:r>
                <m:rPr>
                  <m:sty m:val="p"/>
                </m:rPr>
                <w:rPr>
                  <w:rFonts w:ascii="Cambria Math" w:eastAsia="Cambria Math" w:hAnsi="Cambria Math" w:cstheme="minorHAnsi"/>
                  <w:spacing w:val="-2"/>
                  <w:w w:val="105"/>
                </w:rPr>
                <m:t>ADT</m:t>
              </m:r>
            </m:e>
            <m:sub>
              <m:r>
                <m:rPr>
                  <m:sty m:val="p"/>
                </m:rPr>
                <w:rPr>
                  <w:rFonts w:ascii="Cambria Math" w:eastAsia="Cambria Math" w:hAnsi="Cambria Math" w:cstheme="minorHAnsi"/>
                  <w:spacing w:val="-2"/>
                  <w:w w:val="105"/>
                  <w:vertAlign w:val="subscript"/>
                </w:rPr>
                <m:t>it</m:t>
              </m:r>
            </m:sub>
          </m:sSub>
          <m:r>
            <m:rPr>
              <m:sty m:val="p"/>
            </m:rPr>
            <w:rPr>
              <w:rFonts w:ascii="Cambria Math" w:eastAsia="Cambria Math" w:hAnsi="Cambria Math" w:cstheme="minorHAnsi"/>
              <w:spacing w:val="-2"/>
              <w:w w:val="105"/>
            </w:rPr>
            <m:t>+</m:t>
          </m:r>
          <m:sSub>
            <m:sSubPr>
              <m:ctrlPr>
                <w:rPr>
                  <w:rFonts w:ascii="Cambria Math" w:eastAsia="Cambria Math" w:hAnsi="Cambria Math" w:cstheme="minorHAnsi"/>
                  <w:spacing w:val="-2"/>
                  <w:w w:val="105"/>
                </w:rPr>
              </m:ctrlPr>
            </m:sSubPr>
            <m:e>
              <m:r>
                <m:rPr>
                  <m:sty m:val="p"/>
                </m:rPr>
                <w:rPr>
                  <w:rFonts w:ascii="Cambria Math" w:eastAsia="Cambria Math" w:hAnsi="Cambria Math" w:cstheme="minorHAnsi"/>
                  <w:spacing w:val="-2"/>
                  <w:w w:val="105"/>
                </w:rPr>
                <m:t>β</m:t>
              </m:r>
              <m:ctrlPr>
                <w:rPr>
                  <w:rFonts w:ascii="Cambria Math" w:eastAsia="Cambria Math" w:hAnsi="Cambria Math" w:cstheme="minorHAnsi"/>
                  <w:spacing w:val="-12"/>
                  <w:w w:val="105"/>
                </w:rPr>
              </m:ctrlPr>
            </m:e>
            <m:sub>
              <m:r>
                <m:rPr>
                  <m:sty m:val="p"/>
                </m:rPr>
                <w:rPr>
                  <w:rFonts w:ascii="Cambria Math" w:eastAsia="Cambria Math" w:hAnsi="Cambria Math" w:cstheme="minorHAnsi"/>
                  <w:spacing w:val="-2"/>
                  <w:w w:val="105"/>
                  <w:vertAlign w:val="subscript"/>
                </w:rPr>
                <m:t>3</m:t>
              </m:r>
            </m:sub>
          </m:sSub>
          <m:sSub>
            <m:sSubPr>
              <m:ctrlPr>
                <w:rPr>
                  <w:rFonts w:ascii="Cambria Math" w:eastAsia="Cambria Math" w:hAnsi="Cambria Math" w:cstheme="minorHAnsi"/>
                  <w:spacing w:val="-5"/>
                  <w:w w:val="105"/>
                </w:rPr>
              </m:ctrlPr>
            </m:sSubPr>
            <m:e>
              <m:r>
                <m:rPr>
                  <m:sty m:val="p"/>
                </m:rPr>
                <w:rPr>
                  <w:rFonts w:ascii="Cambria Math" w:eastAsia="Cambria Math" w:hAnsi="Cambria Math" w:cstheme="minorHAnsi"/>
                  <w:spacing w:val="-5"/>
                  <w:w w:val="105"/>
                </w:rPr>
                <m:t>X</m:t>
              </m:r>
            </m:e>
            <m:sub>
              <m:r>
                <m:rPr>
                  <m:sty m:val="p"/>
                </m:rPr>
                <w:rPr>
                  <w:rFonts w:ascii="Cambria Math" w:eastAsia="Cambria Math" w:hAnsi="Cambria Math" w:cstheme="minorHAnsi"/>
                  <w:spacing w:val="-5"/>
                  <w:w w:val="105"/>
                </w:rPr>
                <m:t>it</m:t>
              </m:r>
            </m:sub>
          </m:sSub>
          <m:r>
            <m:rPr>
              <m:sty m:val="p"/>
            </m:rPr>
            <w:rPr>
              <w:rFonts w:ascii="Cambria Math" w:eastAsia="Cambria Math" w:hAnsi="Cambria Math" w:cstheme="minorHAnsi"/>
              <w:spacing w:val="-5"/>
              <w:w w:val="105"/>
            </w:rPr>
            <m:t xml:space="preserve"> </m:t>
          </m:r>
          <m:r>
            <m:rPr>
              <m:sty m:val="p"/>
            </m:rPr>
            <w:rPr>
              <w:rFonts w:ascii="Cambria Math" w:eastAsia="Cambria Math" w:hAnsi="Cambria Math" w:cstheme="minorHAnsi"/>
              <w:spacing w:val="-4"/>
              <w:w w:val="105"/>
            </w:rPr>
            <m:t>+</m:t>
          </m:r>
          <m:sSub>
            <m:sSubPr>
              <m:ctrlPr>
                <w:rPr>
                  <w:rFonts w:ascii="Cambria Math" w:eastAsia="Cambria Math" w:hAnsi="Cambria Math" w:cstheme="minorHAnsi"/>
                  <w:spacing w:val="-4"/>
                  <w:w w:val="105"/>
                </w:rPr>
              </m:ctrlPr>
            </m:sSubPr>
            <m:e>
              <m:r>
                <m:rPr>
                  <m:sty m:val="p"/>
                </m:rPr>
                <w:rPr>
                  <w:rFonts w:ascii="Cambria Math" w:eastAsia="Cambria Math" w:hAnsi="Cambria Math"/>
                  <w:spacing w:val="-4"/>
                  <w:w w:val="105"/>
                </w:rPr>
                <m:t>ξ</m:t>
              </m:r>
            </m:e>
            <m:sub>
              <m:r>
                <m:rPr>
                  <m:sty m:val="p"/>
                </m:rPr>
                <w:rPr>
                  <w:rFonts w:ascii="Cambria Math" w:eastAsia="Cambria Math" w:hAnsi="Cambria Math" w:cstheme="minorHAnsi"/>
                  <w:spacing w:val="-4"/>
                  <w:w w:val="105"/>
                  <w:vertAlign w:val="subscript"/>
                </w:rPr>
                <m:t>it</m:t>
              </m:r>
            </m:sub>
          </m:sSub>
        </m:oMath>
      </m:oMathPara>
    </w:p>
    <w:p w14:paraId="0395150F" w14:textId="77777777" w:rsidR="004D3BA6" w:rsidRPr="005513D8" w:rsidRDefault="004D3BA6" w:rsidP="00155715">
      <w:pPr>
        <w:pStyle w:val="BodyText"/>
        <w:spacing w:before="201"/>
        <w:jc w:val="both"/>
        <w:rPr>
          <w:rFonts w:ascii="Garamond" w:hAnsi="Garamond" w:cstheme="minorHAnsi"/>
        </w:rPr>
      </w:pPr>
    </w:p>
    <w:p w14:paraId="0955932E" w14:textId="77777777" w:rsidR="004D3BA6" w:rsidRPr="005513D8" w:rsidRDefault="004D3BA6" w:rsidP="00155715">
      <w:pPr>
        <w:pStyle w:val="BodyText"/>
        <w:spacing w:before="201"/>
        <w:ind w:firstLine="705"/>
        <w:jc w:val="both"/>
        <w:rPr>
          <w:rFonts w:ascii="Garamond" w:hAnsi="Garamond" w:cstheme="minorHAnsi"/>
          <w:b/>
          <w:bCs/>
        </w:rPr>
      </w:pPr>
      <w:r w:rsidRPr="005513D8">
        <w:rPr>
          <w:rFonts w:ascii="Garamond" w:hAnsi="Garamond" w:cstheme="minorHAnsi"/>
        </w:rPr>
        <w:t>Donde</w:t>
      </w:r>
      <w:r w:rsidRPr="005513D8">
        <w:rPr>
          <w:rFonts w:ascii="Garamond" w:hAnsi="Garamond" w:cstheme="minorHAnsi"/>
          <w:b/>
          <w:bCs/>
        </w:rPr>
        <w:t xml:space="preserve">: </w:t>
      </w:r>
    </w:p>
    <w:p w14:paraId="32FBFE10" w14:textId="77777777" w:rsidR="004D3BA6" w:rsidRPr="005513D8" w:rsidRDefault="004D3BA6" w:rsidP="00072310">
      <w:pPr>
        <w:pStyle w:val="BodyText"/>
        <w:numPr>
          <w:ilvl w:val="0"/>
          <w:numId w:val="31"/>
        </w:numPr>
        <w:spacing w:before="201"/>
        <w:jc w:val="both"/>
        <w:rPr>
          <w:rFonts w:ascii="Garamond" w:hAnsi="Garamond" w:cstheme="minorHAnsi"/>
        </w:rPr>
      </w:pPr>
      <m:oMath>
        <m:r>
          <m:rPr>
            <m:sty m:val="bi"/>
          </m:rPr>
          <w:rPr>
            <w:rFonts w:ascii="Cambria Math" w:hAnsi="Cambria Math" w:cstheme="minorHAnsi"/>
          </w:rPr>
          <m:t>IE</m:t>
        </m:r>
        <m:sSub>
          <m:sSubPr>
            <m:ctrlPr>
              <w:rPr>
                <w:rFonts w:ascii="Cambria Math" w:hAnsi="Cambria Math" w:cstheme="minorHAnsi"/>
                <w:b/>
                <w:bCs/>
                <w:i/>
              </w:rPr>
            </m:ctrlPr>
          </m:sSubPr>
          <m:e>
            <m:r>
              <m:rPr>
                <m:sty m:val="bi"/>
              </m:rPr>
              <w:rPr>
                <w:rFonts w:ascii="Cambria Math" w:hAnsi="Cambria Math" w:cstheme="minorHAnsi"/>
              </w:rPr>
              <m:t>D</m:t>
            </m:r>
          </m:e>
          <m:sub>
            <m:r>
              <m:rPr>
                <m:sty m:val="bi"/>
              </m:rPr>
              <w:rPr>
                <w:rFonts w:ascii="Cambria Math" w:hAnsi="Cambria Math" w:cstheme="minorHAnsi"/>
              </w:rPr>
              <m:t>it</m:t>
            </m:r>
          </m:sub>
        </m:sSub>
      </m:oMath>
      <w:r w:rsidRPr="005513D8">
        <w:rPr>
          <w:rFonts w:ascii="Garamond" w:hAnsi="Garamond" w:cstheme="minorHAnsi"/>
          <w:b/>
          <w:bCs/>
        </w:rPr>
        <w:t>:</w:t>
      </w:r>
      <w:r w:rsidRPr="005513D8">
        <w:rPr>
          <w:rFonts w:ascii="Garamond" w:hAnsi="Garamond" w:cstheme="minorHAnsi"/>
        </w:rPr>
        <w:t xml:space="preserve"> Flujos de entrada de IED hacia Colombia. Información proveniente de la página oficial del Banco de la República.</w:t>
      </w:r>
    </w:p>
    <w:p w14:paraId="084E880E" w14:textId="77777777" w:rsidR="004D3BA6" w:rsidRPr="005513D8" w:rsidRDefault="00540F24" w:rsidP="00072310">
      <w:pPr>
        <w:pStyle w:val="BodyText"/>
        <w:numPr>
          <w:ilvl w:val="0"/>
          <w:numId w:val="31"/>
        </w:numPr>
        <w:spacing w:before="201"/>
        <w:jc w:val="both"/>
        <w:rPr>
          <w:rFonts w:ascii="Garamond" w:hAnsi="Garamond" w:cstheme="minorBidi"/>
        </w:rPr>
      </w:pPr>
      <m:oMath>
        <m:sSub>
          <m:sSubPr>
            <m:ctrlPr>
              <w:rPr>
                <w:rFonts w:ascii="Cambria Math" w:eastAsia="Cambria Math" w:hAnsi="Cambria Math" w:cstheme="minorHAnsi"/>
                <w:b/>
                <w:bCs/>
                <w:spacing w:val="-2"/>
                <w:w w:val="105"/>
              </w:rPr>
            </m:ctrlPr>
          </m:sSubPr>
          <m:e>
            <m:r>
              <m:rPr>
                <m:sty m:val="b"/>
              </m:rPr>
              <w:rPr>
                <w:rFonts w:ascii="Cambria Math" w:eastAsia="Cambria Math" w:hAnsi="Cambria Math" w:cstheme="minorHAnsi"/>
                <w:spacing w:val="-2"/>
                <w:w w:val="105"/>
              </w:rPr>
              <m:t>ADT</m:t>
            </m:r>
          </m:e>
          <m:sub>
            <m:r>
              <m:rPr>
                <m:sty m:val="b"/>
              </m:rPr>
              <w:rPr>
                <w:rFonts w:ascii="Cambria Math" w:eastAsia="Cambria Math" w:hAnsi="Cambria Math" w:cstheme="minorHAnsi"/>
                <w:spacing w:val="-2"/>
                <w:w w:val="105"/>
                <w:vertAlign w:val="subscript"/>
              </w:rPr>
              <m:t>it</m:t>
            </m:r>
          </m:sub>
        </m:sSub>
      </m:oMath>
      <w:r w:rsidR="004D3BA6" w:rsidRPr="005513D8">
        <w:rPr>
          <w:rFonts w:ascii="Garamond" w:hAnsi="Garamond" w:cstheme="minorBidi"/>
          <w:b/>
          <w:bCs/>
        </w:rPr>
        <w:t>:</w:t>
      </w:r>
      <w:r w:rsidR="004D3BA6" w:rsidRPr="005513D8">
        <w:rPr>
          <w:rFonts w:ascii="Garamond" w:hAnsi="Garamond" w:cstheme="minorBidi"/>
        </w:rPr>
        <w:t xml:space="preserve"> Variable dummy en donde se identifica si el país tiene o no un acuerdo de doble tributación en un momento dado. Información proveniente de la página del Banco de la República y la Dirección de Impuestos y Aduanas Nacionales (DIAN).</w:t>
      </w:r>
    </w:p>
    <w:p w14:paraId="47C62534" w14:textId="2B94C98F" w:rsidR="004D3BA6" w:rsidRPr="005513D8" w:rsidRDefault="00540F24" w:rsidP="00072310">
      <w:pPr>
        <w:pStyle w:val="BodyText"/>
        <w:numPr>
          <w:ilvl w:val="0"/>
          <w:numId w:val="31"/>
        </w:numPr>
        <w:spacing w:before="201"/>
        <w:jc w:val="both"/>
        <w:rPr>
          <w:rFonts w:ascii="Garamond" w:hAnsi="Garamond" w:cstheme="minorBidi"/>
          <w:b/>
          <w:bCs/>
          <w:spacing w:val="-5"/>
          <w:w w:val="105"/>
        </w:rPr>
      </w:pPr>
      <m:oMath>
        <m:sSub>
          <m:sSubPr>
            <m:ctrlPr>
              <w:rPr>
                <w:rFonts w:ascii="Cambria Math" w:eastAsia="Cambria Math" w:hAnsi="Cambria Math" w:cstheme="minorHAnsi"/>
                <w:b/>
                <w:bCs/>
                <w:spacing w:val="-5"/>
                <w:w w:val="105"/>
              </w:rPr>
            </m:ctrlPr>
          </m:sSubPr>
          <m:e>
            <m:r>
              <m:rPr>
                <m:sty m:val="b"/>
              </m:rPr>
              <w:rPr>
                <w:rFonts w:ascii="Cambria Math" w:eastAsia="Cambria Math" w:hAnsi="Cambria Math" w:cstheme="minorHAnsi"/>
                <w:spacing w:val="-5"/>
                <w:w w:val="105"/>
              </w:rPr>
              <m:t>X</m:t>
            </m:r>
          </m:e>
          <m:sub>
            <m:r>
              <m:rPr>
                <m:sty m:val="b"/>
              </m:rPr>
              <w:rPr>
                <w:rFonts w:ascii="Cambria Math" w:eastAsia="Cambria Math" w:hAnsi="Cambria Math" w:cstheme="minorHAnsi"/>
                <w:spacing w:val="-5"/>
                <w:w w:val="105"/>
              </w:rPr>
              <m:t>it</m:t>
            </m:r>
          </m:sub>
        </m:sSub>
      </m:oMath>
      <w:r w:rsidR="004D3BA6" w:rsidRPr="005513D8">
        <w:rPr>
          <w:rFonts w:ascii="Garamond" w:hAnsi="Garamond" w:cstheme="minorBidi"/>
          <w:b/>
          <w:bCs/>
          <w:spacing w:val="-5"/>
          <w:w w:val="105"/>
        </w:rPr>
        <w:t>:</w:t>
      </w:r>
      <w:r w:rsidR="004D3BA6" w:rsidRPr="005513D8">
        <w:rPr>
          <w:rFonts w:ascii="Garamond" w:hAnsi="Garamond"/>
        </w:rPr>
        <w:t xml:space="preserve"> </w:t>
      </w:r>
      <w:r w:rsidR="004D3BA6" w:rsidRPr="005513D8">
        <w:rPr>
          <w:rFonts w:ascii="Garamond" w:hAnsi="Garamond" w:cstheme="minorBidi"/>
        </w:rPr>
        <w:t>Representa un vector de variables independientes, que incluye el PIB de cada país, la inflación</w:t>
      </w:r>
      <w:r w:rsidR="0039764E" w:rsidRPr="005513D8">
        <w:rPr>
          <w:rFonts w:ascii="Garamond" w:hAnsi="Garamond" w:cstheme="minorBidi"/>
        </w:rPr>
        <w:t xml:space="preserve">, </w:t>
      </w:r>
      <w:r w:rsidR="004D3BA6" w:rsidRPr="005513D8">
        <w:rPr>
          <w:rFonts w:ascii="Garamond" w:hAnsi="Garamond" w:cstheme="minorBidi"/>
        </w:rPr>
        <w:t>la balanza comercial,</w:t>
      </w:r>
      <w:r w:rsidR="003801C2" w:rsidRPr="005513D8">
        <w:rPr>
          <w:rFonts w:ascii="Garamond" w:hAnsi="Garamond" w:cstheme="minorBidi"/>
        </w:rPr>
        <w:t xml:space="preserve"> </w:t>
      </w:r>
      <w:r w:rsidR="00944477" w:rsidRPr="005513D8">
        <w:rPr>
          <w:rFonts w:ascii="Garamond" w:hAnsi="Garamond" w:cstheme="minorBidi"/>
        </w:rPr>
        <w:t xml:space="preserve">la diferencia en el impuesto de renta entre </w:t>
      </w:r>
      <w:r w:rsidR="003761D6">
        <w:rPr>
          <w:rFonts w:ascii="Garamond" w:hAnsi="Garamond" w:cstheme="minorBidi"/>
        </w:rPr>
        <w:t>el país</w:t>
      </w:r>
      <w:r w:rsidR="00944477" w:rsidRPr="005513D8">
        <w:rPr>
          <w:rFonts w:ascii="Garamond" w:hAnsi="Garamond" w:cstheme="minorBidi"/>
        </w:rPr>
        <w:t xml:space="preserve"> </w:t>
      </w:r>
      <w:r w:rsidR="003761D6">
        <w:rPr>
          <w:rFonts w:ascii="Garamond" w:hAnsi="Garamond" w:cstheme="minorBidi"/>
        </w:rPr>
        <w:t xml:space="preserve">i </w:t>
      </w:r>
      <w:r w:rsidR="00944477" w:rsidRPr="005513D8">
        <w:rPr>
          <w:rFonts w:ascii="Garamond" w:hAnsi="Garamond" w:cstheme="minorBidi"/>
        </w:rPr>
        <w:t xml:space="preserve">y </w:t>
      </w:r>
      <w:r w:rsidR="003761D6">
        <w:rPr>
          <w:rFonts w:ascii="Garamond" w:hAnsi="Garamond" w:cstheme="minorBidi"/>
        </w:rPr>
        <w:t>Colombia</w:t>
      </w:r>
      <w:r w:rsidR="00944477" w:rsidRPr="005513D8">
        <w:rPr>
          <w:rFonts w:ascii="Garamond" w:hAnsi="Garamond" w:cstheme="minorBidi"/>
        </w:rPr>
        <w:t>, Acuerdos de protección a inversión,</w:t>
      </w:r>
      <w:r w:rsidR="004D3BA6" w:rsidRPr="005513D8">
        <w:rPr>
          <w:rFonts w:ascii="Garamond" w:hAnsi="Garamond" w:cstheme="minorBidi"/>
        </w:rPr>
        <w:t xml:space="preserve"> entre otros.</w:t>
      </w:r>
      <w:r w:rsidR="004D3BA6" w:rsidRPr="005513D8">
        <w:rPr>
          <w:rFonts w:ascii="Garamond" w:hAnsi="Garamond" w:cstheme="minorBidi"/>
          <w:b/>
          <w:bCs/>
          <w:spacing w:val="-5"/>
          <w:w w:val="105"/>
        </w:rPr>
        <w:t xml:space="preserve"> </w:t>
      </w:r>
    </w:p>
    <w:p w14:paraId="178E0480" w14:textId="77777777" w:rsidR="004D3BA6" w:rsidRPr="005513D8" w:rsidRDefault="00540F24" w:rsidP="00072310">
      <w:pPr>
        <w:pStyle w:val="BodyText"/>
        <w:numPr>
          <w:ilvl w:val="0"/>
          <w:numId w:val="31"/>
        </w:numPr>
        <w:spacing w:before="201"/>
        <w:jc w:val="both"/>
        <w:rPr>
          <w:rFonts w:ascii="Garamond" w:hAnsi="Garamond" w:cstheme="minorBidi"/>
          <w:b/>
          <w:bCs/>
        </w:rPr>
      </w:pPr>
      <m:oMath>
        <m:sSub>
          <m:sSubPr>
            <m:ctrlPr>
              <w:rPr>
                <w:rFonts w:ascii="Cambria Math" w:eastAsia="Cambria Math" w:hAnsi="Cambria Math" w:cstheme="minorHAnsi"/>
                <w:b/>
                <w:bCs/>
                <w:spacing w:val="-4"/>
                <w:w w:val="105"/>
              </w:rPr>
            </m:ctrlPr>
          </m:sSubPr>
          <m:e>
            <m:r>
              <m:rPr>
                <m:sty m:val="p"/>
              </m:rPr>
              <w:rPr>
                <w:rFonts w:ascii="Cambria Math" w:eastAsia="Cambria Math" w:hAnsi="Cambria Math"/>
                <w:spacing w:val="-4"/>
                <w:w w:val="105"/>
              </w:rPr>
              <m:t>ξ</m:t>
            </m:r>
          </m:e>
          <m:sub>
            <m:r>
              <m:rPr>
                <m:sty m:val="b"/>
              </m:rPr>
              <w:rPr>
                <w:rFonts w:ascii="Cambria Math" w:eastAsia="Cambria Math" w:hAnsi="Cambria Math" w:cstheme="minorHAnsi"/>
                <w:spacing w:val="-4"/>
                <w:w w:val="105"/>
                <w:vertAlign w:val="subscript"/>
              </w:rPr>
              <m:t>it</m:t>
            </m:r>
          </m:sub>
        </m:sSub>
      </m:oMath>
      <w:r w:rsidR="004D3BA6" w:rsidRPr="005513D8">
        <w:rPr>
          <w:rFonts w:ascii="Garamond" w:hAnsi="Garamond" w:cstheme="minorBidi"/>
          <w:b/>
          <w:bCs/>
          <w:spacing w:val="-5"/>
          <w:w w:val="105"/>
        </w:rPr>
        <w:t xml:space="preserve">. </w:t>
      </w:r>
      <w:r w:rsidR="004D3BA6" w:rsidRPr="005513D8">
        <w:rPr>
          <w:rFonts w:ascii="Garamond" w:hAnsi="Garamond" w:cstheme="minorBidi"/>
          <w:spacing w:val="-5"/>
          <w:w w:val="105"/>
        </w:rPr>
        <w:t>es el término de error, que recoge otros factores no observados y el ruido aleatorio en el modelo.</w:t>
      </w:r>
    </w:p>
    <w:p w14:paraId="3E4F565A" w14:textId="77777777" w:rsidR="004D3BA6" w:rsidRPr="005513D8" w:rsidRDefault="004D3BA6" w:rsidP="00155715">
      <w:pPr>
        <w:jc w:val="both"/>
        <w:rPr>
          <w:rFonts w:eastAsia="Calibri" w:cstheme="minorHAnsi"/>
          <w:lang w:val="es-ES"/>
        </w:rPr>
      </w:pPr>
    </w:p>
    <w:p w14:paraId="04B088D9" w14:textId="77777777" w:rsidR="004D3BA6" w:rsidRPr="00CD503F" w:rsidRDefault="004D3BA6" w:rsidP="00155715">
      <w:pPr>
        <w:pStyle w:val="Heading3"/>
        <w:ind w:firstLine="360"/>
        <w:jc w:val="both"/>
        <w:rPr>
          <w:lang w:val="es-ES"/>
        </w:rPr>
      </w:pPr>
      <w:bookmarkStart w:id="3" w:name="_Toc135999379"/>
      <w:r w:rsidRPr="00CD503F">
        <w:rPr>
          <w:lang w:val="es-ES"/>
        </w:rPr>
        <w:t>Modelo DID</w:t>
      </w:r>
      <w:bookmarkEnd w:id="3"/>
    </w:p>
    <w:p w14:paraId="037EB19F" w14:textId="77777777" w:rsidR="004D3BA6" w:rsidRPr="00CD503F" w:rsidRDefault="004D3BA6" w:rsidP="00155715">
      <w:pPr>
        <w:jc w:val="both"/>
        <w:rPr>
          <w:lang w:val="es-ES"/>
        </w:rPr>
      </w:pPr>
    </w:p>
    <w:p w14:paraId="2E70CA80" w14:textId="77777777" w:rsidR="004D3BA6" w:rsidRPr="005513D8" w:rsidRDefault="004D3BA6" w:rsidP="00155715">
      <w:pPr>
        <w:jc w:val="both"/>
        <w:rPr>
          <w:lang w:val="es-ES"/>
        </w:rPr>
      </w:pPr>
      <w:r w:rsidRPr="005513D8">
        <w:rPr>
          <w:lang w:val="es-ES"/>
        </w:rPr>
        <w:t xml:space="preserve">Para abordar el impacto causal de los </w:t>
      </w:r>
      <w:proofErr w:type="spellStart"/>
      <w:r w:rsidRPr="005513D8">
        <w:rPr>
          <w:lang w:val="es-ES"/>
        </w:rPr>
        <w:t>ADTs</w:t>
      </w:r>
      <w:proofErr w:type="spellEnd"/>
      <w:r w:rsidRPr="005513D8">
        <w:rPr>
          <w:lang w:val="es-ES"/>
        </w:rPr>
        <w:t xml:space="preserve"> en el flujo de IED, en este punto se utilizará el enfoque de Diferencias en Diferencias (DID). Este método permite comparar los cambios en el flujo de IED antes y después de la implementación de los </w:t>
      </w:r>
      <w:proofErr w:type="spellStart"/>
      <w:r w:rsidRPr="005513D8">
        <w:rPr>
          <w:lang w:val="es-ES"/>
        </w:rPr>
        <w:t>ADTs</w:t>
      </w:r>
      <w:proofErr w:type="spellEnd"/>
      <w:r w:rsidRPr="005513D8">
        <w:rPr>
          <w:lang w:val="es-ES"/>
        </w:rPr>
        <w:t xml:space="preserve"> en los países que los adoptan (tratados) con los cambios en los países que no los adoptan (no tratados).</w:t>
      </w:r>
    </w:p>
    <w:p w14:paraId="38154AA5" w14:textId="77777777" w:rsidR="004D3BA6" w:rsidRPr="005513D8" w:rsidRDefault="004D3BA6" w:rsidP="00155715">
      <w:pPr>
        <w:jc w:val="both"/>
        <w:rPr>
          <w:lang w:val="es-ES"/>
        </w:rPr>
      </w:pPr>
    </w:p>
    <w:p w14:paraId="23DD73FC" w14:textId="77777777" w:rsidR="004D3BA6" w:rsidRPr="005513D8" w:rsidRDefault="004D3BA6" w:rsidP="00155715">
      <w:pPr>
        <w:jc w:val="both"/>
        <w:rPr>
          <w:lang w:val="es-ES"/>
        </w:rPr>
      </w:pPr>
      <w:r w:rsidRPr="005513D8">
        <w:rPr>
          <w:lang w:val="es-ES"/>
        </w:rPr>
        <w:t xml:space="preserve">Mediante el uso del enfoque DID, se busca estimar el coeficiente </w:t>
      </w:r>
      <m:oMath>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oMath>
      <w:r w:rsidRPr="005513D8">
        <w:rPr>
          <w:lang w:val="es-ES"/>
        </w:rPr>
        <w:t xml:space="preserve"> que representa el impacto causal de los </w:t>
      </w:r>
      <w:proofErr w:type="spellStart"/>
      <w:r w:rsidRPr="005513D8">
        <w:rPr>
          <w:lang w:val="es-ES"/>
        </w:rPr>
        <w:t>ADTs</w:t>
      </w:r>
      <w:proofErr w:type="spellEnd"/>
      <w:r w:rsidRPr="005513D8">
        <w:rPr>
          <w:lang w:val="es-ES"/>
        </w:rPr>
        <w:t xml:space="preserve"> en el flujo de IED, controlando por otras variables independientes y teniendo en cuenta los efectos fijos a nivel país y de tiempo. La inclusión de los efectos fijos permite controlar por las características específicas de cada país y las tendencias temporales que podrían afectar el flujo de IED. Su forma funcional se especifica a continuación.</w:t>
      </w:r>
    </w:p>
    <w:p w14:paraId="01B74E70" w14:textId="77777777" w:rsidR="004D3BA6" w:rsidRPr="005513D8" w:rsidRDefault="004D3BA6" w:rsidP="00155715">
      <w:pPr>
        <w:jc w:val="both"/>
        <w:rPr>
          <w:lang w:val="es-ES"/>
        </w:rPr>
      </w:pPr>
    </w:p>
    <w:p w14:paraId="7048C187" w14:textId="77777777" w:rsidR="004D3BA6" w:rsidRPr="005513D8" w:rsidRDefault="004D3BA6" w:rsidP="00155715">
      <w:pPr>
        <w:jc w:val="both"/>
        <w:rPr>
          <w:b/>
          <w:bCs/>
        </w:rPr>
      </w:pPr>
      <m:oMathPara>
        <m:oMath>
          <m:r>
            <w:rPr>
              <w:rFonts w:ascii="Cambria Math" w:hAnsi="Cambria Math"/>
            </w:rPr>
            <m:t>Log IE</m:t>
          </m:r>
          <m:sSub>
            <m:sSubPr>
              <m:ctrlPr>
                <w:rPr>
                  <w:rFonts w:ascii="Cambria Math" w:hAnsi="Cambria Math"/>
                  <w:i/>
                </w:rPr>
              </m:ctrlPr>
            </m:sSubPr>
            <m:e>
              <m:r>
                <w:rPr>
                  <w:rFonts w:ascii="Cambria Math" w:hAnsi="Cambria Math"/>
                </w:rPr>
                <m:t>D</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o</m:t>
              </m:r>
            </m:sub>
          </m:sSub>
          <m:r>
            <w:rPr>
              <w:rFonts w:ascii="Cambria Math" w:hAnsi="Cambria Math"/>
            </w:rPr>
            <m:t>+</m:t>
          </m:r>
          <m:sSub>
            <m:sSubPr>
              <m:ctrlPr>
                <w:rPr>
                  <w:rFonts w:ascii="Cambria Math" w:eastAsia="Cambria Math" w:hAnsi="Cambria Math"/>
                  <w:w w:val="105"/>
                  <w:vertAlign w:val="subscript"/>
                </w:rPr>
              </m:ctrlPr>
            </m:sSubPr>
            <m:e>
              <m:r>
                <m:rPr>
                  <m:sty m:val="p"/>
                </m:rPr>
                <w:rPr>
                  <w:rFonts w:ascii="Cambria Math" w:eastAsia="Cambria Math" w:hAnsi="Cambria Math"/>
                  <w:w w:val="105"/>
                </w:rPr>
                <m:t>β</m:t>
              </m:r>
              <m:ctrlPr>
                <w:rPr>
                  <w:rFonts w:ascii="Cambria Math" w:eastAsia="Cambria Math" w:hAnsi="Cambria Math"/>
                  <w:w w:val="105"/>
                </w:rPr>
              </m:ctrlPr>
            </m:e>
            <m:sub>
              <m:r>
                <m:rPr>
                  <m:sty m:val="p"/>
                </m:rPr>
                <w:rPr>
                  <w:rFonts w:ascii="Cambria Math" w:eastAsia="Cambria Math" w:hAnsi="Cambria Math"/>
                  <w:w w:val="105"/>
                  <w:vertAlign w:val="subscript"/>
                </w:rPr>
                <m:t>1</m:t>
              </m:r>
            </m:sub>
          </m:sSub>
          <m:sSub>
            <m:sSubPr>
              <m:ctrlPr>
                <w:rPr>
                  <w:rFonts w:ascii="Cambria Math" w:eastAsia="Cambria Math" w:hAnsi="Cambria Math"/>
                  <w:w w:val="105"/>
                </w:rPr>
              </m:ctrlPr>
            </m:sSubPr>
            <m:e>
              <m:r>
                <m:rPr>
                  <m:sty m:val="p"/>
                </m:rPr>
                <w:rPr>
                  <w:rFonts w:ascii="Cambria Math" w:eastAsia="Cambria Math" w:hAnsi="Cambria Math"/>
                  <w:w w:val="105"/>
                </w:rPr>
                <m:t>ADT</m:t>
              </m:r>
            </m:e>
            <m:sub>
              <m:r>
                <m:rPr>
                  <m:sty m:val="p"/>
                </m:rPr>
                <w:rPr>
                  <w:rFonts w:ascii="Cambria Math" w:eastAsia="Cambria Math" w:hAnsi="Cambria Math"/>
                  <w:w w:val="105"/>
                  <w:vertAlign w:val="subscript"/>
                </w:rPr>
                <m:t>it</m:t>
              </m:r>
            </m:sub>
          </m:sSub>
          <m:r>
            <w:rPr>
              <w:rFonts w:ascii="Cambria Math" w:hAnsi="Cambria Math"/>
            </w:rPr>
            <m:t>+</m:t>
          </m:r>
          <m:sSub>
            <m:sSubPr>
              <m:ctrlPr>
                <w:rPr>
                  <w:rFonts w:ascii="Cambria Math" w:eastAsia="Cambria Math" w:hAnsi="Cambria Math"/>
                  <w:w w:val="105"/>
                  <w:vertAlign w:val="subscript"/>
                </w:rPr>
              </m:ctrlPr>
            </m:sSubPr>
            <m:e>
              <m:r>
                <m:rPr>
                  <m:sty m:val="p"/>
                </m:rPr>
                <w:rPr>
                  <w:rFonts w:ascii="Cambria Math" w:eastAsia="Cambria Math" w:hAnsi="Cambria Math"/>
                  <w:w w:val="105"/>
                </w:rPr>
                <m:t>β</m:t>
              </m:r>
              <m:ctrlPr>
                <w:rPr>
                  <w:rFonts w:ascii="Cambria Math" w:eastAsia="Cambria Math" w:hAnsi="Cambria Math"/>
                  <w:w w:val="105"/>
                </w:rPr>
              </m:ctrlPr>
            </m:e>
            <m:sub>
              <m:r>
                <m:rPr>
                  <m:sty m:val="p"/>
                </m:rPr>
                <w:rPr>
                  <w:rFonts w:ascii="Cambria Math" w:eastAsia="Cambria Math" w:hAnsi="Cambria Math"/>
                  <w:w w:val="105"/>
                  <w:vertAlign w:val="subscript"/>
                </w:rPr>
                <m:t>2</m:t>
              </m:r>
            </m:sub>
          </m:sSub>
          <m:sSub>
            <m:sSubPr>
              <m:ctrlPr>
                <w:rPr>
                  <w:rFonts w:ascii="Cambria Math" w:eastAsia="Cambria Math" w:hAnsi="Cambria Math"/>
                  <w:w w:val="105"/>
                </w:rPr>
              </m:ctrlPr>
            </m:sSubPr>
            <m:e>
              <m:r>
                <m:rPr>
                  <m:sty m:val="p"/>
                </m:rPr>
                <w:rPr>
                  <w:rFonts w:ascii="Cambria Math" w:eastAsia="Cambria Math" w:hAnsi="Cambria Math"/>
                  <w:w w:val="105"/>
                </w:rPr>
                <m:t>Tratamiento</m:t>
              </m:r>
            </m:e>
            <m:sub>
              <m:r>
                <m:rPr>
                  <m:sty m:val="p"/>
                </m:rPr>
                <w:rPr>
                  <w:rFonts w:ascii="Cambria Math" w:eastAsia="Cambria Math" w:hAnsi="Cambria Math"/>
                  <w:w w:val="105"/>
                  <w:vertAlign w:val="subscript"/>
                </w:rPr>
                <m:t>it</m:t>
              </m:r>
            </m:sub>
          </m:sSub>
          <m:r>
            <w:rPr>
              <w:rFonts w:ascii="Cambria Math" w:hAnsi="Cambria Math"/>
            </w:rPr>
            <m:t>+</m:t>
          </m:r>
          <m:sSub>
            <m:sSubPr>
              <m:ctrlPr>
                <w:rPr>
                  <w:rFonts w:ascii="Cambria Math" w:eastAsia="Cambria Math" w:hAnsi="Cambria Math"/>
                  <w:w w:val="105"/>
                  <w:vertAlign w:val="subscript"/>
                </w:rPr>
              </m:ctrlPr>
            </m:sSubPr>
            <m:e>
              <m:r>
                <m:rPr>
                  <m:sty m:val="p"/>
                </m:rPr>
                <w:rPr>
                  <w:rFonts w:ascii="Cambria Math" w:eastAsia="Cambria Math" w:hAnsi="Cambria Math"/>
                  <w:w w:val="105"/>
                </w:rPr>
                <m:t>β</m:t>
              </m:r>
              <m:ctrlPr>
                <w:rPr>
                  <w:rFonts w:ascii="Cambria Math" w:eastAsia="Cambria Math" w:hAnsi="Cambria Math"/>
                  <w:w w:val="105"/>
                </w:rPr>
              </m:ctrlPr>
            </m:e>
            <m:sub>
              <m:r>
                <m:rPr>
                  <m:sty m:val="p"/>
                </m:rPr>
                <w:rPr>
                  <w:rFonts w:ascii="Cambria Math" w:eastAsia="Cambria Math" w:hAnsi="Cambria Math"/>
                  <w:w w:val="105"/>
                  <w:vertAlign w:val="subscript"/>
                </w:rPr>
                <m:t>3</m:t>
              </m:r>
            </m:sub>
          </m:sSub>
          <m:sSub>
            <m:sSubPr>
              <m:ctrlPr>
                <w:rPr>
                  <w:rFonts w:ascii="Cambria Math" w:eastAsia="Cambria Math" w:hAnsi="Cambria Math"/>
                  <w:w w:val="105"/>
                </w:rPr>
              </m:ctrlPr>
            </m:sSubPr>
            <m:e>
              <m:r>
                <m:rPr>
                  <m:sty m:val="p"/>
                </m:rPr>
                <w:rPr>
                  <w:rFonts w:ascii="Cambria Math" w:eastAsia="Cambria Math" w:hAnsi="Cambria Math"/>
                  <w:w w:val="105"/>
                </w:rPr>
                <m:t>ADT</m:t>
              </m:r>
            </m:e>
            <m:sub>
              <m:r>
                <m:rPr>
                  <m:sty m:val="p"/>
                </m:rPr>
                <w:rPr>
                  <w:rFonts w:ascii="Cambria Math" w:eastAsia="Cambria Math" w:hAnsi="Cambria Math"/>
                  <w:w w:val="105"/>
                  <w:vertAlign w:val="subscript"/>
                </w:rPr>
                <m:t>it</m:t>
              </m:r>
            </m:sub>
          </m:sSub>
          <m:r>
            <m:rPr>
              <m:sty m:val="p"/>
            </m:rPr>
            <w:rPr>
              <w:rFonts w:ascii="Cambria Math" w:eastAsia="Cambria Math" w:hAnsi="Cambria Math"/>
              <w:w w:val="105"/>
            </w:rPr>
            <m:t xml:space="preserve"> x </m:t>
          </m:r>
          <m:sSub>
            <m:sSubPr>
              <m:ctrlPr>
                <w:rPr>
                  <w:rFonts w:ascii="Cambria Math" w:eastAsia="Cambria Math" w:hAnsi="Cambria Math"/>
                  <w:w w:val="105"/>
                </w:rPr>
              </m:ctrlPr>
            </m:sSubPr>
            <m:e>
              <m:r>
                <m:rPr>
                  <m:sty m:val="p"/>
                </m:rPr>
                <w:rPr>
                  <w:rFonts w:ascii="Cambria Math" w:eastAsia="Cambria Math" w:hAnsi="Cambria Math"/>
                  <w:w w:val="105"/>
                </w:rPr>
                <m:t>Tratamiento</m:t>
              </m:r>
            </m:e>
            <m:sub>
              <m:r>
                <m:rPr>
                  <m:sty m:val="p"/>
                </m:rPr>
                <w:rPr>
                  <w:rFonts w:ascii="Cambria Math" w:eastAsia="Cambria Math" w:hAnsi="Cambria Math"/>
                  <w:w w:val="105"/>
                </w:rPr>
                <m:t>it</m:t>
              </m:r>
            </m:sub>
          </m:sSub>
          <m:r>
            <m:rPr>
              <m:sty m:val="p"/>
            </m:rPr>
            <w:rPr>
              <w:rFonts w:ascii="Cambria Math" w:eastAsia="Cambria Math" w:hAnsi="Cambria Math"/>
              <w:w w:val="105"/>
            </w:rPr>
            <m:t>+</m:t>
          </m:r>
          <m:sSub>
            <m:sSubPr>
              <m:ctrlPr>
                <w:rPr>
                  <w:rFonts w:ascii="Cambria Math" w:eastAsia="Cambria Math" w:hAnsi="Cambria Math"/>
                  <w:w w:val="105"/>
                </w:rPr>
              </m:ctrlPr>
            </m:sSubPr>
            <m:e>
              <m:r>
                <m:rPr>
                  <m:sty m:val="p"/>
                </m:rPr>
                <w:rPr>
                  <w:rFonts w:ascii="Cambria Math" w:eastAsia="Cambria Math" w:hAnsi="Cambria Math"/>
                  <w:w w:val="105"/>
                </w:rPr>
                <m:t>β</m:t>
              </m:r>
              <m:ctrlPr>
                <w:rPr>
                  <w:rFonts w:ascii="Cambria Math" w:eastAsia="Cambria Math" w:hAnsi="Cambria Math"/>
                  <w:spacing w:val="-12"/>
                  <w:w w:val="105"/>
                </w:rPr>
              </m:ctrlPr>
            </m:e>
            <m:sub>
              <m:r>
                <m:rPr>
                  <m:sty m:val="p"/>
                </m:rPr>
                <w:rPr>
                  <w:rFonts w:ascii="Cambria Math" w:eastAsia="Cambria Math" w:hAnsi="Cambria Math"/>
                  <w:w w:val="105"/>
                  <w:vertAlign w:val="subscript"/>
                </w:rPr>
                <m:t>3</m:t>
              </m:r>
            </m:sub>
          </m:sSub>
          <m:sSub>
            <m:sSubPr>
              <m:ctrlPr>
                <w:rPr>
                  <w:rFonts w:ascii="Cambria Math" w:eastAsia="Cambria Math" w:hAnsi="Cambria Math"/>
                  <w:spacing w:val="-5"/>
                  <w:w w:val="105"/>
                </w:rPr>
              </m:ctrlPr>
            </m:sSubPr>
            <m:e>
              <m:r>
                <m:rPr>
                  <m:sty m:val="p"/>
                </m:rPr>
                <w:rPr>
                  <w:rFonts w:ascii="Cambria Math" w:eastAsia="Cambria Math" w:hAnsi="Cambria Math"/>
                  <w:spacing w:val="-5"/>
                  <w:w w:val="105"/>
                </w:rPr>
                <m:t>X</m:t>
              </m:r>
            </m:e>
            <m:sub>
              <m:r>
                <m:rPr>
                  <m:sty m:val="p"/>
                </m:rPr>
                <w:rPr>
                  <w:rFonts w:ascii="Cambria Math" w:eastAsia="Cambria Math" w:hAnsi="Cambria Math"/>
                  <w:spacing w:val="-5"/>
                  <w:w w:val="105"/>
                </w:rPr>
                <m:t>it</m:t>
              </m:r>
            </m:sub>
          </m:sSub>
          <m:r>
            <m:rPr>
              <m:sty m:val="p"/>
            </m:rPr>
            <w:rPr>
              <w:rFonts w:ascii="Cambria Math" w:eastAsia="Cambria Math" w:hAnsi="Cambria Math"/>
              <w:spacing w:val="-5"/>
              <w:w w:val="105"/>
            </w:rPr>
            <m:t xml:space="preserve"> </m:t>
          </m:r>
          <m:r>
            <m:rPr>
              <m:sty m:val="p"/>
            </m:rPr>
            <w:rPr>
              <w:rFonts w:ascii="Cambria Math" w:eastAsia="Cambria Math" w:hAnsi="Cambria Math"/>
              <w:spacing w:val="-4"/>
              <w:w w:val="105"/>
            </w:rPr>
            <m:t>+</m:t>
          </m:r>
          <m:sSub>
            <m:sSubPr>
              <m:ctrlPr>
                <w:rPr>
                  <w:rFonts w:ascii="Cambria Math" w:eastAsia="Cambria Math" w:hAnsi="Cambria Math"/>
                  <w:spacing w:val="-4"/>
                  <w:w w:val="105"/>
                </w:rPr>
              </m:ctrlPr>
            </m:sSubPr>
            <m:e>
              <m:r>
                <m:rPr>
                  <m:sty m:val="p"/>
                </m:rPr>
                <w:rPr>
                  <w:rFonts w:ascii="Cambria Math" w:eastAsia="Cambria Math" w:hAnsi="Cambria Math"/>
                  <w:spacing w:val="-4"/>
                  <w:w w:val="105"/>
                </w:rPr>
                <m:t>λ</m:t>
              </m:r>
            </m:e>
            <m:sub>
              <m:r>
                <m:rPr>
                  <m:sty m:val="p"/>
                </m:rPr>
                <w:rPr>
                  <w:rFonts w:ascii="Cambria Math" w:eastAsia="Cambria Math" w:hAnsi="Cambria Math"/>
                  <w:spacing w:val="-4"/>
                  <w:w w:val="105"/>
                </w:rPr>
                <m:t>i</m:t>
              </m:r>
            </m:sub>
          </m:sSub>
          <m:r>
            <m:rPr>
              <m:sty m:val="p"/>
            </m:rPr>
            <w:rPr>
              <w:rFonts w:ascii="Cambria Math" w:eastAsia="Cambria Math" w:hAnsi="Cambria Math"/>
              <w:spacing w:val="-4"/>
              <w:w w:val="105"/>
            </w:rPr>
            <m:t>+</m:t>
          </m:r>
          <m:sSub>
            <m:sSubPr>
              <m:ctrlPr>
                <w:rPr>
                  <w:rFonts w:ascii="Cambria Math" w:eastAsia="Cambria Math" w:hAnsi="Cambria Math"/>
                  <w:spacing w:val="-4"/>
                  <w:w w:val="105"/>
                </w:rPr>
              </m:ctrlPr>
            </m:sSubPr>
            <m:e>
              <m:r>
                <m:rPr>
                  <m:sty m:val="p"/>
                </m:rPr>
                <w:rPr>
                  <w:rFonts w:ascii="Cambria Math" w:eastAsia="Cambria Math" w:hAnsi="Cambria Math"/>
                  <w:spacing w:val="-4"/>
                  <w:w w:val="105"/>
                </w:rPr>
                <m:t>δ</m:t>
              </m:r>
            </m:e>
            <m:sub>
              <m:r>
                <m:rPr>
                  <m:sty m:val="p"/>
                </m:rPr>
                <w:rPr>
                  <w:rFonts w:ascii="Cambria Math" w:eastAsia="Cambria Math" w:hAnsi="Cambria Math"/>
                  <w:spacing w:val="-4"/>
                  <w:w w:val="105"/>
                </w:rPr>
                <m:t>t</m:t>
              </m:r>
            </m:sub>
          </m:sSub>
          <m:r>
            <m:rPr>
              <m:sty m:val="p"/>
            </m:rPr>
            <w:rPr>
              <w:rFonts w:ascii="Cambria Math" w:eastAsia="Cambria Math" w:hAnsi="Cambria Math"/>
              <w:spacing w:val="-4"/>
              <w:w w:val="105"/>
            </w:rPr>
            <m:t>+</m:t>
          </m:r>
          <m:sSub>
            <m:sSubPr>
              <m:ctrlPr>
                <w:rPr>
                  <w:rFonts w:ascii="Cambria Math" w:eastAsia="Cambria Math" w:hAnsi="Cambria Math"/>
                  <w:spacing w:val="-4"/>
                  <w:w w:val="105"/>
                </w:rPr>
              </m:ctrlPr>
            </m:sSubPr>
            <m:e>
              <m:r>
                <m:rPr>
                  <m:sty m:val="p"/>
                </m:rPr>
                <w:rPr>
                  <w:rFonts w:ascii="Cambria Math" w:eastAsia="Cambria Math" w:hAnsi="Cambria Math"/>
                  <w:spacing w:val="-4"/>
                  <w:w w:val="105"/>
                </w:rPr>
                <m:t>ξ</m:t>
              </m:r>
            </m:e>
            <m:sub>
              <m:r>
                <m:rPr>
                  <m:sty m:val="p"/>
                </m:rPr>
                <w:rPr>
                  <w:rFonts w:ascii="Cambria Math" w:eastAsia="Cambria Math" w:hAnsi="Cambria Math"/>
                  <w:spacing w:val="-4"/>
                  <w:w w:val="105"/>
                  <w:vertAlign w:val="subscript"/>
                </w:rPr>
                <m:t>it</m:t>
              </m:r>
            </m:sub>
          </m:sSub>
        </m:oMath>
      </m:oMathPara>
    </w:p>
    <w:p w14:paraId="323543A5" w14:textId="77777777" w:rsidR="004D3BA6" w:rsidRPr="005513D8" w:rsidRDefault="004D3BA6" w:rsidP="00155715">
      <w:pPr>
        <w:pStyle w:val="BodyText"/>
        <w:spacing w:before="201"/>
        <w:ind w:firstLine="705"/>
        <w:jc w:val="both"/>
        <w:rPr>
          <w:rFonts w:ascii="Garamond" w:hAnsi="Garamond" w:cstheme="minorHAnsi"/>
          <w:b/>
          <w:bCs/>
        </w:rPr>
      </w:pPr>
      <w:r w:rsidRPr="005513D8">
        <w:rPr>
          <w:rFonts w:ascii="Garamond" w:hAnsi="Garamond" w:cstheme="minorHAnsi"/>
        </w:rPr>
        <w:t>Donde</w:t>
      </w:r>
      <w:r w:rsidRPr="005513D8">
        <w:rPr>
          <w:rFonts w:ascii="Garamond" w:hAnsi="Garamond" w:cstheme="minorHAnsi"/>
          <w:b/>
          <w:bCs/>
        </w:rPr>
        <w:t xml:space="preserve">: </w:t>
      </w:r>
    </w:p>
    <w:p w14:paraId="4070D534" w14:textId="77777777" w:rsidR="004D3BA6" w:rsidRPr="005513D8" w:rsidRDefault="004D3BA6" w:rsidP="00295BB3">
      <w:pPr>
        <w:pStyle w:val="BodyText"/>
        <w:numPr>
          <w:ilvl w:val="0"/>
          <w:numId w:val="26"/>
        </w:numPr>
        <w:spacing w:before="201"/>
        <w:jc w:val="both"/>
        <w:rPr>
          <w:rFonts w:ascii="Garamond" w:hAnsi="Garamond" w:cstheme="minorHAnsi"/>
        </w:rPr>
      </w:pPr>
      <m:oMath>
        <m:r>
          <m:rPr>
            <m:sty m:val="bi"/>
          </m:rPr>
          <w:rPr>
            <w:rFonts w:ascii="Cambria Math" w:hAnsi="Cambria Math" w:cstheme="minorHAnsi"/>
          </w:rPr>
          <m:t>IE</m:t>
        </m:r>
        <m:sSub>
          <m:sSubPr>
            <m:ctrlPr>
              <w:rPr>
                <w:rFonts w:ascii="Cambria Math" w:hAnsi="Cambria Math" w:cstheme="minorHAnsi"/>
                <w:b/>
                <w:bCs/>
                <w:i/>
              </w:rPr>
            </m:ctrlPr>
          </m:sSubPr>
          <m:e>
            <m:r>
              <m:rPr>
                <m:sty m:val="bi"/>
              </m:rPr>
              <w:rPr>
                <w:rFonts w:ascii="Cambria Math" w:hAnsi="Cambria Math" w:cstheme="minorHAnsi"/>
              </w:rPr>
              <m:t>D</m:t>
            </m:r>
          </m:e>
          <m:sub>
            <m:r>
              <m:rPr>
                <m:sty m:val="bi"/>
              </m:rPr>
              <w:rPr>
                <w:rFonts w:ascii="Cambria Math" w:hAnsi="Cambria Math" w:cstheme="minorHAnsi"/>
              </w:rPr>
              <m:t>it</m:t>
            </m:r>
          </m:sub>
        </m:sSub>
      </m:oMath>
      <w:r w:rsidRPr="005513D8">
        <w:rPr>
          <w:rFonts w:ascii="Garamond" w:hAnsi="Garamond" w:cstheme="minorHAnsi"/>
          <w:b/>
          <w:bCs/>
        </w:rPr>
        <w:t>:</w:t>
      </w:r>
      <w:r w:rsidRPr="005513D8">
        <w:rPr>
          <w:rFonts w:ascii="Garamond" w:hAnsi="Garamond" w:cstheme="minorHAnsi"/>
        </w:rPr>
        <w:t xml:space="preserve"> Flujos de entrada de IED hacia Colombia. Información proveniente de la página oficial del Banco de la República.</w:t>
      </w:r>
    </w:p>
    <w:p w14:paraId="43AFF193" w14:textId="77777777" w:rsidR="004D3BA6" w:rsidRPr="005513D8" w:rsidRDefault="00540F24" w:rsidP="00295BB3">
      <w:pPr>
        <w:pStyle w:val="BodyText"/>
        <w:numPr>
          <w:ilvl w:val="0"/>
          <w:numId w:val="26"/>
        </w:numPr>
        <w:spacing w:before="201"/>
        <w:jc w:val="both"/>
        <w:rPr>
          <w:rFonts w:ascii="Garamond" w:hAnsi="Garamond" w:cstheme="minorBidi"/>
        </w:rPr>
      </w:pPr>
      <m:oMath>
        <m:sSub>
          <m:sSubPr>
            <m:ctrlPr>
              <w:rPr>
                <w:rFonts w:ascii="Cambria Math" w:eastAsia="Cambria Math" w:hAnsi="Cambria Math" w:cstheme="minorHAnsi"/>
                <w:b/>
                <w:bCs/>
                <w:spacing w:val="-2"/>
                <w:w w:val="105"/>
              </w:rPr>
            </m:ctrlPr>
          </m:sSubPr>
          <m:e>
            <m:r>
              <m:rPr>
                <m:sty m:val="b"/>
              </m:rPr>
              <w:rPr>
                <w:rFonts w:ascii="Cambria Math" w:eastAsia="Cambria Math" w:hAnsi="Cambria Math" w:cstheme="minorHAnsi"/>
                <w:spacing w:val="-2"/>
                <w:w w:val="105"/>
              </w:rPr>
              <m:t>ADT</m:t>
            </m:r>
          </m:e>
          <m:sub>
            <m:r>
              <m:rPr>
                <m:sty m:val="b"/>
              </m:rPr>
              <w:rPr>
                <w:rFonts w:ascii="Cambria Math" w:eastAsia="Cambria Math" w:hAnsi="Cambria Math" w:cstheme="minorHAnsi"/>
                <w:spacing w:val="-2"/>
                <w:w w:val="105"/>
                <w:vertAlign w:val="subscript"/>
              </w:rPr>
              <m:t>it</m:t>
            </m:r>
          </m:sub>
        </m:sSub>
      </m:oMath>
      <w:r w:rsidR="004D3BA6" w:rsidRPr="005513D8">
        <w:rPr>
          <w:rFonts w:ascii="Garamond" w:hAnsi="Garamond" w:cstheme="minorBidi"/>
          <w:b/>
          <w:bCs/>
        </w:rPr>
        <w:t>:</w:t>
      </w:r>
      <w:r w:rsidR="004D3BA6" w:rsidRPr="005513D8">
        <w:rPr>
          <w:rFonts w:ascii="Garamond" w:hAnsi="Garamond" w:cstheme="minorBidi"/>
        </w:rPr>
        <w:t xml:space="preserve"> Variable dummy en donde se identifica si el país tiene o no un acuerdo de doble </w:t>
      </w:r>
      <w:r w:rsidR="004D3BA6" w:rsidRPr="005513D8">
        <w:rPr>
          <w:rFonts w:ascii="Garamond" w:hAnsi="Garamond" w:cstheme="minorBidi"/>
        </w:rPr>
        <w:lastRenderedPageBreak/>
        <w:t>tributación en un momento dado. Información proveniente de la página del Banco de la República y la Dirección de Impuestos y Aduanas Nacionales (DIAN).</w:t>
      </w:r>
    </w:p>
    <w:p w14:paraId="4FD36B65" w14:textId="77777777" w:rsidR="004D3BA6" w:rsidRPr="005513D8" w:rsidRDefault="00540F24" w:rsidP="00295BB3">
      <w:pPr>
        <w:pStyle w:val="BodyText"/>
        <w:numPr>
          <w:ilvl w:val="0"/>
          <w:numId w:val="26"/>
        </w:numPr>
        <w:spacing w:before="201"/>
        <w:jc w:val="both"/>
        <w:rPr>
          <w:rFonts w:ascii="Garamond" w:hAnsi="Garamond" w:cstheme="minorBidi"/>
        </w:rPr>
      </w:pPr>
      <m:oMath>
        <m:sSub>
          <m:sSubPr>
            <m:ctrlPr>
              <w:rPr>
                <w:rFonts w:ascii="Cambria Math" w:eastAsia="Cambria Math" w:hAnsi="Cambria Math" w:cstheme="minorHAnsi"/>
                <w:b/>
                <w:bCs/>
                <w:spacing w:val="-2"/>
                <w:w w:val="105"/>
              </w:rPr>
            </m:ctrlPr>
          </m:sSubPr>
          <m:e>
            <m:r>
              <m:rPr>
                <m:sty m:val="b"/>
              </m:rPr>
              <w:rPr>
                <w:rFonts w:ascii="Cambria Math" w:eastAsia="Cambria Math" w:hAnsi="Cambria Math" w:cstheme="minorHAnsi"/>
                <w:spacing w:val="-2"/>
                <w:w w:val="105"/>
              </w:rPr>
              <m:t>Tratamiento</m:t>
            </m:r>
          </m:e>
          <m:sub>
            <m:r>
              <m:rPr>
                <m:sty m:val="b"/>
              </m:rPr>
              <w:rPr>
                <w:rFonts w:ascii="Cambria Math" w:eastAsia="Cambria Math" w:hAnsi="Cambria Math" w:cstheme="minorHAnsi"/>
                <w:spacing w:val="-2"/>
                <w:w w:val="105"/>
                <w:vertAlign w:val="subscript"/>
              </w:rPr>
              <m:t>it</m:t>
            </m:r>
          </m:sub>
        </m:sSub>
      </m:oMath>
      <w:r w:rsidR="004D3BA6" w:rsidRPr="005513D8">
        <w:rPr>
          <w:rFonts w:ascii="Garamond" w:hAnsi="Garamond" w:cstheme="minorBidi"/>
          <w:b/>
          <w:bCs/>
        </w:rPr>
        <w:t>:</w:t>
      </w:r>
      <w:r w:rsidR="004D3BA6" w:rsidRPr="005513D8">
        <w:rPr>
          <w:rFonts w:ascii="Garamond" w:hAnsi="Garamond" w:cstheme="minorBidi"/>
        </w:rPr>
        <w:t xml:space="preserve"> Variable dummy que toma el valor 1 para los países que tienen </w:t>
      </w:r>
      <w:proofErr w:type="spellStart"/>
      <w:r w:rsidR="004D3BA6" w:rsidRPr="005513D8">
        <w:rPr>
          <w:rFonts w:ascii="Garamond" w:hAnsi="Garamond" w:cstheme="minorBidi"/>
        </w:rPr>
        <w:t>ADTs</w:t>
      </w:r>
      <w:proofErr w:type="spellEnd"/>
      <w:r w:rsidR="004D3BA6" w:rsidRPr="005513D8">
        <w:rPr>
          <w:rFonts w:ascii="Garamond" w:hAnsi="Garamond" w:cstheme="minorBidi"/>
        </w:rPr>
        <w:t xml:space="preserve"> y 0 para aquellos que no los tienen. Información proveniente de la página del Banco de la República y la Dirección de Impuestos y Aduanas Nacionales (DIAN).</w:t>
      </w:r>
    </w:p>
    <w:p w14:paraId="7CCBD71B" w14:textId="130B4233" w:rsidR="004D3BA6" w:rsidRPr="005513D8" w:rsidRDefault="00540F24" w:rsidP="00295BB3">
      <w:pPr>
        <w:pStyle w:val="BodyText"/>
        <w:numPr>
          <w:ilvl w:val="0"/>
          <w:numId w:val="26"/>
        </w:numPr>
        <w:spacing w:before="201"/>
        <w:jc w:val="both"/>
        <w:rPr>
          <w:rFonts w:ascii="Garamond" w:hAnsi="Garamond" w:cstheme="minorBidi"/>
          <w:b/>
          <w:bCs/>
          <w:spacing w:val="-5"/>
          <w:w w:val="105"/>
        </w:rPr>
      </w:pPr>
      <m:oMath>
        <m:sSub>
          <m:sSubPr>
            <m:ctrlPr>
              <w:rPr>
                <w:rFonts w:ascii="Cambria Math" w:eastAsia="Cambria Math" w:hAnsi="Cambria Math" w:cstheme="minorHAnsi"/>
                <w:b/>
                <w:bCs/>
                <w:spacing w:val="-5"/>
                <w:w w:val="105"/>
              </w:rPr>
            </m:ctrlPr>
          </m:sSubPr>
          <m:e>
            <m:r>
              <m:rPr>
                <m:sty m:val="b"/>
              </m:rPr>
              <w:rPr>
                <w:rFonts w:ascii="Cambria Math" w:eastAsia="Cambria Math" w:hAnsi="Cambria Math" w:cstheme="minorHAnsi"/>
                <w:spacing w:val="-5"/>
                <w:w w:val="105"/>
              </w:rPr>
              <m:t>X</m:t>
            </m:r>
          </m:e>
          <m:sub>
            <m:r>
              <m:rPr>
                <m:sty m:val="b"/>
              </m:rPr>
              <w:rPr>
                <w:rFonts w:ascii="Cambria Math" w:eastAsia="Cambria Math" w:hAnsi="Cambria Math" w:cstheme="minorHAnsi"/>
                <w:spacing w:val="-5"/>
                <w:w w:val="105"/>
              </w:rPr>
              <m:t>it</m:t>
            </m:r>
          </m:sub>
        </m:sSub>
      </m:oMath>
      <w:r w:rsidR="004D3BA6" w:rsidRPr="005513D8">
        <w:rPr>
          <w:rFonts w:ascii="Garamond" w:hAnsi="Garamond" w:cstheme="minorBidi"/>
          <w:b/>
          <w:bCs/>
          <w:spacing w:val="-5"/>
          <w:w w:val="105"/>
        </w:rPr>
        <w:t>:</w:t>
      </w:r>
      <w:r w:rsidR="004D3BA6" w:rsidRPr="005513D8">
        <w:rPr>
          <w:rFonts w:ascii="Garamond" w:hAnsi="Garamond"/>
        </w:rPr>
        <w:t xml:space="preserve"> </w:t>
      </w:r>
      <w:r w:rsidR="00944477" w:rsidRPr="005513D8">
        <w:rPr>
          <w:rFonts w:ascii="Garamond" w:hAnsi="Garamond" w:cstheme="minorBidi"/>
        </w:rPr>
        <w:t>Representa un vector de variables independientes, que incluye el PIB de cada país, la inflación, la balanza comercial, la diferencia en el impuesto de renta entre Colombia y el país i, Acuerdos de protección a inversión, entre otros.</w:t>
      </w:r>
    </w:p>
    <w:p w14:paraId="330829B6" w14:textId="77777777" w:rsidR="004D3BA6" w:rsidRPr="005513D8" w:rsidRDefault="00540F24" w:rsidP="00295BB3">
      <w:pPr>
        <w:pStyle w:val="BodyText"/>
        <w:numPr>
          <w:ilvl w:val="0"/>
          <w:numId w:val="26"/>
        </w:numPr>
        <w:spacing w:before="201"/>
        <w:jc w:val="both"/>
        <w:rPr>
          <w:rFonts w:ascii="Garamond" w:hAnsi="Garamond" w:cstheme="minorBidi"/>
          <w:b/>
          <w:bCs/>
          <w:spacing w:val="-5"/>
          <w:w w:val="105"/>
        </w:rPr>
      </w:pPr>
      <m:oMath>
        <m:sSub>
          <m:sSubPr>
            <m:ctrlPr>
              <w:rPr>
                <w:rFonts w:ascii="Cambria Math" w:eastAsia="Cambria Math" w:hAnsi="Cambria Math" w:cstheme="minorHAnsi"/>
                <w:b/>
                <w:bCs/>
                <w:spacing w:val="-4"/>
                <w:w w:val="105"/>
              </w:rPr>
            </m:ctrlPr>
          </m:sSubPr>
          <m:e>
            <m:r>
              <m:rPr>
                <m:sty m:val="b"/>
              </m:rPr>
              <w:rPr>
                <w:rFonts w:ascii="Cambria Math" w:eastAsia="Cambria Math" w:hAnsi="Cambria Math" w:cstheme="minorHAnsi"/>
                <w:spacing w:val="-4"/>
                <w:w w:val="105"/>
              </w:rPr>
              <m:t>λ</m:t>
            </m:r>
          </m:e>
          <m:sub>
            <m:r>
              <m:rPr>
                <m:sty m:val="b"/>
              </m:rPr>
              <w:rPr>
                <w:rFonts w:ascii="Cambria Math" w:eastAsia="Cambria Math" w:hAnsi="Cambria Math" w:cstheme="minorHAnsi"/>
                <w:spacing w:val="-4"/>
                <w:w w:val="105"/>
              </w:rPr>
              <m:t>i</m:t>
            </m:r>
          </m:sub>
        </m:sSub>
      </m:oMath>
      <w:r w:rsidR="004D3BA6" w:rsidRPr="005513D8">
        <w:rPr>
          <w:rFonts w:ascii="Garamond" w:hAnsi="Garamond" w:cstheme="minorBidi"/>
          <w:b/>
          <w:bCs/>
          <w:spacing w:val="-4"/>
          <w:w w:val="105"/>
        </w:rPr>
        <w:t>:</w:t>
      </w:r>
      <w:r w:rsidR="004D3BA6" w:rsidRPr="005513D8">
        <w:rPr>
          <w:rFonts w:ascii="Garamond" w:hAnsi="Garamond"/>
        </w:rPr>
        <w:t xml:space="preserve"> </w:t>
      </w:r>
      <w:r w:rsidR="004D3BA6" w:rsidRPr="005513D8">
        <w:rPr>
          <w:rFonts w:ascii="Garamond" w:hAnsi="Garamond" w:cstheme="minorBidi"/>
          <w:spacing w:val="-4"/>
          <w:w w:val="105"/>
        </w:rPr>
        <w:t>Es un conjunto de efectos fijos a nivel de país, capturando las características específicas de cada país que podrían influir en el flujo de IED.</w:t>
      </w:r>
    </w:p>
    <w:p w14:paraId="5B34EB2E" w14:textId="77777777" w:rsidR="004D3BA6" w:rsidRPr="005513D8" w:rsidRDefault="00540F24" w:rsidP="00295BB3">
      <w:pPr>
        <w:pStyle w:val="BodyText"/>
        <w:numPr>
          <w:ilvl w:val="0"/>
          <w:numId w:val="26"/>
        </w:numPr>
        <w:spacing w:before="201"/>
        <w:jc w:val="both"/>
        <w:rPr>
          <w:rFonts w:ascii="Garamond" w:hAnsi="Garamond" w:cstheme="minorBidi"/>
          <w:b/>
          <w:bCs/>
          <w:spacing w:val="-5"/>
          <w:w w:val="105"/>
        </w:rPr>
      </w:pPr>
      <m:oMath>
        <m:sSub>
          <m:sSubPr>
            <m:ctrlPr>
              <w:rPr>
                <w:rFonts w:ascii="Cambria Math" w:eastAsia="Cambria Math" w:hAnsi="Cambria Math" w:cstheme="minorHAnsi"/>
                <w:b/>
                <w:bCs/>
                <w:spacing w:val="-4"/>
                <w:w w:val="105"/>
              </w:rPr>
            </m:ctrlPr>
          </m:sSubPr>
          <m:e>
            <m:r>
              <m:rPr>
                <m:sty m:val="b"/>
              </m:rPr>
              <w:rPr>
                <w:rFonts w:ascii="Cambria Math" w:eastAsia="Cambria Math" w:hAnsi="Cambria Math" w:cstheme="minorHAnsi"/>
                <w:spacing w:val="-4"/>
                <w:w w:val="105"/>
              </w:rPr>
              <m:t>δ</m:t>
            </m:r>
          </m:e>
          <m:sub>
            <m:r>
              <m:rPr>
                <m:sty m:val="b"/>
              </m:rPr>
              <w:rPr>
                <w:rFonts w:ascii="Cambria Math" w:eastAsia="Cambria Math" w:hAnsi="Cambria Math" w:cstheme="minorHAnsi"/>
                <w:spacing w:val="-4"/>
                <w:w w:val="105"/>
              </w:rPr>
              <m:t>t</m:t>
            </m:r>
          </m:sub>
        </m:sSub>
      </m:oMath>
      <w:r w:rsidR="004D3BA6" w:rsidRPr="005513D8">
        <w:rPr>
          <w:rFonts w:ascii="Garamond" w:hAnsi="Garamond" w:cstheme="minorBidi"/>
          <w:b/>
          <w:bCs/>
          <w:spacing w:val="-4"/>
          <w:w w:val="105"/>
        </w:rPr>
        <w:t>:</w:t>
      </w:r>
      <w:r w:rsidR="004D3BA6" w:rsidRPr="005513D8">
        <w:rPr>
          <w:rFonts w:ascii="Garamond" w:hAnsi="Garamond"/>
        </w:rPr>
        <w:t xml:space="preserve"> </w:t>
      </w:r>
      <w:r w:rsidR="004D3BA6" w:rsidRPr="005513D8">
        <w:rPr>
          <w:rFonts w:ascii="Garamond" w:hAnsi="Garamond" w:cstheme="minorBidi"/>
          <w:spacing w:val="-4"/>
          <w:w w:val="105"/>
        </w:rPr>
        <w:t>Es un conjunto de efectos fijos a nivel de tiempo, teniendo en cuenta las variaciones sistemáticas en el tiempo que podrían afectar el flujo de IED.</w:t>
      </w:r>
    </w:p>
    <w:p w14:paraId="182F292B" w14:textId="77777777" w:rsidR="004D3BA6" w:rsidRPr="005513D8" w:rsidRDefault="00540F24" w:rsidP="00295BB3">
      <w:pPr>
        <w:pStyle w:val="BodyText"/>
        <w:numPr>
          <w:ilvl w:val="0"/>
          <w:numId w:val="26"/>
        </w:numPr>
        <w:spacing w:before="201"/>
        <w:jc w:val="both"/>
        <w:rPr>
          <w:rFonts w:ascii="Garamond" w:hAnsi="Garamond" w:cstheme="minorBidi"/>
          <w:b/>
          <w:bCs/>
        </w:rPr>
      </w:pPr>
      <m:oMath>
        <m:sSub>
          <m:sSubPr>
            <m:ctrlPr>
              <w:rPr>
                <w:rFonts w:ascii="Cambria Math" w:eastAsia="Cambria Math" w:hAnsi="Cambria Math" w:cstheme="minorHAnsi"/>
                <w:b/>
                <w:bCs/>
                <w:spacing w:val="-4"/>
                <w:w w:val="105"/>
              </w:rPr>
            </m:ctrlPr>
          </m:sSubPr>
          <m:e>
            <m:r>
              <m:rPr>
                <m:sty m:val="p"/>
              </m:rPr>
              <w:rPr>
                <w:rFonts w:ascii="Cambria Math" w:eastAsia="Cambria Math" w:hAnsi="Cambria Math"/>
                <w:spacing w:val="-4"/>
                <w:w w:val="105"/>
              </w:rPr>
              <m:t>ξ</m:t>
            </m:r>
          </m:e>
          <m:sub>
            <m:r>
              <m:rPr>
                <m:sty m:val="b"/>
              </m:rPr>
              <w:rPr>
                <w:rFonts w:ascii="Cambria Math" w:eastAsia="Cambria Math" w:hAnsi="Cambria Math" w:cstheme="minorHAnsi"/>
                <w:spacing w:val="-4"/>
                <w:w w:val="105"/>
                <w:vertAlign w:val="subscript"/>
              </w:rPr>
              <m:t>it</m:t>
            </m:r>
          </m:sub>
        </m:sSub>
      </m:oMath>
      <w:r w:rsidR="004D3BA6" w:rsidRPr="005513D8">
        <w:rPr>
          <w:rFonts w:ascii="Garamond" w:hAnsi="Garamond" w:cstheme="minorBidi"/>
          <w:b/>
          <w:bCs/>
          <w:spacing w:val="-5"/>
          <w:w w:val="105"/>
        </w:rPr>
        <w:t xml:space="preserve">. </w:t>
      </w:r>
      <w:r w:rsidR="004D3BA6" w:rsidRPr="005513D8">
        <w:rPr>
          <w:rFonts w:ascii="Garamond" w:hAnsi="Garamond" w:cstheme="minorBidi"/>
          <w:spacing w:val="-5"/>
          <w:w w:val="105"/>
        </w:rPr>
        <w:t>es el término de error, que recoge otros factores no observados y el ruido aleatorio en el modelo.</w:t>
      </w:r>
    </w:p>
    <w:p w14:paraId="644B07D9" w14:textId="77777777" w:rsidR="004D3BA6" w:rsidRPr="005513D8" w:rsidRDefault="004D3BA6" w:rsidP="00155715">
      <w:pPr>
        <w:jc w:val="both"/>
        <w:rPr>
          <w:lang w:val="es-ES"/>
        </w:rPr>
      </w:pPr>
    </w:p>
    <w:p w14:paraId="2D78F6A3" w14:textId="77777777" w:rsidR="004D3BA6" w:rsidRPr="00CD503F" w:rsidRDefault="005B14BF" w:rsidP="00155715">
      <w:pPr>
        <w:pStyle w:val="Heading3"/>
        <w:ind w:firstLine="360"/>
        <w:jc w:val="both"/>
        <w:rPr>
          <w:lang w:val="es-ES"/>
        </w:rPr>
      </w:pPr>
      <w:bookmarkStart w:id="4" w:name="_Toc135999380"/>
      <w:r w:rsidRPr="00CD503F">
        <w:rPr>
          <w:lang w:val="es-ES"/>
        </w:rPr>
        <w:t>Mod</w:t>
      </w:r>
      <w:r w:rsidR="004D3BA6" w:rsidRPr="00CD503F">
        <w:rPr>
          <w:lang w:val="es-ES"/>
        </w:rPr>
        <w:t>elo DID con PSM</w:t>
      </w:r>
      <w:bookmarkEnd w:id="4"/>
    </w:p>
    <w:p w14:paraId="149A86C9" w14:textId="77777777" w:rsidR="004D3BA6" w:rsidRPr="00CD503F" w:rsidRDefault="004D3BA6" w:rsidP="00155715">
      <w:pPr>
        <w:jc w:val="both"/>
        <w:rPr>
          <w:lang w:val="es-ES"/>
        </w:rPr>
      </w:pPr>
    </w:p>
    <w:p w14:paraId="07319002" w14:textId="77777777" w:rsidR="004D3BA6" w:rsidRPr="005513D8" w:rsidRDefault="004D3BA6" w:rsidP="00155715">
      <w:pPr>
        <w:jc w:val="both"/>
        <w:rPr>
          <w:rFonts w:eastAsia="Calibri" w:cstheme="minorHAnsi"/>
          <w:spacing w:val="-2"/>
          <w:lang w:val="es-ES"/>
        </w:rPr>
      </w:pPr>
      <w:r w:rsidRPr="005513D8">
        <w:rPr>
          <w:rFonts w:eastAsia="Calibri" w:cstheme="minorHAnsi"/>
          <w:spacing w:val="-2"/>
          <w:lang w:val="es-ES"/>
        </w:rPr>
        <w:t xml:space="preserve">El modelo DID con PSM es una técnica permite abordar el problema de la endogeneidad en la asignación de los acuerdos de doble tributación, es decir, la posibilidad de que los países que suscriben estos acuerdos sean diferentes de aquellos que no lo hacen en términos de características no observadas que podrían influir tanto en la firma de los </w:t>
      </w:r>
      <w:proofErr w:type="spellStart"/>
      <w:r w:rsidRPr="005513D8">
        <w:rPr>
          <w:rFonts w:eastAsia="Calibri" w:cstheme="minorHAnsi"/>
          <w:spacing w:val="-2"/>
          <w:lang w:val="es-ES"/>
        </w:rPr>
        <w:t>ADTs</w:t>
      </w:r>
      <w:proofErr w:type="spellEnd"/>
      <w:r w:rsidRPr="005513D8">
        <w:rPr>
          <w:rFonts w:eastAsia="Calibri" w:cstheme="minorHAnsi"/>
          <w:spacing w:val="-2"/>
          <w:lang w:val="es-ES"/>
        </w:rPr>
        <w:t xml:space="preserve"> como en el flujo de IED. El PSM permite emparejar los países en función de características relevantes y similares, reduciendo el sesgo de selección y permitiéndonos obtener estimaciones más precisas del impacto causal de los </w:t>
      </w:r>
      <w:proofErr w:type="spellStart"/>
      <w:r w:rsidRPr="005513D8">
        <w:rPr>
          <w:rFonts w:eastAsia="Calibri" w:cstheme="minorHAnsi"/>
          <w:spacing w:val="-2"/>
          <w:lang w:val="es-ES"/>
        </w:rPr>
        <w:t>ADTs</w:t>
      </w:r>
      <w:proofErr w:type="spellEnd"/>
      <w:r w:rsidRPr="005513D8">
        <w:rPr>
          <w:rFonts w:eastAsia="Calibri" w:cstheme="minorHAnsi"/>
          <w:spacing w:val="-2"/>
          <w:lang w:val="es-ES"/>
        </w:rPr>
        <w:t xml:space="preserve"> en la IED.</w:t>
      </w:r>
    </w:p>
    <w:p w14:paraId="136E5F0B" w14:textId="77777777" w:rsidR="004D3BA6" w:rsidRPr="005513D8" w:rsidRDefault="004D3BA6" w:rsidP="00155715">
      <w:pPr>
        <w:jc w:val="both"/>
        <w:rPr>
          <w:rFonts w:eastAsia="Calibri" w:cstheme="minorHAnsi"/>
          <w:spacing w:val="-2"/>
          <w:lang w:val="es-ES"/>
        </w:rPr>
      </w:pPr>
    </w:p>
    <w:p w14:paraId="0C40D2F6" w14:textId="045E16B0" w:rsidR="004D3BA6" w:rsidRPr="005513D8" w:rsidRDefault="004D3BA6" w:rsidP="00155715">
      <w:pPr>
        <w:jc w:val="both"/>
        <w:rPr>
          <w:rFonts w:eastAsia="Calibri" w:cstheme="minorHAnsi"/>
          <w:spacing w:val="-2"/>
          <w:lang w:val="es-ES"/>
        </w:rPr>
      </w:pPr>
      <w:r w:rsidRPr="005513D8">
        <w:rPr>
          <w:rFonts w:eastAsia="Calibri" w:cstheme="minorHAnsi"/>
          <w:spacing w:val="-2"/>
          <w:lang w:val="es-ES"/>
        </w:rPr>
        <w:t xml:space="preserve">En este caso, se utilizará un enfoque PSM de </w:t>
      </w:r>
      <w:proofErr w:type="spellStart"/>
      <w:r w:rsidR="00EF3A7F" w:rsidRPr="005513D8">
        <w:rPr>
          <w:rFonts w:eastAsia="Calibri" w:cstheme="minorHAnsi"/>
          <w:spacing w:val="-2"/>
          <w:lang w:val="es-ES"/>
        </w:rPr>
        <w:t>Caliper</w:t>
      </w:r>
      <w:proofErr w:type="spellEnd"/>
      <w:r w:rsidR="00EF3A7F" w:rsidRPr="005513D8">
        <w:rPr>
          <w:rFonts w:eastAsia="Calibri" w:cstheme="minorHAnsi"/>
          <w:spacing w:val="-2"/>
          <w:lang w:val="es-ES"/>
        </w:rPr>
        <w:t xml:space="preserve"> ya que </w:t>
      </w:r>
      <w:r w:rsidR="0009042C" w:rsidRPr="005513D8">
        <w:rPr>
          <w:rFonts w:eastAsia="Calibri" w:cstheme="minorHAnsi"/>
          <w:spacing w:val="-2"/>
          <w:lang w:val="es-ES"/>
        </w:rPr>
        <w:t>este mé</w:t>
      </w:r>
      <w:r w:rsidR="00847E76" w:rsidRPr="005513D8">
        <w:rPr>
          <w:rFonts w:eastAsia="Calibri" w:cstheme="minorHAnsi"/>
          <w:spacing w:val="-2"/>
          <w:lang w:val="es-ES"/>
        </w:rPr>
        <w:t xml:space="preserve">todo se utiliza para garantizar que las observaciones tratadas y no tratadas estén lo más cercanas posible en términos de sus </w:t>
      </w:r>
      <w:proofErr w:type="spellStart"/>
      <w:r w:rsidR="00847E76" w:rsidRPr="005513D8">
        <w:rPr>
          <w:rFonts w:eastAsia="Calibri" w:cstheme="minorHAnsi"/>
          <w:i/>
          <w:iCs/>
          <w:spacing w:val="-2"/>
          <w:lang w:val="es-ES"/>
        </w:rPr>
        <w:t>propensities</w:t>
      </w:r>
      <w:proofErr w:type="spellEnd"/>
      <w:r w:rsidR="00847E76" w:rsidRPr="005513D8">
        <w:rPr>
          <w:rFonts w:eastAsia="Calibri" w:cstheme="minorHAnsi"/>
          <w:i/>
          <w:iCs/>
          <w:spacing w:val="-2"/>
          <w:lang w:val="es-ES"/>
        </w:rPr>
        <w:t xml:space="preserve"> scores</w:t>
      </w:r>
      <w:r w:rsidR="00847E76" w:rsidRPr="005513D8">
        <w:rPr>
          <w:rFonts w:eastAsia="Calibri" w:cstheme="minorHAnsi"/>
          <w:spacing w:val="-2"/>
          <w:lang w:val="es-ES"/>
        </w:rPr>
        <w:t>.</w:t>
      </w:r>
      <w:r w:rsidR="003008B1" w:rsidRPr="005513D8">
        <w:rPr>
          <w:rFonts w:eastAsia="Calibri" w:cstheme="minorHAnsi"/>
          <w:spacing w:val="-2"/>
          <w:lang w:val="es-ES"/>
        </w:rPr>
        <w:t xml:space="preserve"> En concreto, </w:t>
      </w:r>
      <w:r w:rsidR="00936E6B" w:rsidRPr="005513D8">
        <w:rPr>
          <w:rFonts w:eastAsia="Calibri" w:cstheme="minorHAnsi"/>
          <w:spacing w:val="-2"/>
          <w:lang w:val="es-ES"/>
        </w:rPr>
        <w:t xml:space="preserve">es pertinente en la medida en que </w:t>
      </w:r>
      <w:r w:rsidRPr="005513D8">
        <w:rPr>
          <w:rFonts w:eastAsia="Calibri" w:cstheme="minorHAnsi"/>
          <w:spacing w:val="-2"/>
          <w:lang w:val="es-ES"/>
        </w:rPr>
        <w:t xml:space="preserve">en este enfoque se selecciona individuos del grupo de control que tienen un puntaje de propensión similar al de los individuos tratados, lo cual es de utilidad para las variables macroeconómicas utilizadas en el estudio. Cabe recordar que los individuos tratados </w:t>
      </w:r>
      <w:r w:rsidR="003008B1" w:rsidRPr="005513D8">
        <w:rPr>
          <w:rFonts w:eastAsia="Calibri" w:cstheme="minorHAnsi"/>
          <w:spacing w:val="-2"/>
          <w:lang w:val="es-ES"/>
        </w:rPr>
        <w:t>son</w:t>
      </w:r>
      <w:r w:rsidRPr="005513D8">
        <w:rPr>
          <w:rFonts w:eastAsia="Calibri" w:cstheme="minorHAnsi"/>
          <w:spacing w:val="-2"/>
          <w:lang w:val="es-ES"/>
        </w:rPr>
        <w:t xml:space="preserve"> los países con </w:t>
      </w:r>
      <w:proofErr w:type="spellStart"/>
      <w:r w:rsidRPr="005513D8">
        <w:rPr>
          <w:rFonts w:eastAsia="Calibri" w:cstheme="minorHAnsi"/>
          <w:spacing w:val="-2"/>
          <w:lang w:val="es-ES"/>
        </w:rPr>
        <w:t>ADTs</w:t>
      </w:r>
      <w:proofErr w:type="spellEnd"/>
      <w:r w:rsidRPr="005513D8">
        <w:rPr>
          <w:rFonts w:eastAsia="Calibri" w:cstheme="minorHAnsi"/>
          <w:spacing w:val="-2"/>
          <w:lang w:val="es-ES"/>
        </w:rPr>
        <w:t xml:space="preserve">, mientras que los individuos no tratados serían aquellos sin </w:t>
      </w:r>
      <w:proofErr w:type="spellStart"/>
      <w:r w:rsidRPr="005513D8">
        <w:rPr>
          <w:rFonts w:eastAsia="Calibri" w:cstheme="minorHAnsi"/>
          <w:spacing w:val="-2"/>
          <w:lang w:val="es-ES"/>
        </w:rPr>
        <w:t>ADTs</w:t>
      </w:r>
      <w:proofErr w:type="spellEnd"/>
      <w:r w:rsidRPr="005513D8">
        <w:rPr>
          <w:rFonts w:eastAsia="Calibri" w:cstheme="minorHAnsi"/>
          <w:spacing w:val="-2"/>
          <w:lang w:val="es-ES"/>
        </w:rPr>
        <w:t xml:space="preserve">. Así, se emparejarán los países que tienen </w:t>
      </w:r>
      <w:proofErr w:type="spellStart"/>
      <w:r w:rsidRPr="005513D8">
        <w:rPr>
          <w:rFonts w:eastAsia="Calibri" w:cstheme="minorHAnsi"/>
          <w:spacing w:val="-2"/>
          <w:lang w:val="es-ES"/>
        </w:rPr>
        <w:t>ADTs</w:t>
      </w:r>
      <w:proofErr w:type="spellEnd"/>
      <w:r w:rsidRPr="005513D8">
        <w:rPr>
          <w:rFonts w:eastAsia="Calibri" w:cstheme="minorHAnsi"/>
          <w:spacing w:val="-2"/>
          <w:lang w:val="es-ES"/>
        </w:rPr>
        <w:t xml:space="preserve"> con aquellos países sin </w:t>
      </w:r>
      <w:proofErr w:type="spellStart"/>
      <w:r w:rsidRPr="005513D8">
        <w:rPr>
          <w:rFonts w:eastAsia="Calibri" w:cstheme="minorHAnsi"/>
          <w:spacing w:val="-2"/>
          <w:lang w:val="es-ES"/>
        </w:rPr>
        <w:t>ADTs</w:t>
      </w:r>
      <w:proofErr w:type="spellEnd"/>
      <w:r w:rsidRPr="005513D8">
        <w:rPr>
          <w:rFonts w:eastAsia="Calibri" w:cstheme="minorHAnsi"/>
          <w:spacing w:val="-2"/>
          <w:lang w:val="es-ES"/>
        </w:rPr>
        <w:t xml:space="preserve"> que tienen puntajes de propensión similares. </w:t>
      </w:r>
    </w:p>
    <w:p w14:paraId="2DE9D00E" w14:textId="77777777" w:rsidR="004D3BA6" w:rsidRPr="005513D8" w:rsidRDefault="004D3BA6" w:rsidP="00155715">
      <w:pPr>
        <w:jc w:val="both"/>
        <w:rPr>
          <w:rFonts w:eastAsia="Calibri" w:cstheme="minorHAnsi"/>
          <w:spacing w:val="-2"/>
          <w:lang w:val="es-ES"/>
        </w:rPr>
      </w:pPr>
    </w:p>
    <w:p w14:paraId="7DDF74C3" w14:textId="77777777" w:rsidR="004D3BA6" w:rsidRPr="005513D8" w:rsidRDefault="004D3BA6" w:rsidP="00155715">
      <w:pPr>
        <w:jc w:val="both"/>
        <w:rPr>
          <w:rFonts w:eastAsia="Calibri" w:cstheme="minorHAnsi"/>
          <w:spacing w:val="-2"/>
          <w:lang w:val="es-ES"/>
        </w:rPr>
      </w:pPr>
      <w:r w:rsidRPr="005513D8">
        <w:rPr>
          <w:rFonts w:eastAsia="Calibri" w:cstheme="minorHAnsi"/>
          <w:spacing w:val="-2"/>
          <w:lang w:val="es-ES"/>
        </w:rPr>
        <w:t xml:space="preserve">Por lo tanto, mediante la aplicación de este modelo se buscará estimar el efecto causal de los </w:t>
      </w:r>
      <w:proofErr w:type="spellStart"/>
      <w:r w:rsidRPr="005513D8">
        <w:rPr>
          <w:rFonts w:eastAsia="Calibri" w:cstheme="minorHAnsi"/>
          <w:spacing w:val="-2"/>
          <w:lang w:val="es-ES"/>
        </w:rPr>
        <w:t>ADTs</w:t>
      </w:r>
      <w:proofErr w:type="spellEnd"/>
      <w:r w:rsidRPr="005513D8">
        <w:rPr>
          <w:rFonts w:eastAsia="Calibri" w:cstheme="minorHAnsi"/>
          <w:spacing w:val="-2"/>
          <w:lang w:val="es-ES"/>
        </w:rPr>
        <w:t xml:space="preserve"> en el flujo entrante de IED, controlando por las características específicas de cada país y teniendo en cuenta la variación tanto en el tiempo como entre los países. Los resultados de este estudio podrán proporcionar información valiosa para los responsables de la formulación de políticas, inversionistas y otros actores involucrados en la promoción de la inversión extranjera y el desarrollo económico. Su especificación funcional se muestra a continuación.</w:t>
      </w:r>
    </w:p>
    <w:p w14:paraId="13D224B3" w14:textId="6AC779EA" w:rsidR="004D3BA6" w:rsidRPr="005513D8" w:rsidRDefault="004D3BA6" w:rsidP="00155715">
      <w:pPr>
        <w:tabs>
          <w:tab w:val="left" w:pos="1200"/>
        </w:tabs>
        <w:spacing w:before="196" w:line="242" w:lineRule="auto"/>
        <w:jc w:val="both"/>
        <w:rPr>
          <w:rFonts w:cstheme="minorHAnsi"/>
          <w:b/>
          <w:bCs/>
        </w:rPr>
      </w:pPr>
      <m:oMathPara>
        <m:oMath>
          <m:r>
            <w:rPr>
              <w:rFonts w:ascii="Cambria Math" w:hAnsi="Cambria Math" w:cstheme="minorHAnsi"/>
            </w:rPr>
            <w:lastRenderedPageBreak/>
            <m:t>Log IE</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it</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o</m:t>
              </m:r>
            </m:sub>
          </m:sSub>
          <m:r>
            <w:rPr>
              <w:rFonts w:ascii="Cambria Math" w:hAnsi="Cambria Math" w:cstheme="minorHAnsi"/>
            </w:rPr>
            <m:t>+</m:t>
          </m:r>
          <m:sSub>
            <m:sSubPr>
              <m:ctrlPr>
                <w:rPr>
                  <w:rFonts w:ascii="Cambria Math" w:eastAsia="Cambria Math" w:hAnsi="Cambria Math" w:cstheme="minorHAnsi"/>
                  <w:spacing w:val="-2"/>
                  <w:w w:val="105"/>
                  <w:vertAlign w:val="subscript"/>
                </w:rPr>
              </m:ctrlPr>
            </m:sSubPr>
            <m:e>
              <m:r>
                <m:rPr>
                  <m:sty m:val="p"/>
                </m:rPr>
                <w:rPr>
                  <w:rFonts w:ascii="Cambria Math" w:eastAsia="Cambria Math" w:hAnsi="Cambria Math" w:cstheme="minorHAnsi"/>
                  <w:spacing w:val="-2"/>
                  <w:w w:val="105"/>
                </w:rPr>
                <m:t>β</m:t>
              </m:r>
              <m:ctrlPr>
                <w:rPr>
                  <w:rFonts w:ascii="Cambria Math" w:eastAsia="Cambria Math" w:hAnsi="Cambria Math" w:cstheme="minorHAnsi"/>
                  <w:spacing w:val="-2"/>
                  <w:w w:val="105"/>
                </w:rPr>
              </m:ctrlPr>
            </m:e>
            <m:sub>
              <m:r>
                <m:rPr>
                  <m:sty m:val="p"/>
                </m:rPr>
                <w:rPr>
                  <w:rFonts w:ascii="Cambria Math" w:eastAsia="Cambria Math" w:hAnsi="Cambria Math" w:cstheme="minorHAnsi"/>
                  <w:spacing w:val="-2"/>
                  <w:w w:val="105"/>
                  <w:vertAlign w:val="subscript"/>
                </w:rPr>
                <m:t>1</m:t>
              </m:r>
            </m:sub>
          </m:sSub>
          <m:sSub>
            <m:sSubPr>
              <m:ctrlPr>
                <w:rPr>
                  <w:rFonts w:ascii="Cambria Math" w:eastAsia="Cambria Math" w:hAnsi="Cambria Math" w:cstheme="minorHAnsi"/>
                  <w:spacing w:val="-2"/>
                  <w:w w:val="105"/>
                </w:rPr>
              </m:ctrlPr>
            </m:sSubPr>
            <m:e>
              <m:r>
                <m:rPr>
                  <m:sty m:val="p"/>
                </m:rPr>
                <w:rPr>
                  <w:rFonts w:ascii="Cambria Math" w:eastAsia="Cambria Math" w:hAnsi="Cambria Math" w:cstheme="minorHAnsi"/>
                  <w:spacing w:val="-2"/>
                  <w:w w:val="105"/>
                </w:rPr>
                <m:t>ADT</m:t>
              </m:r>
            </m:e>
            <m:sub>
              <m:r>
                <m:rPr>
                  <m:sty m:val="p"/>
                </m:rPr>
                <w:rPr>
                  <w:rFonts w:ascii="Cambria Math" w:eastAsia="Cambria Math" w:hAnsi="Cambria Math" w:cstheme="minorHAnsi"/>
                  <w:spacing w:val="-2"/>
                  <w:w w:val="105"/>
                  <w:vertAlign w:val="subscript"/>
                </w:rPr>
                <m:t>it</m:t>
              </m:r>
            </m:sub>
          </m:sSub>
          <m:r>
            <w:rPr>
              <w:rFonts w:ascii="Cambria Math" w:hAnsi="Cambria Math" w:cstheme="minorHAnsi"/>
            </w:rPr>
            <m:t>+</m:t>
          </m:r>
          <m:sSub>
            <m:sSubPr>
              <m:ctrlPr>
                <w:rPr>
                  <w:rFonts w:ascii="Cambria Math" w:eastAsia="Cambria Math" w:hAnsi="Cambria Math" w:cstheme="minorHAnsi"/>
                  <w:spacing w:val="-2"/>
                  <w:w w:val="105"/>
                  <w:vertAlign w:val="subscript"/>
                </w:rPr>
              </m:ctrlPr>
            </m:sSubPr>
            <m:e>
              <m:r>
                <m:rPr>
                  <m:sty m:val="p"/>
                </m:rPr>
                <w:rPr>
                  <w:rFonts w:ascii="Cambria Math" w:eastAsia="Cambria Math" w:hAnsi="Cambria Math" w:cstheme="minorHAnsi"/>
                  <w:spacing w:val="-2"/>
                  <w:w w:val="105"/>
                </w:rPr>
                <m:t>β</m:t>
              </m:r>
              <m:ctrlPr>
                <w:rPr>
                  <w:rFonts w:ascii="Cambria Math" w:eastAsia="Cambria Math" w:hAnsi="Cambria Math" w:cstheme="minorHAnsi"/>
                  <w:spacing w:val="-2"/>
                  <w:w w:val="105"/>
                </w:rPr>
              </m:ctrlPr>
            </m:e>
            <m:sub>
              <m:r>
                <m:rPr>
                  <m:sty m:val="p"/>
                </m:rPr>
                <w:rPr>
                  <w:rFonts w:ascii="Cambria Math" w:eastAsia="Cambria Math" w:hAnsi="Cambria Math" w:cstheme="minorHAnsi"/>
                  <w:spacing w:val="-2"/>
                  <w:w w:val="105"/>
                  <w:vertAlign w:val="subscript"/>
                </w:rPr>
                <m:t>2</m:t>
              </m:r>
            </m:sub>
          </m:sSub>
          <m:sSub>
            <m:sSubPr>
              <m:ctrlPr>
                <w:rPr>
                  <w:rFonts w:ascii="Cambria Math" w:eastAsia="Cambria Math" w:hAnsi="Cambria Math" w:cstheme="minorHAnsi"/>
                  <w:spacing w:val="-2"/>
                  <w:w w:val="105"/>
                </w:rPr>
              </m:ctrlPr>
            </m:sSubPr>
            <m:e>
              <m:r>
                <m:rPr>
                  <m:sty m:val="p"/>
                </m:rPr>
                <w:rPr>
                  <w:rFonts w:ascii="Cambria Math" w:eastAsia="Cambria Math" w:hAnsi="Cambria Math" w:cstheme="minorHAnsi"/>
                  <w:spacing w:val="-2"/>
                  <w:w w:val="105"/>
                </w:rPr>
                <m:t>Tratamiento</m:t>
              </m:r>
            </m:e>
            <m:sub>
              <m:r>
                <m:rPr>
                  <m:sty m:val="p"/>
                </m:rPr>
                <w:rPr>
                  <w:rFonts w:ascii="Cambria Math" w:eastAsia="Cambria Math" w:hAnsi="Cambria Math" w:cstheme="minorHAnsi"/>
                  <w:spacing w:val="-2"/>
                  <w:w w:val="105"/>
                  <w:vertAlign w:val="subscript"/>
                </w:rPr>
                <m:t>it</m:t>
              </m:r>
            </m:sub>
          </m:sSub>
          <m:r>
            <w:rPr>
              <w:rFonts w:ascii="Cambria Math" w:hAnsi="Cambria Math" w:cstheme="minorHAnsi"/>
            </w:rPr>
            <m:t>+</m:t>
          </m:r>
          <m:sSub>
            <m:sSubPr>
              <m:ctrlPr>
                <w:rPr>
                  <w:rFonts w:ascii="Cambria Math" w:eastAsia="Cambria Math" w:hAnsi="Cambria Math" w:cstheme="minorHAnsi"/>
                  <w:spacing w:val="-2"/>
                  <w:w w:val="105"/>
                  <w:vertAlign w:val="subscript"/>
                </w:rPr>
              </m:ctrlPr>
            </m:sSubPr>
            <m:e>
              <m:r>
                <m:rPr>
                  <m:sty m:val="p"/>
                </m:rPr>
                <w:rPr>
                  <w:rFonts w:ascii="Cambria Math" w:eastAsia="Cambria Math" w:hAnsi="Cambria Math" w:cstheme="minorHAnsi"/>
                  <w:spacing w:val="-2"/>
                  <w:w w:val="105"/>
                </w:rPr>
                <m:t>β</m:t>
              </m:r>
              <m:ctrlPr>
                <w:rPr>
                  <w:rFonts w:ascii="Cambria Math" w:eastAsia="Cambria Math" w:hAnsi="Cambria Math" w:cstheme="minorHAnsi"/>
                  <w:spacing w:val="-2"/>
                  <w:w w:val="105"/>
                </w:rPr>
              </m:ctrlPr>
            </m:e>
            <m:sub>
              <m:r>
                <m:rPr>
                  <m:sty m:val="p"/>
                </m:rPr>
                <w:rPr>
                  <w:rFonts w:ascii="Cambria Math" w:eastAsia="Cambria Math" w:hAnsi="Cambria Math" w:cstheme="minorHAnsi"/>
                  <w:spacing w:val="-2"/>
                  <w:w w:val="105"/>
                  <w:vertAlign w:val="subscript"/>
                </w:rPr>
                <m:t>3</m:t>
              </m:r>
            </m:sub>
          </m:sSub>
          <m:sSub>
            <m:sSubPr>
              <m:ctrlPr>
                <w:rPr>
                  <w:rFonts w:ascii="Cambria Math" w:eastAsia="Cambria Math" w:hAnsi="Cambria Math" w:cstheme="minorHAnsi"/>
                  <w:spacing w:val="-2"/>
                  <w:w w:val="105"/>
                </w:rPr>
              </m:ctrlPr>
            </m:sSubPr>
            <m:e>
              <m:r>
                <m:rPr>
                  <m:sty m:val="p"/>
                </m:rPr>
                <w:rPr>
                  <w:rFonts w:ascii="Cambria Math" w:eastAsia="Cambria Math" w:hAnsi="Cambria Math" w:cstheme="minorHAnsi"/>
                  <w:spacing w:val="-2"/>
                  <w:w w:val="105"/>
                </w:rPr>
                <m:t>ADT</m:t>
              </m:r>
            </m:e>
            <m:sub>
              <m:r>
                <m:rPr>
                  <m:sty m:val="p"/>
                </m:rPr>
                <w:rPr>
                  <w:rFonts w:ascii="Cambria Math" w:eastAsia="Cambria Math" w:hAnsi="Cambria Math" w:cstheme="minorHAnsi"/>
                  <w:spacing w:val="-2"/>
                  <w:w w:val="105"/>
                  <w:vertAlign w:val="subscript"/>
                </w:rPr>
                <m:t>it</m:t>
              </m:r>
            </m:sub>
          </m:sSub>
          <m:r>
            <m:rPr>
              <m:sty m:val="p"/>
            </m:rPr>
            <w:rPr>
              <w:rFonts w:ascii="Cambria Math" w:eastAsia="Cambria Math" w:hAnsi="Cambria Math" w:cstheme="minorHAnsi"/>
              <w:spacing w:val="-2"/>
              <w:w w:val="105"/>
            </w:rPr>
            <m:t xml:space="preserve"> x </m:t>
          </m:r>
          <m:sSub>
            <m:sSubPr>
              <m:ctrlPr>
                <w:rPr>
                  <w:rFonts w:ascii="Cambria Math" w:eastAsia="Cambria Math" w:hAnsi="Cambria Math" w:cstheme="minorHAnsi"/>
                  <w:spacing w:val="-2"/>
                  <w:w w:val="105"/>
                </w:rPr>
              </m:ctrlPr>
            </m:sSubPr>
            <m:e>
              <m:r>
                <m:rPr>
                  <m:sty m:val="p"/>
                </m:rPr>
                <w:rPr>
                  <w:rFonts w:ascii="Cambria Math" w:eastAsia="Cambria Math" w:hAnsi="Cambria Math" w:cstheme="minorHAnsi"/>
                  <w:spacing w:val="-2"/>
                  <w:w w:val="105"/>
                </w:rPr>
                <m:t>Tratamiento</m:t>
              </m:r>
            </m:e>
            <m:sub>
              <m:r>
                <m:rPr>
                  <m:sty m:val="p"/>
                </m:rPr>
                <w:rPr>
                  <w:rFonts w:ascii="Cambria Math" w:eastAsia="Cambria Math" w:hAnsi="Cambria Math" w:cstheme="minorHAnsi"/>
                  <w:spacing w:val="-2"/>
                  <w:w w:val="105"/>
                </w:rPr>
                <m:t>it</m:t>
              </m:r>
            </m:sub>
          </m:sSub>
          <m:r>
            <m:rPr>
              <m:sty m:val="p"/>
            </m:rPr>
            <w:rPr>
              <w:rFonts w:ascii="Cambria Math" w:eastAsia="Cambria Math" w:hAnsi="Cambria Math" w:cstheme="minorHAnsi"/>
              <w:spacing w:val="-2"/>
              <w:w w:val="105"/>
            </w:rPr>
            <m:t>+</m:t>
          </m:r>
          <m:sSub>
            <m:sSubPr>
              <m:ctrlPr>
                <w:rPr>
                  <w:rFonts w:ascii="Cambria Math" w:eastAsia="Cambria Math" w:hAnsi="Cambria Math" w:cstheme="minorHAnsi"/>
                  <w:spacing w:val="-2"/>
                  <w:w w:val="105"/>
                </w:rPr>
              </m:ctrlPr>
            </m:sSubPr>
            <m:e>
              <m:r>
                <m:rPr>
                  <m:sty m:val="p"/>
                </m:rPr>
                <w:rPr>
                  <w:rFonts w:ascii="Cambria Math" w:eastAsia="Cambria Math" w:hAnsi="Cambria Math" w:cstheme="minorHAnsi"/>
                  <w:spacing w:val="-2"/>
                  <w:w w:val="105"/>
                </w:rPr>
                <m:t>β</m:t>
              </m:r>
              <m:ctrlPr>
                <w:rPr>
                  <w:rFonts w:ascii="Cambria Math" w:eastAsia="Cambria Math" w:hAnsi="Cambria Math" w:cstheme="minorHAnsi"/>
                  <w:spacing w:val="-12"/>
                  <w:w w:val="105"/>
                </w:rPr>
              </m:ctrlPr>
            </m:e>
            <m:sub>
              <m:r>
                <m:rPr>
                  <m:sty m:val="p"/>
                </m:rPr>
                <w:rPr>
                  <w:rFonts w:ascii="Cambria Math" w:eastAsia="Cambria Math" w:hAnsi="Cambria Math" w:cstheme="minorHAnsi"/>
                  <w:spacing w:val="-2"/>
                  <w:w w:val="105"/>
                  <w:vertAlign w:val="subscript"/>
                </w:rPr>
                <m:t>3</m:t>
              </m:r>
            </m:sub>
          </m:sSub>
          <m:sSub>
            <m:sSubPr>
              <m:ctrlPr>
                <w:rPr>
                  <w:rFonts w:ascii="Cambria Math" w:eastAsia="Cambria Math" w:hAnsi="Cambria Math" w:cstheme="minorHAnsi"/>
                  <w:spacing w:val="-5"/>
                  <w:w w:val="105"/>
                </w:rPr>
              </m:ctrlPr>
            </m:sSubPr>
            <m:e>
              <m:r>
                <m:rPr>
                  <m:sty m:val="p"/>
                </m:rPr>
                <w:rPr>
                  <w:rFonts w:ascii="Cambria Math" w:eastAsia="Cambria Math" w:hAnsi="Cambria Math" w:cstheme="minorHAnsi"/>
                  <w:spacing w:val="-5"/>
                  <w:w w:val="105"/>
                </w:rPr>
                <m:t>X</m:t>
              </m:r>
            </m:e>
            <m:sub>
              <m:r>
                <m:rPr>
                  <m:sty m:val="p"/>
                </m:rPr>
                <w:rPr>
                  <w:rFonts w:ascii="Cambria Math" w:eastAsia="Cambria Math" w:hAnsi="Cambria Math" w:cstheme="minorHAnsi"/>
                  <w:spacing w:val="-5"/>
                  <w:w w:val="105"/>
                </w:rPr>
                <m:t>it</m:t>
              </m:r>
            </m:sub>
          </m:sSub>
          <m:r>
            <m:rPr>
              <m:sty m:val="p"/>
            </m:rPr>
            <w:rPr>
              <w:rFonts w:ascii="Cambria Math" w:eastAsia="Cambria Math" w:hAnsi="Cambria Math" w:cstheme="minorHAnsi"/>
              <w:spacing w:val="-5"/>
              <w:w w:val="105"/>
            </w:rPr>
            <m:t xml:space="preserve"> </m:t>
          </m:r>
          <m:r>
            <m:rPr>
              <m:sty m:val="p"/>
            </m:rPr>
            <w:rPr>
              <w:rFonts w:ascii="Cambria Math" w:eastAsia="Cambria Math" w:hAnsi="Cambria Math" w:cstheme="minorHAnsi"/>
              <w:spacing w:val="-4"/>
              <w:w w:val="105"/>
            </w:rPr>
            <m:t>+</m:t>
          </m:r>
          <m:sSub>
            <m:sSubPr>
              <m:ctrlPr>
                <w:rPr>
                  <w:rFonts w:ascii="Cambria Math" w:eastAsia="Cambria Math" w:hAnsi="Cambria Math" w:cstheme="minorHAnsi"/>
                  <w:spacing w:val="-4"/>
                  <w:w w:val="105"/>
                </w:rPr>
              </m:ctrlPr>
            </m:sSubPr>
            <m:e>
              <m:r>
                <m:rPr>
                  <m:sty m:val="p"/>
                </m:rPr>
                <w:rPr>
                  <w:rFonts w:ascii="Cambria Math" w:eastAsia="Cambria Math" w:hAnsi="Cambria Math" w:cstheme="minorHAnsi"/>
                  <w:spacing w:val="-4"/>
                  <w:w w:val="105"/>
                </w:rPr>
                <m:t>λ</m:t>
              </m:r>
            </m:e>
            <m:sub>
              <m:r>
                <m:rPr>
                  <m:sty m:val="p"/>
                </m:rPr>
                <w:rPr>
                  <w:rFonts w:ascii="Cambria Math" w:eastAsia="Cambria Math" w:hAnsi="Cambria Math" w:cstheme="minorHAnsi"/>
                  <w:spacing w:val="-4"/>
                  <w:w w:val="105"/>
                </w:rPr>
                <m:t>i</m:t>
              </m:r>
            </m:sub>
          </m:sSub>
          <m:r>
            <m:rPr>
              <m:sty m:val="p"/>
            </m:rPr>
            <w:rPr>
              <w:rFonts w:ascii="Cambria Math" w:eastAsia="Cambria Math" w:hAnsi="Cambria Math" w:cstheme="minorHAnsi"/>
              <w:spacing w:val="-4"/>
              <w:w w:val="105"/>
            </w:rPr>
            <m:t>+</m:t>
          </m:r>
          <m:sSub>
            <m:sSubPr>
              <m:ctrlPr>
                <w:rPr>
                  <w:rFonts w:ascii="Cambria Math" w:eastAsia="Cambria Math" w:hAnsi="Cambria Math" w:cstheme="minorHAnsi"/>
                  <w:spacing w:val="-4"/>
                  <w:w w:val="105"/>
                </w:rPr>
              </m:ctrlPr>
            </m:sSubPr>
            <m:e>
              <m:r>
                <m:rPr>
                  <m:sty m:val="p"/>
                </m:rPr>
                <w:rPr>
                  <w:rFonts w:ascii="Cambria Math" w:eastAsia="Cambria Math" w:hAnsi="Cambria Math" w:cstheme="minorHAnsi"/>
                  <w:spacing w:val="-4"/>
                  <w:w w:val="105"/>
                </w:rPr>
                <m:t>δ</m:t>
              </m:r>
            </m:e>
            <m:sub>
              <m:r>
                <m:rPr>
                  <m:sty m:val="p"/>
                </m:rPr>
                <w:rPr>
                  <w:rFonts w:ascii="Cambria Math" w:eastAsia="Cambria Math" w:hAnsi="Cambria Math" w:cstheme="minorHAnsi"/>
                  <w:spacing w:val="-4"/>
                  <w:w w:val="105"/>
                </w:rPr>
                <m:t>t</m:t>
              </m:r>
            </m:sub>
          </m:sSub>
          <m:r>
            <m:rPr>
              <m:sty m:val="p"/>
            </m:rPr>
            <w:rPr>
              <w:rFonts w:ascii="Cambria Math" w:eastAsia="Cambria Math" w:hAnsi="Cambria Math" w:cstheme="minorHAnsi"/>
              <w:spacing w:val="-4"/>
              <w:w w:val="105"/>
            </w:rPr>
            <m:t>+</m:t>
          </m:r>
          <m:sSub>
            <m:sSubPr>
              <m:ctrlPr>
                <w:rPr>
                  <w:rFonts w:ascii="Cambria Math" w:eastAsia="Cambria Math" w:hAnsi="Cambria Math" w:cstheme="minorHAnsi"/>
                  <w:spacing w:val="-4"/>
                  <w:w w:val="105"/>
                </w:rPr>
              </m:ctrlPr>
            </m:sSubPr>
            <m:e>
              <m:r>
                <m:rPr>
                  <m:sty m:val="p"/>
                </m:rPr>
                <w:rPr>
                  <w:rFonts w:ascii="Cambria Math" w:eastAsia="Cambria Math" w:hAnsi="Cambria Math"/>
                  <w:spacing w:val="-4"/>
                  <w:w w:val="105"/>
                </w:rPr>
                <m:t>ξ</m:t>
              </m:r>
            </m:e>
            <m:sub>
              <m:r>
                <m:rPr>
                  <m:sty m:val="p"/>
                </m:rPr>
                <w:rPr>
                  <w:rFonts w:ascii="Cambria Math" w:eastAsia="Cambria Math" w:hAnsi="Cambria Math" w:cstheme="minorHAnsi"/>
                  <w:spacing w:val="-4"/>
                  <w:w w:val="105"/>
                  <w:vertAlign w:val="subscript"/>
                </w:rPr>
                <m:t>it</m:t>
              </m:r>
            </m:sub>
          </m:sSub>
        </m:oMath>
      </m:oMathPara>
    </w:p>
    <w:p w14:paraId="7FD69BC6" w14:textId="77777777" w:rsidR="004D3BA6" w:rsidRPr="00A27E4E" w:rsidRDefault="004D3BA6" w:rsidP="00155715">
      <w:pPr>
        <w:pStyle w:val="BodyText"/>
        <w:spacing w:before="201"/>
        <w:ind w:firstLine="705"/>
        <w:jc w:val="both"/>
        <w:rPr>
          <w:rFonts w:ascii="Times New Roman" w:hAnsi="Times New Roman" w:cs="Times New Roman"/>
        </w:rPr>
      </w:pPr>
      <w:r w:rsidRPr="00A27E4E">
        <w:rPr>
          <w:rFonts w:ascii="Times New Roman" w:hAnsi="Times New Roman" w:cs="Times New Roman"/>
        </w:rPr>
        <w:t xml:space="preserve">Donde: </w:t>
      </w:r>
    </w:p>
    <w:p w14:paraId="672301D6" w14:textId="77777777" w:rsidR="004D3BA6" w:rsidRPr="00A27E4E" w:rsidRDefault="004D3BA6" w:rsidP="00295BB3">
      <w:pPr>
        <w:pStyle w:val="BodyText"/>
        <w:numPr>
          <w:ilvl w:val="0"/>
          <w:numId w:val="27"/>
        </w:numPr>
        <w:spacing w:before="201"/>
        <w:jc w:val="both"/>
        <w:rPr>
          <w:rFonts w:ascii="Times New Roman" w:hAnsi="Times New Roman" w:cs="Times New Roman"/>
        </w:rPr>
      </w:pPr>
      <m:oMath>
        <m:r>
          <m:rPr>
            <m:sty m:val="bi"/>
          </m:rPr>
          <w:rPr>
            <w:rFonts w:ascii="Cambria Math" w:hAnsi="Cambria Math" w:cs="Times New Roman"/>
          </w:rPr>
          <m:t>IE</m:t>
        </m:r>
        <m:sSub>
          <m:sSubPr>
            <m:ctrlPr>
              <w:rPr>
                <w:rFonts w:ascii="Cambria Math" w:hAnsi="Cambria Math" w:cs="Times New Roman"/>
                <w:b/>
                <w:bCs/>
                <w:i/>
              </w:rPr>
            </m:ctrlPr>
          </m:sSubPr>
          <m:e>
            <m:r>
              <m:rPr>
                <m:sty m:val="bi"/>
              </m:rPr>
              <w:rPr>
                <w:rFonts w:ascii="Cambria Math" w:hAnsi="Cambria Math" w:cs="Times New Roman"/>
              </w:rPr>
              <m:t>D</m:t>
            </m:r>
          </m:e>
          <m:sub>
            <m:r>
              <m:rPr>
                <m:sty m:val="bi"/>
              </m:rPr>
              <w:rPr>
                <w:rFonts w:ascii="Cambria Math" w:hAnsi="Cambria Math" w:cs="Times New Roman"/>
              </w:rPr>
              <m:t>it</m:t>
            </m:r>
          </m:sub>
        </m:sSub>
      </m:oMath>
      <w:r w:rsidRPr="00A27E4E">
        <w:rPr>
          <w:rFonts w:ascii="Times New Roman" w:hAnsi="Times New Roman" w:cs="Times New Roman"/>
          <w:b/>
          <w:bCs/>
        </w:rPr>
        <w:t>:</w:t>
      </w:r>
      <w:r w:rsidRPr="00A27E4E">
        <w:rPr>
          <w:rFonts w:ascii="Times New Roman" w:hAnsi="Times New Roman" w:cs="Times New Roman"/>
        </w:rPr>
        <w:t xml:space="preserve"> Flujos de entrada de IED hacia Colombia. Información proveniente de la página oficial del Banco de la República.</w:t>
      </w:r>
    </w:p>
    <w:p w14:paraId="450A5D90" w14:textId="77777777" w:rsidR="004D3BA6" w:rsidRPr="00A27E4E" w:rsidRDefault="00540F24" w:rsidP="00295BB3">
      <w:pPr>
        <w:pStyle w:val="BodyText"/>
        <w:numPr>
          <w:ilvl w:val="0"/>
          <w:numId w:val="27"/>
        </w:numPr>
        <w:spacing w:before="201"/>
        <w:jc w:val="both"/>
        <w:rPr>
          <w:rFonts w:ascii="Times New Roman" w:hAnsi="Times New Roman" w:cs="Times New Roman"/>
        </w:rPr>
      </w:pPr>
      <m:oMath>
        <m:sSub>
          <m:sSubPr>
            <m:ctrlPr>
              <w:rPr>
                <w:rFonts w:ascii="Cambria Math" w:eastAsia="Cambria Math" w:hAnsi="Cambria Math" w:cs="Times New Roman"/>
                <w:b/>
                <w:bCs/>
                <w:spacing w:val="-2"/>
                <w:w w:val="105"/>
              </w:rPr>
            </m:ctrlPr>
          </m:sSubPr>
          <m:e>
            <m:r>
              <m:rPr>
                <m:sty m:val="b"/>
              </m:rPr>
              <w:rPr>
                <w:rFonts w:ascii="Cambria Math" w:eastAsia="Cambria Math" w:hAnsi="Cambria Math" w:cs="Times New Roman"/>
                <w:spacing w:val="-2"/>
                <w:w w:val="105"/>
              </w:rPr>
              <m:t>ADT</m:t>
            </m:r>
          </m:e>
          <m:sub>
            <m:r>
              <m:rPr>
                <m:sty m:val="b"/>
              </m:rPr>
              <w:rPr>
                <w:rFonts w:ascii="Cambria Math" w:eastAsia="Cambria Math" w:hAnsi="Cambria Math" w:cs="Times New Roman"/>
                <w:spacing w:val="-2"/>
                <w:w w:val="105"/>
                <w:vertAlign w:val="subscript"/>
              </w:rPr>
              <m:t>it</m:t>
            </m:r>
          </m:sub>
        </m:sSub>
      </m:oMath>
      <w:r w:rsidR="004D3BA6" w:rsidRPr="00A27E4E">
        <w:rPr>
          <w:rFonts w:ascii="Times New Roman" w:hAnsi="Times New Roman" w:cs="Times New Roman"/>
          <w:b/>
          <w:bCs/>
        </w:rPr>
        <w:t>:</w:t>
      </w:r>
      <w:r w:rsidR="004D3BA6" w:rsidRPr="00A27E4E">
        <w:rPr>
          <w:rFonts w:ascii="Times New Roman" w:hAnsi="Times New Roman" w:cs="Times New Roman"/>
        </w:rPr>
        <w:t xml:space="preserve"> Variable dummy en donde se identifica si el país tiene o no un acuerdo de doble tributación en un momento dado. Información proveniente de la página del Banco de la República y la Dirección de Impuestos y Aduanas Nacionales (DIAN).</w:t>
      </w:r>
    </w:p>
    <w:p w14:paraId="39B42997" w14:textId="77777777" w:rsidR="004D3BA6" w:rsidRPr="00A27E4E" w:rsidRDefault="00540F24" w:rsidP="00295BB3">
      <w:pPr>
        <w:pStyle w:val="BodyText"/>
        <w:numPr>
          <w:ilvl w:val="0"/>
          <w:numId w:val="27"/>
        </w:numPr>
        <w:spacing w:before="201"/>
        <w:jc w:val="both"/>
        <w:rPr>
          <w:rFonts w:ascii="Times New Roman" w:hAnsi="Times New Roman" w:cs="Times New Roman"/>
        </w:rPr>
      </w:pPr>
      <m:oMath>
        <m:sSub>
          <m:sSubPr>
            <m:ctrlPr>
              <w:rPr>
                <w:rFonts w:ascii="Cambria Math" w:eastAsia="Cambria Math" w:hAnsi="Cambria Math" w:cs="Times New Roman"/>
                <w:b/>
                <w:bCs/>
                <w:spacing w:val="-2"/>
                <w:w w:val="105"/>
              </w:rPr>
            </m:ctrlPr>
          </m:sSubPr>
          <m:e>
            <m:r>
              <m:rPr>
                <m:sty m:val="b"/>
              </m:rPr>
              <w:rPr>
                <w:rFonts w:ascii="Cambria Math" w:eastAsia="Cambria Math" w:hAnsi="Cambria Math" w:cs="Times New Roman"/>
                <w:spacing w:val="-2"/>
                <w:w w:val="105"/>
              </w:rPr>
              <m:t>Tratamiento</m:t>
            </m:r>
          </m:e>
          <m:sub>
            <m:r>
              <m:rPr>
                <m:sty m:val="b"/>
              </m:rPr>
              <w:rPr>
                <w:rFonts w:ascii="Cambria Math" w:eastAsia="Cambria Math" w:hAnsi="Cambria Math" w:cs="Times New Roman"/>
                <w:spacing w:val="-2"/>
                <w:w w:val="105"/>
                <w:vertAlign w:val="subscript"/>
              </w:rPr>
              <m:t>it</m:t>
            </m:r>
          </m:sub>
        </m:sSub>
      </m:oMath>
      <w:r w:rsidR="004D3BA6" w:rsidRPr="00A27E4E">
        <w:rPr>
          <w:rFonts w:ascii="Times New Roman" w:hAnsi="Times New Roman" w:cs="Times New Roman"/>
          <w:b/>
          <w:bCs/>
        </w:rPr>
        <w:t>:</w:t>
      </w:r>
      <w:r w:rsidR="004D3BA6" w:rsidRPr="00A27E4E">
        <w:rPr>
          <w:rFonts w:ascii="Times New Roman" w:hAnsi="Times New Roman" w:cs="Times New Roman"/>
        </w:rPr>
        <w:t xml:space="preserve"> Variable dummy que toma el valor 1 para los países que tienen </w:t>
      </w:r>
      <w:proofErr w:type="spellStart"/>
      <w:r w:rsidR="004D3BA6" w:rsidRPr="00A27E4E">
        <w:rPr>
          <w:rFonts w:ascii="Times New Roman" w:hAnsi="Times New Roman" w:cs="Times New Roman"/>
        </w:rPr>
        <w:t>ADTs</w:t>
      </w:r>
      <w:proofErr w:type="spellEnd"/>
      <w:r w:rsidR="004D3BA6" w:rsidRPr="00A27E4E">
        <w:rPr>
          <w:rFonts w:ascii="Times New Roman" w:hAnsi="Times New Roman" w:cs="Times New Roman"/>
        </w:rPr>
        <w:t xml:space="preserve"> y 0 para aquellos que no los tienen. Información proveniente de la página del Banco de la República y la Dirección de Impuestos y Aduanas Nacionales (DIAN).</w:t>
      </w:r>
    </w:p>
    <w:p w14:paraId="4FAC5C3F" w14:textId="77EC63B7" w:rsidR="004D3BA6" w:rsidRPr="00A27E4E" w:rsidRDefault="00540F24" w:rsidP="00295BB3">
      <w:pPr>
        <w:pStyle w:val="BodyText"/>
        <w:numPr>
          <w:ilvl w:val="0"/>
          <w:numId w:val="27"/>
        </w:numPr>
        <w:spacing w:before="201"/>
        <w:jc w:val="both"/>
        <w:rPr>
          <w:rFonts w:ascii="Times New Roman" w:hAnsi="Times New Roman" w:cs="Times New Roman"/>
          <w:b/>
          <w:bCs/>
          <w:spacing w:val="-5"/>
          <w:w w:val="105"/>
        </w:rPr>
      </w:pPr>
      <m:oMath>
        <m:sSub>
          <m:sSubPr>
            <m:ctrlPr>
              <w:rPr>
                <w:rFonts w:ascii="Cambria Math" w:eastAsia="Cambria Math" w:hAnsi="Cambria Math" w:cs="Times New Roman"/>
                <w:b/>
                <w:bCs/>
                <w:spacing w:val="-5"/>
                <w:w w:val="105"/>
              </w:rPr>
            </m:ctrlPr>
          </m:sSubPr>
          <m:e>
            <m:r>
              <m:rPr>
                <m:sty m:val="b"/>
              </m:rPr>
              <w:rPr>
                <w:rFonts w:ascii="Cambria Math" w:eastAsia="Cambria Math" w:hAnsi="Cambria Math" w:cs="Times New Roman"/>
                <w:spacing w:val="-5"/>
                <w:w w:val="105"/>
              </w:rPr>
              <m:t>X</m:t>
            </m:r>
          </m:e>
          <m:sub>
            <m:r>
              <m:rPr>
                <m:sty m:val="b"/>
              </m:rPr>
              <w:rPr>
                <w:rFonts w:ascii="Cambria Math" w:eastAsia="Cambria Math" w:hAnsi="Cambria Math" w:cs="Times New Roman"/>
                <w:spacing w:val="-5"/>
                <w:w w:val="105"/>
              </w:rPr>
              <m:t>it</m:t>
            </m:r>
          </m:sub>
        </m:sSub>
      </m:oMath>
      <w:r w:rsidR="004D3BA6" w:rsidRPr="00A27E4E">
        <w:rPr>
          <w:rFonts w:ascii="Times New Roman" w:hAnsi="Times New Roman" w:cs="Times New Roman"/>
          <w:b/>
          <w:bCs/>
          <w:spacing w:val="-5"/>
          <w:w w:val="105"/>
        </w:rPr>
        <w:t>:</w:t>
      </w:r>
      <w:r w:rsidR="004D3BA6" w:rsidRPr="00A27E4E">
        <w:rPr>
          <w:rFonts w:ascii="Times New Roman" w:hAnsi="Times New Roman" w:cs="Times New Roman"/>
        </w:rPr>
        <w:t xml:space="preserve"> </w:t>
      </w:r>
      <w:r w:rsidR="00944477" w:rsidRPr="00A27E4E">
        <w:rPr>
          <w:rFonts w:ascii="Times New Roman" w:hAnsi="Times New Roman" w:cs="Times New Roman"/>
        </w:rPr>
        <w:t>Representa un vector de variables independientes, que incluye el PIB de cada país, la inflación, la balanza comercial, la diferencia en el impuesto de renta entre Colombia y el país i, Acuerdos de protección a inversión, entre otros.</w:t>
      </w:r>
    </w:p>
    <w:p w14:paraId="225BC749" w14:textId="77777777" w:rsidR="004D3BA6" w:rsidRPr="00A27E4E" w:rsidRDefault="00540F24" w:rsidP="00295BB3">
      <w:pPr>
        <w:pStyle w:val="BodyText"/>
        <w:numPr>
          <w:ilvl w:val="0"/>
          <w:numId w:val="27"/>
        </w:numPr>
        <w:spacing w:before="201"/>
        <w:jc w:val="both"/>
        <w:rPr>
          <w:rFonts w:ascii="Times New Roman" w:hAnsi="Times New Roman" w:cs="Times New Roman"/>
          <w:b/>
          <w:bCs/>
          <w:spacing w:val="-5"/>
          <w:w w:val="105"/>
        </w:rPr>
      </w:pPr>
      <m:oMath>
        <m:sSub>
          <m:sSubPr>
            <m:ctrlPr>
              <w:rPr>
                <w:rFonts w:ascii="Cambria Math" w:eastAsia="Cambria Math" w:hAnsi="Cambria Math" w:cs="Times New Roman"/>
                <w:b/>
                <w:bCs/>
                <w:spacing w:val="-4"/>
                <w:w w:val="105"/>
              </w:rPr>
            </m:ctrlPr>
          </m:sSubPr>
          <m:e>
            <m:r>
              <m:rPr>
                <m:sty m:val="b"/>
              </m:rPr>
              <w:rPr>
                <w:rFonts w:ascii="Cambria Math" w:eastAsia="Cambria Math" w:hAnsi="Cambria Math" w:cs="Times New Roman"/>
                <w:spacing w:val="-4"/>
                <w:w w:val="105"/>
              </w:rPr>
              <m:t>λ</m:t>
            </m:r>
          </m:e>
          <m:sub>
            <m:r>
              <m:rPr>
                <m:sty m:val="b"/>
              </m:rPr>
              <w:rPr>
                <w:rFonts w:ascii="Cambria Math" w:eastAsia="Cambria Math" w:hAnsi="Cambria Math" w:cs="Times New Roman"/>
                <w:spacing w:val="-4"/>
                <w:w w:val="105"/>
              </w:rPr>
              <m:t>i</m:t>
            </m:r>
          </m:sub>
        </m:sSub>
      </m:oMath>
      <w:r w:rsidR="004D3BA6" w:rsidRPr="00A27E4E">
        <w:rPr>
          <w:rFonts w:ascii="Times New Roman" w:hAnsi="Times New Roman" w:cs="Times New Roman"/>
          <w:b/>
          <w:bCs/>
          <w:spacing w:val="-4"/>
          <w:w w:val="105"/>
        </w:rPr>
        <w:t>:</w:t>
      </w:r>
      <w:r w:rsidR="004D3BA6" w:rsidRPr="00A27E4E">
        <w:rPr>
          <w:rFonts w:ascii="Times New Roman" w:hAnsi="Times New Roman" w:cs="Times New Roman"/>
        </w:rPr>
        <w:t xml:space="preserve"> </w:t>
      </w:r>
      <w:r w:rsidR="004D3BA6" w:rsidRPr="00A27E4E">
        <w:rPr>
          <w:rFonts w:ascii="Times New Roman" w:hAnsi="Times New Roman" w:cs="Times New Roman"/>
          <w:spacing w:val="-4"/>
          <w:w w:val="105"/>
        </w:rPr>
        <w:t>Es un conjunto de efectos fijos a nivel de país, capturando las características específicas de cada país que podrían influir en el flujo de IED.</w:t>
      </w:r>
    </w:p>
    <w:p w14:paraId="35F912A9" w14:textId="77777777" w:rsidR="004D3BA6" w:rsidRPr="00A27E4E" w:rsidRDefault="00540F24" w:rsidP="00295BB3">
      <w:pPr>
        <w:pStyle w:val="BodyText"/>
        <w:numPr>
          <w:ilvl w:val="0"/>
          <w:numId w:val="27"/>
        </w:numPr>
        <w:spacing w:before="201"/>
        <w:jc w:val="both"/>
        <w:rPr>
          <w:rFonts w:ascii="Times New Roman" w:hAnsi="Times New Roman" w:cs="Times New Roman"/>
          <w:b/>
          <w:bCs/>
          <w:spacing w:val="-5"/>
          <w:w w:val="105"/>
        </w:rPr>
      </w:pPr>
      <m:oMath>
        <m:sSub>
          <m:sSubPr>
            <m:ctrlPr>
              <w:rPr>
                <w:rFonts w:ascii="Cambria Math" w:eastAsia="Cambria Math" w:hAnsi="Cambria Math" w:cs="Times New Roman"/>
                <w:b/>
                <w:bCs/>
                <w:spacing w:val="-4"/>
                <w:w w:val="105"/>
              </w:rPr>
            </m:ctrlPr>
          </m:sSubPr>
          <m:e>
            <m:r>
              <m:rPr>
                <m:sty m:val="b"/>
              </m:rPr>
              <w:rPr>
                <w:rFonts w:ascii="Cambria Math" w:eastAsia="Cambria Math" w:hAnsi="Cambria Math" w:cs="Times New Roman"/>
                <w:spacing w:val="-4"/>
                <w:w w:val="105"/>
              </w:rPr>
              <m:t>δ</m:t>
            </m:r>
          </m:e>
          <m:sub>
            <m:r>
              <m:rPr>
                <m:sty m:val="b"/>
              </m:rPr>
              <w:rPr>
                <w:rFonts w:ascii="Cambria Math" w:eastAsia="Cambria Math" w:hAnsi="Cambria Math" w:cs="Times New Roman"/>
                <w:spacing w:val="-4"/>
                <w:w w:val="105"/>
              </w:rPr>
              <m:t>t</m:t>
            </m:r>
          </m:sub>
        </m:sSub>
      </m:oMath>
      <w:r w:rsidR="004D3BA6" w:rsidRPr="00A27E4E">
        <w:rPr>
          <w:rFonts w:ascii="Times New Roman" w:hAnsi="Times New Roman" w:cs="Times New Roman"/>
          <w:b/>
          <w:bCs/>
          <w:spacing w:val="-4"/>
          <w:w w:val="105"/>
        </w:rPr>
        <w:t>:</w:t>
      </w:r>
      <w:r w:rsidR="004D3BA6" w:rsidRPr="00A27E4E">
        <w:rPr>
          <w:rFonts w:ascii="Times New Roman" w:hAnsi="Times New Roman" w:cs="Times New Roman"/>
        </w:rPr>
        <w:t xml:space="preserve"> </w:t>
      </w:r>
      <w:r w:rsidR="004D3BA6" w:rsidRPr="00A27E4E">
        <w:rPr>
          <w:rFonts w:ascii="Times New Roman" w:hAnsi="Times New Roman" w:cs="Times New Roman"/>
          <w:spacing w:val="-4"/>
          <w:w w:val="105"/>
        </w:rPr>
        <w:t>Es un conjunto de efectos fijos a nivel de tiempo, teniendo en cuenta las variaciones sistemáticas en el tiempo que podrían afectar el flujo de IED.</w:t>
      </w:r>
    </w:p>
    <w:p w14:paraId="54E85A0B" w14:textId="5A3458F3" w:rsidR="004D3BA6" w:rsidRPr="00A27E4E" w:rsidRDefault="00540F24" w:rsidP="00295BB3">
      <w:pPr>
        <w:pStyle w:val="BodyText"/>
        <w:numPr>
          <w:ilvl w:val="0"/>
          <w:numId w:val="27"/>
        </w:numPr>
        <w:spacing w:before="201"/>
        <w:jc w:val="both"/>
        <w:rPr>
          <w:rFonts w:ascii="Times New Roman" w:hAnsi="Times New Roman" w:cs="Times New Roman"/>
          <w:b/>
          <w:bCs/>
        </w:rPr>
      </w:pPr>
      <m:oMath>
        <m:sSub>
          <m:sSubPr>
            <m:ctrlPr>
              <w:rPr>
                <w:rFonts w:ascii="Cambria Math" w:eastAsia="Cambria Math" w:hAnsi="Cambria Math" w:cs="Times New Roman"/>
                <w:b/>
                <w:bCs/>
                <w:spacing w:val="-4"/>
                <w:w w:val="105"/>
              </w:rPr>
            </m:ctrlPr>
          </m:sSubPr>
          <m:e>
            <m:r>
              <m:rPr>
                <m:sty m:val="p"/>
              </m:rPr>
              <w:rPr>
                <w:rFonts w:ascii="Cambria Math" w:eastAsia="Cambria Math" w:hAnsi="Cambria Math" w:cs="Times New Roman"/>
                <w:spacing w:val="-4"/>
                <w:w w:val="105"/>
              </w:rPr>
              <m:t>ξ</m:t>
            </m:r>
          </m:e>
          <m:sub>
            <m:r>
              <m:rPr>
                <m:sty m:val="b"/>
              </m:rPr>
              <w:rPr>
                <w:rFonts w:ascii="Cambria Math" w:eastAsia="Cambria Math" w:hAnsi="Cambria Math" w:cs="Times New Roman"/>
                <w:spacing w:val="-4"/>
                <w:w w:val="105"/>
                <w:vertAlign w:val="subscript"/>
              </w:rPr>
              <m:t>it</m:t>
            </m:r>
          </m:sub>
        </m:sSub>
      </m:oMath>
      <w:r w:rsidR="004D3BA6" w:rsidRPr="00A27E4E">
        <w:rPr>
          <w:rFonts w:ascii="Times New Roman" w:hAnsi="Times New Roman" w:cs="Times New Roman"/>
          <w:b/>
          <w:bCs/>
          <w:spacing w:val="-5"/>
          <w:w w:val="105"/>
        </w:rPr>
        <w:t xml:space="preserve">. </w:t>
      </w:r>
      <w:r w:rsidR="004D3BA6" w:rsidRPr="00A27E4E">
        <w:rPr>
          <w:rFonts w:ascii="Times New Roman" w:hAnsi="Times New Roman" w:cs="Times New Roman"/>
          <w:spacing w:val="-5"/>
          <w:w w:val="105"/>
        </w:rPr>
        <w:t>es el término de error, que recoge otros factores no observados y el ruido aleatorio en el modelo.</w:t>
      </w:r>
    </w:p>
    <w:p w14:paraId="3A215135" w14:textId="77777777" w:rsidR="00D95E0E" w:rsidRPr="00000A8A" w:rsidRDefault="00D95E0E" w:rsidP="00155715">
      <w:pPr>
        <w:jc w:val="both"/>
        <w:rPr>
          <w:b/>
          <w:bCs/>
          <w:lang w:val="es-ES"/>
        </w:rPr>
      </w:pPr>
    </w:p>
    <w:p w14:paraId="5A258ACA" w14:textId="13015064" w:rsidR="006D5A2C" w:rsidRPr="00000A8A" w:rsidRDefault="00D95E0E" w:rsidP="00155715">
      <w:pPr>
        <w:pStyle w:val="Heading2"/>
        <w:jc w:val="both"/>
        <w:rPr>
          <w:szCs w:val="24"/>
          <w:lang w:val="es-ES"/>
        </w:rPr>
      </w:pPr>
      <w:r w:rsidRPr="00000A8A">
        <w:rPr>
          <w:szCs w:val="24"/>
          <w:lang w:val="es-ES"/>
        </w:rPr>
        <w:t>Resultados</w:t>
      </w:r>
    </w:p>
    <w:p w14:paraId="150CCCCA" w14:textId="7FC01DF5" w:rsidR="00324899" w:rsidRPr="00A27E4E" w:rsidRDefault="00324899" w:rsidP="00155715">
      <w:pPr>
        <w:pStyle w:val="BodyText"/>
        <w:spacing w:before="201"/>
        <w:jc w:val="both"/>
        <w:rPr>
          <w:rFonts w:ascii="Times New Roman" w:hAnsi="Times New Roman" w:cs="Times New Roman"/>
          <w:spacing w:val="-5"/>
          <w:w w:val="105"/>
        </w:rPr>
      </w:pPr>
      <w:r w:rsidRPr="00A27E4E">
        <w:rPr>
          <w:rFonts w:ascii="Times New Roman" w:hAnsi="Times New Roman" w:cs="Times New Roman"/>
          <w:spacing w:val="-5"/>
          <w:w w:val="105"/>
        </w:rPr>
        <w:t>Se llevaron a cabo cuatro estimaciones para cada</w:t>
      </w:r>
      <w:r w:rsidR="00575B00">
        <w:rPr>
          <w:rFonts w:ascii="Times New Roman" w:hAnsi="Times New Roman" w:cs="Times New Roman"/>
          <w:spacing w:val="-5"/>
          <w:w w:val="105"/>
        </w:rPr>
        <w:t xml:space="preserve"> </w:t>
      </w:r>
      <w:r w:rsidRPr="00A27E4E">
        <w:rPr>
          <w:rFonts w:ascii="Times New Roman" w:hAnsi="Times New Roman" w:cs="Times New Roman"/>
          <w:spacing w:val="-5"/>
          <w:w w:val="105"/>
        </w:rPr>
        <w:t>modelo</w:t>
      </w:r>
      <w:r w:rsidR="00575B00">
        <w:rPr>
          <w:rFonts w:ascii="Times New Roman" w:hAnsi="Times New Roman" w:cs="Times New Roman"/>
          <w:spacing w:val="-5"/>
          <w:w w:val="105"/>
        </w:rPr>
        <w:t xml:space="preserve"> </w:t>
      </w:r>
      <w:r w:rsidRPr="00A27E4E">
        <w:rPr>
          <w:rFonts w:ascii="Times New Roman" w:hAnsi="Times New Roman" w:cs="Times New Roman"/>
          <w:spacing w:val="-5"/>
          <w:w w:val="105"/>
        </w:rPr>
        <w:t>con el propósito de analizar</w:t>
      </w:r>
      <w:r w:rsidR="00F110FF" w:rsidRPr="00A27E4E">
        <w:rPr>
          <w:rFonts w:ascii="Times New Roman" w:hAnsi="Times New Roman" w:cs="Times New Roman"/>
          <w:spacing w:val="-5"/>
          <w:w w:val="105"/>
        </w:rPr>
        <w:t xml:space="preserve"> la evolución </w:t>
      </w:r>
      <w:r w:rsidR="00175789" w:rsidRPr="00A27E4E">
        <w:rPr>
          <w:rFonts w:ascii="Times New Roman" w:hAnsi="Times New Roman" w:cs="Times New Roman"/>
          <w:spacing w:val="-5"/>
          <w:w w:val="105"/>
        </w:rPr>
        <w:t>d</w:t>
      </w:r>
      <w:r w:rsidRPr="00A27E4E">
        <w:rPr>
          <w:rFonts w:ascii="Times New Roman" w:hAnsi="Times New Roman" w:cs="Times New Roman"/>
          <w:spacing w:val="-5"/>
          <w:w w:val="105"/>
        </w:rPr>
        <w:t xml:space="preserve">el </w:t>
      </w:r>
      <w:r w:rsidR="00BB0A59" w:rsidRPr="00A27E4E">
        <w:rPr>
          <w:rFonts w:ascii="Times New Roman" w:hAnsi="Times New Roman" w:cs="Times New Roman"/>
          <w:spacing w:val="-5"/>
          <w:w w:val="105"/>
        </w:rPr>
        <w:t>impacto</w:t>
      </w:r>
      <w:r w:rsidRPr="00A27E4E">
        <w:rPr>
          <w:rFonts w:ascii="Times New Roman" w:hAnsi="Times New Roman" w:cs="Times New Roman"/>
          <w:spacing w:val="-5"/>
          <w:w w:val="105"/>
        </w:rPr>
        <w:t xml:space="preserve"> de los Acuerdos de Doble </w:t>
      </w:r>
      <w:r w:rsidR="00575B00">
        <w:rPr>
          <w:rFonts w:ascii="Times New Roman" w:hAnsi="Times New Roman" w:cs="Times New Roman"/>
          <w:spacing w:val="-5"/>
          <w:w w:val="105"/>
        </w:rPr>
        <w:t>Tributación</w:t>
      </w:r>
      <w:r w:rsidRPr="00A27E4E">
        <w:rPr>
          <w:rFonts w:ascii="Times New Roman" w:hAnsi="Times New Roman" w:cs="Times New Roman"/>
          <w:spacing w:val="-5"/>
          <w:w w:val="105"/>
        </w:rPr>
        <w:t xml:space="preserve"> en los flujos </w:t>
      </w:r>
      <w:r w:rsidR="001B6F76">
        <w:rPr>
          <w:rFonts w:ascii="Times New Roman" w:hAnsi="Times New Roman" w:cs="Times New Roman"/>
          <w:spacing w:val="-5"/>
          <w:w w:val="105"/>
        </w:rPr>
        <w:t xml:space="preserve">de IED </w:t>
      </w:r>
      <w:r w:rsidR="00ED074E" w:rsidRPr="00A27E4E">
        <w:rPr>
          <w:rFonts w:ascii="Times New Roman" w:hAnsi="Times New Roman" w:cs="Times New Roman"/>
          <w:spacing w:val="-5"/>
          <w:w w:val="105"/>
        </w:rPr>
        <w:t xml:space="preserve">a medida que se </w:t>
      </w:r>
      <w:r w:rsidR="001B6F76">
        <w:rPr>
          <w:rFonts w:ascii="Times New Roman" w:hAnsi="Times New Roman" w:cs="Times New Roman"/>
          <w:spacing w:val="-5"/>
          <w:w w:val="105"/>
        </w:rPr>
        <w:t xml:space="preserve">van </w:t>
      </w:r>
      <w:r w:rsidR="00ED074E" w:rsidRPr="00A27E4E">
        <w:rPr>
          <w:rFonts w:ascii="Times New Roman" w:hAnsi="Times New Roman" w:cs="Times New Roman"/>
          <w:spacing w:val="-5"/>
          <w:w w:val="105"/>
        </w:rPr>
        <w:t>incluyen</w:t>
      </w:r>
      <w:r w:rsidR="001B6F76">
        <w:rPr>
          <w:rFonts w:ascii="Times New Roman" w:hAnsi="Times New Roman" w:cs="Times New Roman"/>
          <w:spacing w:val="-5"/>
          <w:w w:val="105"/>
        </w:rPr>
        <w:t>do</w:t>
      </w:r>
      <w:r w:rsidR="00ED074E" w:rsidRPr="00A27E4E">
        <w:rPr>
          <w:rFonts w:ascii="Times New Roman" w:hAnsi="Times New Roman" w:cs="Times New Roman"/>
          <w:spacing w:val="-5"/>
          <w:w w:val="105"/>
        </w:rPr>
        <w:t xml:space="preserve"> </w:t>
      </w:r>
      <w:r w:rsidR="00B531C5" w:rsidRPr="00A27E4E">
        <w:rPr>
          <w:rFonts w:ascii="Times New Roman" w:hAnsi="Times New Roman" w:cs="Times New Roman"/>
          <w:spacing w:val="-5"/>
          <w:w w:val="105"/>
        </w:rPr>
        <w:t xml:space="preserve">variables </w:t>
      </w:r>
      <w:r w:rsidRPr="00A27E4E">
        <w:rPr>
          <w:rFonts w:ascii="Times New Roman" w:hAnsi="Times New Roman" w:cs="Times New Roman"/>
          <w:spacing w:val="-5"/>
          <w:w w:val="105"/>
        </w:rPr>
        <w:t xml:space="preserve">que podrían influir </w:t>
      </w:r>
      <w:r w:rsidR="001B6F76">
        <w:rPr>
          <w:rFonts w:ascii="Times New Roman" w:hAnsi="Times New Roman" w:cs="Times New Roman"/>
          <w:spacing w:val="-5"/>
          <w:w w:val="105"/>
        </w:rPr>
        <w:t xml:space="preserve">sobre la </w:t>
      </w:r>
      <w:r w:rsidRPr="00A27E4E">
        <w:rPr>
          <w:rFonts w:ascii="Times New Roman" w:hAnsi="Times New Roman" w:cs="Times New Roman"/>
          <w:spacing w:val="-5"/>
          <w:w w:val="105"/>
        </w:rPr>
        <w:t xml:space="preserve">variable de resultado. Este enfoque metodológico </w:t>
      </w:r>
      <w:r w:rsidR="00A419E2" w:rsidRPr="00A27E4E">
        <w:rPr>
          <w:rFonts w:ascii="Times New Roman" w:hAnsi="Times New Roman" w:cs="Times New Roman"/>
          <w:spacing w:val="-5"/>
          <w:w w:val="105"/>
        </w:rPr>
        <w:t xml:space="preserve">permitió </w:t>
      </w:r>
      <w:r w:rsidRPr="00A27E4E">
        <w:rPr>
          <w:rFonts w:ascii="Times New Roman" w:hAnsi="Times New Roman" w:cs="Times New Roman"/>
          <w:spacing w:val="-5"/>
          <w:w w:val="105"/>
        </w:rPr>
        <w:t xml:space="preserve">obtener una comprensión más refinada </w:t>
      </w:r>
      <w:r w:rsidR="00732900" w:rsidRPr="00A27E4E">
        <w:rPr>
          <w:rFonts w:ascii="Times New Roman" w:hAnsi="Times New Roman" w:cs="Times New Roman"/>
          <w:spacing w:val="-5"/>
          <w:w w:val="105"/>
        </w:rPr>
        <w:t>sobre</w:t>
      </w:r>
      <w:r w:rsidRPr="00A27E4E">
        <w:rPr>
          <w:rFonts w:ascii="Times New Roman" w:hAnsi="Times New Roman" w:cs="Times New Roman"/>
          <w:spacing w:val="-5"/>
          <w:w w:val="105"/>
        </w:rPr>
        <w:t xml:space="preserve"> </w:t>
      </w:r>
      <w:r w:rsidR="00732900" w:rsidRPr="00A27E4E">
        <w:rPr>
          <w:rFonts w:ascii="Times New Roman" w:hAnsi="Times New Roman" w:cs="Times New Roman"/>
          <w:spacing w:val="-5"/>
          <w:w w:val="105"/>
        </w:rPr>
        <w:t>el</w:t>
      </w:r>
      <w:r w:rsidRPr="00A27E4E">
        <w:rPr>
          <w:rFonts w:ascii="Times New Roman" w:hAnsi="Times New Roman" w:cs="Times New Roman"/>
          <w:spacing w:val="-5"/>
          <w:w w:val="105"/>
        </w:rPr>
        <w:t xml:space="preserve"> impacto de los ADT en los flujos de IED.</w:t>
      </w:r>
    </w:p>
    <w:p w14:paraId="49A27F8A" w14:textId="645EFF66" w:rsidR="00C928E2" w:rsidRPr="00A27E4E" w:rsidRDefault="002B7555" w:rsidP="00C01789">
      <w:pPr>
        <w:pStyle w:val="BodyText"/>
        <w:numPr>
          <w:ilvl w:val="0"/>
          <w:numId w:val="28"/>
        </w:numPr>
        <w:spacing w:before="201"/>
        <w:jc w:val="both"/>
        <w:rPr>
          <w:rFonts w:ascii="Times New Roman" w:hAnsi="Times New Roman" w:cs="Times New Roman"/>
          <w:spacing w:val="-5"/>
          <w:w w:val="105"/>
        </w:rPr>
      </w:pPr>
      <w:r w:rsidRPr="00A27E4E">
        <w:rPr>
          <w:rFonts w:ascii="Times New Roman" w:hAnsi="Times New Roman" w:cs="Times New Roman"/>
          <w:spacing w:val="-5"/>
          <w:w w:val="105"/>
        </w:rPr>
        <w:t>E</w:t>
      </w:r>
      <w:r w:rsidR="00E155D7" w:rsidRPr="00A27E4E">
        <w:rPr>
          <w:rFonts w:ascii="Times New Roman" w:hAnsi="Times New Roman" w:cs="Times New Roman"/>
          <w:spacing w:val="-5"/>
          <w:w w:val="105"/>
        </w:rPr>
        <w:t>n la primera</w:t>
      </w:r>
      <w:r w:rsidR="000E7468" w:rsidRPr="00A27E4E">
        <w:rPr>
          <w:rFonts w:ascii="Times New Roman" w:hAnsi="Times New Roman" w:cs="Times New Roman"/>
          <w:spacing w:val="-5"/>
          <w:w w:val="105"/>
        </w:rPr>
        <w:t xml:space="preserve"> </w:t>
      </w:r>
      <w:r w:rsidR="00FF2FD5" w:rsidRPr="00A27E4E">
        <w:rPr>
          <w:rFonts w:ascii="Times New Roman" w:hAnsi="Times New Roman" w:cs="Times New Roman"/>
          <w:spacing w:val="-5"/>
          <w:w w:val="105"/>
        </w:rPr>
        <w:t xml:space="preserve">estimación </w:t>
      </w:r>
      <w:r w:rsidR="000E7468" w:rsidRPr="00A27E4E">
        <w:rPr>
          <w:rFonts w:ascii="Times New Roman" w:hAnsi="Times New Roman" w:cs="Times New Roman"/>
          <w:spacing w:val="-5"/>
          <w:w w:val="105"/>
        </w:rPr>
        <w:t xml:space="preserve">se regresó </w:t>
      </w:r>
      <w:r w:rsidR="00750182" w:rsidRPr="00A27E4E">
        <w:rPr>
          <w:rFonts w:ascii="Times New Roman" w:hAnsi="Times New Roman" w:cs="Times New Roman"/>
          <w:spacing w:val="-5"/>
          <w:w w:val="105"/>
        </w:rPr>
        <w:t>el logaritmo de IED contra la variable de interés</w:t>
      </w:r>
      <w:r w:rsidR="009D74C0" w:rsidRPr="00A27E4E">
        <w:rPr>
          <w:rFonts w:ascii="Times New Roman" w:hAnsi="Times New Roman" w:cs="Times New Roman"/>
          <w:spacing w:val="-5"/>
          <w:w w:val="105"/>
        </w:rPr>
        <w:t xml:space="preserve"> (ADT)</w:t>
      </w:r>
      <w:r w:rsidR="00CA7A36" w:rsidRPr="00A27E4E">
        <w:rPr>
          <w:rFonts w:ascii="Times New Roman" w:hAnsi="Times New Roman" w:cs="Times New Roman"/>
          <w:spacing w:val="-5"/>
          <w:w w:val="105"/>
        </w:rPr>
        <w:t xml:space="preserve"> para identificar </w:t>
      </w:r>
      <w:r w:rsidR="002B5004" w:rsidRPr="00A27E4E">
        <w:rPr>
          <w:rFonts w:ascii="Times New Roman" w:hAnsi="Times New Roman" w:cs="Times New Roman"/>
          <w:spacing w:val="-5"/>
          <w:w w:val="105"/>
        </w:rPr>
        <w:t>la correlación entre ambas variables</w:t>
      </w:r>
      <w:r w:rsidR="0039100B" w:rsidRPr="00A27E4E">
        <w:rPr>
          <w:rFonts w:ascii="Times New Roman" w:hAnsi="Times New Roman" w:cs="Times New Roman"/>
          <w:spacing w:val="-5"/>
          <w:w w:val="105"/>
        </w:rPr>
        <w:t>.</w:t>
      </w:r>
    </w:p>
    <w:p w14:paraId="442F7F1E" w14:textId="4BC64CE3" w:rsidR="0039100B" w:rsidRPr="00A27E4E" w:rsidRDefault="00A42447" w:rsidP="00C01789">
      <w:pPr>
        <w:pStyle w:val="BodyText"/>
        <w:numPr>
          <w:ilvl w:val="0"/>
          <w:numId w:val="28"/>
        </w:numPr>
        <w:spacing w:before="201"/>
        <w:jc w:val="both"/>
        <w:rPr>
          <w:rFonts w:ascii="Times New Roman" w:hAnsi="Times New Roman" w:cs="Times New Roman"/>
          <w:spacing w:val="-5"/>
          <w:w w:val="105"/>
        </w:rPr>
      </w:pPr>
      <w:r w:rsidRPr="00A27E4E">
        <w:rPr>
          <w:rFonts w:ascii="Times New Roman" w:hAnsi="Times New Roman" w:cs="Times New Roman"/>
          <w:spacing w:val="-5"/>
          <w:w w:val="105"/>
        </w:rPr>
        <w:t>La</w:t>
      </w:r>
      <w:r w:rsidR="00750182" w:rsidRPr="00A27E4E">
        <w:rPr>
          <w:rFonts w:ascii="Times New Roman" w:hAnsi="Times New Roman" w:cs="Times New Roman"/>
          <w:spacing w:val="-5"/>
          <w:w w:val="105"/>
        </w:rPr>
        <w:t xml:space="preserve"> segunda </w:t>
      </w:r>
      <w:r w:rsidRPr="00A27E4E">
        <w:rPr>
          <w:rFonts w:ascii="Times New Roman" w:hAnsi="Times New Roman" w:cs="Times New Roman"/>
          <w:spacing w:val="-5"/>
          <w:w w:val="105"/>
        </w:rPr>
        <w:t>estimación</w:t>
      </w:r>
      <w:r w:rsidR="00F34EC8" w:rsidRPr="00A27E4E">
        <w:rPr>
          <w:rFonts w:ascii="Times New Roman" w:hAnsi="Times New Roman" w:cs="Times New Roman"/>
          <w:spacing w:val="-5"/>
          <w:w w:val="105"/>
        </w:rPr>
        <w:t>,</w:t>
      </w:r>
      <w:r w:rsidR="00511AF0" w:rsidRPr="00A27E4E">
        <w:rPr>
          <w:rFonts w:ascii="Times New Roman" w:hAnsi="Times New Roman" w:cs="Times New Roman"/>
          <w:spacing w:val="-5"/>
          <w:w w:val="105"/>
        </w:rPr>
        <w:t xml:space="preserve"> </w:t>
      </w:r>
      <w:r w:rsidRPr="00A27E4E">
        <w:rPr>
          <w:rFonts w:ascii="Times New Roman" w:hAnsi="Times New Roman" w:cs="Times New Roman"/>
          <w:spacing w:val="-5"/>
          <w:w w:val="105"/>
        </w:rPr>
        <w:t>considera</w:t>
      </w:r>
      <w:r w:rsidR="00750182" w:rsidRPr="00A27E4E">
        <w:rPr>
          <w:rFonts w:ascii="Times New Roman" w:hAnsi="Times New Roman" w:cs="Times New Roman"/>
          <w:spacing w:val="-5"/>
          <w:w w:val="105"/>
        </w:rPr>
        <w:t xml:space="preserve"> </w:t>
      </w:r>
      <w:r w:rsidR="00086244" w:rsidRPr="00A27E4E">
        <w:rPr>
          <w:rFonts w:ascii="Times New Roman" w:hAnsi="Times New Roman" w:cs="Times New Roman"/>
          <w:spacing w:val="-5"/>
          <w:w w:val="105"/>
        </w:rPr>
        <w:t>las</w:t>
      </w:r>
      <w:r w:rsidR="00093485" w:rsidRPr="00A27E4E">
        <w:rPr>
          <w:rFonts w:ascii="Times New Roman" w:hAnsi="Times New Roman" w:cs="Times New Roman"/>
          <w:spacing w:val="-5"/>
          <w:w w:val="105"/>
        </w:rPr>
        <w:t xml:space="preserve"> variables macroeconómicas</w:t>
      </w:r>
      <w:r w:rsidR="00060EF2" w:rsidRPr="00A27E4E">
        <w:rPr>
          <w:rFonts w:ascii="Times New Roman" w:hAnsi="Times New Roman" w:cs="Times New Roman"/>
          <w:spacing w:val="-5"/>
          <w:w w:val="105"/>
        </w:rPr>
        <w:t xml:space="preserve"> </w:t>
      </w:r>
      <w:r w:rsidR="00E63F60" w:rsidRPr="00A27E4E">
        <w:rPr>
          <w:rFonts w:ascii="Times New Roman" w:hAnsi="Times New Roman" w:cs="Times New Roman"/>
          <w:spacing w:val="-5"/>
          <w:w w:val="105"/>
        </w:rPr>
        <w:t>con el fin de</w:t>
      </w:r>
      <w:r w:rsidR="00060EF2" w:rsidRPr="00A27E4E">
        <w:rPr>
          <w:rFonts w:ascii="Times New Roman" w:hAnsi="Times New Roman" w:cs="Times New Roman"/>
          <w:spacing w:val="-5"/>
          <w:w w:val="105"/>
        </w:rPr>
        <w:t xml:space="preserve"> identificar </w:t>
      </w:r>
      <w:r w:rsidR="00833C0C" w:rsidRPr="00A27E4E">
        <w:rPr>
          <w:rFonts w:ascii="Times New Roman" w:hAnsi="Times New Roman" w:cs="Times New Roman"/>
          <w:spacing w:val="-5"/>
          <w:w w:val="105"/>
        </w:rPr>
        <w:t xml:space="preserve">si </w:t>
      </w:r>
      <w:r w:rsidR="0003499C" w:rsidRPr="00A27E4E">
        <w:rPr>
          <w:rFonts w:ascii="Times New Roman" w:hAnsi="Times New Roman" w:cs="Times New Roman"/>
          <w:spacing w:val="-5"/>
          <w:w w:val="105"/>
        </w:rPr>
        <w:t xml:space="preserve">el contexto económico que vive cada país </w:t>
      </w:r>
      <w:r w:rsidR="00A3729F" w:rsidRPr="00A27E4E">
        <w:rPr>
          <w:rFonts w:ascii="Times New Roman" w:hAnsi="Times New Roman" w:cs="Times New Roman"/>
          <w:spacing w:val="-5"/>
          <w:w w:val="105"/>
        </w:rPr>
        <w:t xml:space="preserve">podría tener </w:t>
      </w:r>
      <w:r w:rsidR="00511AF0" w:rsidRPr="00A27E4E">
        <w:rPr>
          <w:rFonts w:ascii="Times New Roman" w:hAnsi="Times New Roman" w:cs="Times New Roman"/>
          <w:spacing w:val="-5"/>
          <w:w w:val="105"/>
        </w:rPr>
        <w:t xml:space="preserve">o no </w:t>
      </w:r>
      <w:r w:rsidR="00A3729F" w:rsidRPr="00A27E4E">
        <w:rPr>
          <w:rFonts w:ascii="Times New Roman" w:hAnsi="Times New Roman" w:cs="Times New Roman"/>
          <w:spacing w:val="-5"/>
          <w:w w:val="105"/>
        </w:rPr>
        <w:t>un impacto</w:t>
      </w:r>
      <w:r w:rsidR="00C77A90" w:rsidRPr="00A27E4E">
        <w:rPr>
          <w:rFonts w:ascii="Times New Roman" w:hAnsi="Times New Roman" w:cs="Times New Roman"/>
          <w:spacing w:val="-5"/>
          <w:w w:val="105"/>
        </w:rPr>
        <w:t xml:space="preserve"> en el</w:t>
      </w:r>
      <w:r w:rsidR="0003499C" w:rsidRPr="00A27E4E">
        <w:rPr>
          <w:rFonts w:ascii="Times New Roman" w:hAnsi="Times New Roman" w:cs="Times New Roman"/>
          <w:spacing w:val="-5"/>
          <w:w w:val="105"/>
        </w:rPr>
        <w:t xml:space="preserve"> momento de invertir en Colombia</w:t>
      </w:r>
      <w:r w:rsidR="006C098C" w:rsidRPr="00A27E4E">
        <w:rPr>
          <w:rFonts w:ascii="Times New Roman" w:hAnsi="Times New Roman" w:cs="Times New Roman"/>
          <w:spacing w:val="-5"/>
          <w:w w:val="105"/>
        </w:rPr>
        <w:t>.</w:t>
      </w:r>
    </w:p>
    <w:p w14:paraId="033A2E02" w14:textId="39778A20" w:rsidR="0039100B" w:rsidRPr="00A27E4E" w:rsidRDefault="0039100B" w:rsidP="00C01789">
      <w:pPr>
        <w:pStyle w:val="BodyText"/>
        <w:numPr>
          <w:ilvl w:val="0"/>
          <w:numId w:val="28"/>
        </w:numPr>
        <w:spacing w:before="201"/>
        <w:jc w:val="both"/>
        <w:rPr>
          <w:rFonts w:ascii="Times New Roman" w:hAnsi="Times New Roman" w:cs="Times New Roman"/>
          <w:spacing w:val="-5"/>
          <w:w w:val="105"/>
        </w:rPr>
      </w:pPr>
      <w:r w:rsidRPr="00A27E4E">
        <w:rPr>
          <w:rFonts w:ascii="Times New Roman" w:hAnsi="Times New Roman" w:cs="Times New Roman"/>
          <w:spacing w:val="-5"/>
          <w:w w:val="105"/>
        </w:rPr>
        <w:t>E</w:t>
      </w:r>
      <w:r w:rsidR="00093485" w:rsidRPr="00A27E4E">
        <w:rPr>
          <w:rFonts w:ascii="Times New Roman" w:hAnsi="Times New Roman" w:cs="Times New Roman"/>
          <w:spacing w:val="-5"/>
          <w:w w:val="105"/>
        </w:rPr>
        <w:t xml:space="preserve">n la tercera </w:t>
      </w:r>
      <w:r w:rsidR="00C77A90" w:rsidRPr="00A27E4E">
        <w:rPr>
          <w:rFonts w:ascii="Times New Roman" w:hAnsi="Times New Roman" w:cs="Times New Roman"/>
          <w:spacing w:val="-5"/>
          <w:w w:val="105"/>
        </w:rPr>
        <w:t xml:space="preserve">estimación </w:t>
      </w:r>
      <w:r w:rsidR="00093485" w:rsidRPr="00A27E4E">
        <w:rPr>
          <w:rFonts w:ascii="Times New Roman" w:hAnsi="Times New Roman" w:cs="Times New Roman"/>
          <w:spacing w:val="-5"/>
          <w:w w:val="105"/>
        </w:rPr>
        <w:t>se añadi</w:t>
      </w:r>
      <w:r w:rsidR="009D74C0" w:rsidRPr="00A27E4E">
        <w:rPr>
          <w:rFonts w:ascii="Times New Roman" w:hAnsi="Times New Roman" w:cs="Times New Roman"/>
          <w:spacing w:val="-5"/>
          <w:w w:val="105"/>
        </w:rPr>
        <w:t>eron</w:t>
      </w:r>
      <w:r w:rsidR="00093485" w:rsidRPr="00A27E4E">
        <w:rPr>
          <w:rFonts w:ascii="Times New Roman" w:hAnsi="Times New Roman" w:cs="Times New Roman"/>
          <w:spacing w:val="-5"/>
          <w:w w:val="105"/>
        </w:rPr>
        <w:t xml:space="preserve"> al modelo </w:t>
      </w:r>
      <w:r w:rsidR="00151DA0" w:rsidRPr="00A27E4E">
        <w:rPr>
          <w:rFonts w:ascii="Times New Roman" w:hAnsi="Times New Roman" w:cs="Times New Roman"/>
          <w:spacing w:val="-5"/>
          <w:w w:val="105"/>
        </w:rPr>
        <w:t xml:space="preserve">variables </w:t>
      </w:r>
      <w:r w:rsidR="007C2E8F" w:rsidRPr="00A27E4E">
        <w:rPr>
          <w:rFonts w:ascii="Times New Roman" w:hAnsi="Times New Roman" w:cs="Times New Roman"/>
          <w:spacing w:val="-5"/>
          <w:w w:val="105"/>
        </w:rPr>
        <w:t xml:space="preserve">dicótomas de acuerdos </w:t>
      </w:r>
      <w:r w:rsidR="00FE3309" w:rsidRPr="00A27E4E">
        <w:rPr>
          <w:rFonts w:ascii="Times New Roman" w:hAnsi="Times New Roman" w:cs="Times New Roman"/>
          <w:spacing w:val="-5"/>
          <w:w w:val="105"/>
        </w:rPr>
        <w:t>relacionados con la estrategia de promoción de inversión,</w:t>
      </w:r>
      <w:r w:rsidR="007C2E8F" w:rsidRPr="00A27E4E">
        <w:rPr>
          <w:rFonts w:ascii="Times New Roman" w:hAnsi="Times New Roman" w:cs="Times New Roman"/>
          <w:spacing w:val="-5"/>
          <w:w w:val="105"/>
        </w:rPr>
        <w:t xml:space="preserve"> que pued</w:t>
      </w:r>
      <w:r w:rsidR="00FE3309" w:rsidRPr="00A27E4E">
        <w:rPr>
          <w:rFonts w:ascii="Times New Roman" w:hAnsi="Times New Roman" w:cs="Times New Roman"/>
          <w:spacing w:val="-5"/>
          <w:w w:val="105"/>
        </w:rPr>
        <w:t>a</w:t>
      </w:r>
      <w:r w:rsidR="007C2E8F" w:rsidRPr="00A27E4E">
        <w:rPr>
          <w:rFonts w:ascii="Times New Roman" w:hAnsi="Times New Roman" w:cs="Times New Roman"/>
          <w:spacing w:val="-5"/>
          <w:w w:val="105"/>
        </w:rPr>
        <w:t xml:space="preserve">n influir </w:t>
      </w:r>
      <w:r w:rsidR="00342690" w:rsidRPr="00A27E4E">
        <w:rPr>
          <w:rFonts w:ascii="Times New Roman" w:hAnsi="Times New Roman" w:cs="Times New Roman"/>
          <w:spacing w:val="-5"/>
          <w:w w:val="105"/>
        </w:rPr>
        <w:t xml:space="preserve">sobre </w:t>
      </w:r>
      <w:r w:rsidR="007C2E8F" w:rsidRPr="00A27E4E">
        <w:rPr>
          <w:rFonts w:ascii="Times New Roman" w:hAnsi="Times New Roman" w:cs="Times New Roman"/>
          <w:spacing w:val="-5"/>
          <w:w w:val="105"/>
        </w:rPr>
        <w:t>la entrada de inversión al país</w:t>
      </w:r>
      <w:r w:rsidR="005142D1" w:rsidRPr="00A27E4E">
        <w:rPr>
          <w:rFonts w:ascii="Times New Roman" w:hAnsi="Times New Roman" w:cs="Times New Roman"/>
          <w:spacing w:val="-5"/>
          <w:w w:val="105"/>
        </w:rPr>
        <w:t>.</w:t>
      </w:r>
    </w:p>
    <w:p w14:paraId="0E5AB1DE" w14:textId="389A6E86" w:rsidR="009A5EFF" w:rsidRPr="00A27E4E" w:rsidRDefault="0039100B" w:rsidP="00C01789">
      <w:pPr>
        <w:pStyle w:val="BodyText"/>
        <w:numPr>
          <w:ilvl w:val="0"/>
          <w:numId w:val="28"/>
        </w:numPr>
        <w:spacing w:before="201"/>
        <w:jc w:val="both"/>
        <w:rPr>
          <w:rFonts w:ascii="Times New Roman" w:hAnsi="Times New Roman" w:cs="Times New Roman"/>
          <w:spacing w:val="-5"/>
          <w:w w:val="105"/>
        </w:rPr>
      </w:pPr>
      <w:r w:rsidRPr="00A27E4E">
        <w:rPr>
          <w:rFonts w:ascii="Times New Roman" w:hAnsi="Times New Roman" w:cs="Times New Roman"/>
          <w:spacing w:val="-5"/>
          <w:w w:val="105"/>
        </w:rPr>
        <w:t>P</w:t>
      </w:r>
      <w:r w:rsidR="007C2E8F" w:rsidRPr="00A27E4E">
        <w:rPr>
          <w:rFonts w:ascii="Times New Roman" w:hAnsi="Times New Roman" w:cs="Times New Roman"/>
          <w:spacing w:val="-5"/>
          <w:w w:val="105"/>
        </w:rPr>
        <w:t>or último, en la cuarta estimación se añadieron variables</w:t>
      </w:r>
      <w:r w:rsidR="000B3C1A" w:rsidRPr="00A27E4E">
        <w:rPr>
          <w:rFonts w:ascii="Times New Roman" w:hAnsi="Times New Roman" w:cs="Times New Roman"/>
          <w:spacing w:val="-5"/>
          <w:w w:val="105"/>
        </w:rPr>
        <w:t xml:space="preserve"> </w:t>
      </w:r>
      <w:r w:rsidR="00FA0BE7" w:rsidRPr="00A27E4E">
        <w:rPr>
          <w:rFonts w:ascii="Times New Roman" w:hAnsi="Times New Roman" w:cs="Times New Roman"/>
          <w:spacing w:val="-5"/>
          <w:w w:val="105"/>
        </w:rPr>
        <w:t xml:space="preserve">que </w:t>
      </w:r>
      <w:r w:rsidR="00031A7D" w:rsidRPr="00A27E4E">
        <w:rPr>
          <w:rFonts w:ascii="Times New Roman" w:hAnsi="Times New Roman" w:cs="Times New Roman"/>
          <w:spacing w:val="-5"/>
          <w:w w:val="105"/>
        </w:rPr>
        <w:t>buscan explicar</w:t>
      </w:r>
      <w:r w:rsidR="00FA0BE7" w:rsidRPr="00A27E4E">
        <w:rPr>
          <w:rFonts w:ascii="Times New Roman" w:hAnsi="Times New Roman" w:cs="Times New Roman"/>
          <w:spacing w:val="-5"/>
          <w:w w:val="105"/>
        </w:rPr>
        <w:t xml:space="preserve"> </w:t>
      </w:r>
      <w:r w:rsidR="00227FCC" w:rsidRPr="00A27E4E">
        <w:rPr>
          <w:rFonts w:ascii="Times New Roman" w:hAnsi="Times New Roman" w:cs="Times New Roman"/>
          <w:spacing w:val="-5"/>
          <w:w w:val="105"/>
        </w:rPr>
        <w:t>un</w:t>
      </w:r>
      <w:r w:rsidR="00031A7D" w:rsidRPr="00A27E4E">
        <w:rPr>
          <w:rFonts w:ascii="Times New Roman" w:hAnsi="Times New Roman" w:cs="Times New Roman"/>
          <w:spacing w:val="-5"/>
          <w:w w:val="105"/>
        </w:rPr>
        <w:t xml:space="preserve"> </w:t>
      </w:r>
      <w:r w:rsidR="00FA0BE7" w:rsidRPr="00A27E4E">
        <w:rPr>
          <w:rFonts w:ascii="Times New Roman" w:hAnsi="Times New Roman" w:cs="Times New Roman"/>
          <w:spacing w:val="-5"/>
          <w:w w:val="105"/>
        </w:rPr>
        <w:t xml:space="preserve">contexto </w:t>
      </w:r>
      <w:r w:rsidR="00031A7D" w:rsidRPr="00A27E4E">
        <w:rPr>
          <w:rFonts w:ascii="Times New Roman" w:hAnsi="Times New Roman" w:cs="Times New Roman"/>
          <w:spacing w:val="-5"/>
          <w:w w:val="105"/>
        </w:rPr>
        <w:t>de</w:t>
      </w:r>
      <w:r w:rsidR="007874C3" w:rsidRPr="00A27E4E">
        <w:rPr>
          <w:rFonts w:ascii="Times New Roman" w:hAnsi="Times New Roman" w:cs="Times New Roman"/>
          <w:spacing w:val="-5"/>
          <w:w w:val="105"/>
        </w:rPr>
        <w:t xml:space="preserve"> la economía mundial</w:t>
      </w:r>
      <w:r w:rsidR="004F5134" w:rsidRPr="00A27E4E">
        <w:rPr>
          <w:rFonts w:ascii="Times New Roman" w:hAnsi="Times New Roman" w:cs="Times New Roman"/>
          <w:spacing w:val="-5"/>
          <w:w w:val="105"/>
        </w:rPr>
        <w:t xml:space="preserve"> </w:t>
      </w:r>
      <w:r w:rsidR="00FD748B" w:rsidRPr="00A27E4E">
        <w:rPr>
          <w:rFonts w:ascii="Times New Roman" w:hAnsi="Times New Roman" w:cs="Times New Roman"/>
          <w:spacing w:val="-5"/>
          <w:w w:val="105"/>
        </w:rPr>
        <w:t xml:space="preserve">usando como termómetros </w:t>
      </w:r>
      <w:r w:rsidR="000C0774" w:rsidRPr="00A27E4E">
        <w:rPr>
          <w:rFonts w:ascii="Times New Roman" w:hAnsi="Times New Roman" w:cs="Times New Roman"/>
          <w:spacing w:val="-5"/>
          <w:w w:val="105"/>
        </w:rPr>
        <w:t>el</w:t>
      </w:r>
      <w:r w:rsidR="001C38DA" w:rsidRPr="00A27E4E">
        <w:rPr>
          <w:rFonts w:ascii="Times New Roman" w:hAnsi="Times New Roman" w:cs="Times New Roman"/>
          <w:spacing w:val="-5"/>
          <w:w w:val="105"/>
        </w:rPr>
        <w:t xml:space="preserve"> S&amp;P500 y el precio </w:t>
      </w:r>
      <w:r w:rsidR="001C38DA" w:rsidRPr="00A27E4E">
        <w:rPr>
          <w:rFonts w:ascii="Times New Roman" w:hAnsi="Times New Roman" w:cs="Times New Roman"/>
          <w:spacing w:val="-5"/>
          <w:w w:val="105"/>
        </w:rPr>
        <w:lastRenderedPageBreak/>
        <w:t>Brent del petróleo</w:t>
      </w:r>
      <w:r w:rsidR="007874C3" w:rsidRPr="00A27E4E">
        <w:rPr>
          <w:rFonts w:ascii="Times New Roman" w:hAnsi="Times New Roman" w:cs="Times New Roman"/>
          <w:spacing w:val="-5"/>
          <w:w w:val="105"/>
        </w:rPr>
        <w:t xml:space="preserve">, junto </w:t>
      </w:r>
      <w:r w:rsidR="00850E70" w:rsidRPr="00A27E4E">
        <w:rPr>
          <w:rFonts w:ascii="Times New Roman" w:hAnsi="Times New Roman" w:cs="Times New Roman"/>
          <w:spacing w:val="-5"/>
          <w:w w:val="105"/>
        </w:rPr>
        <w:t xml:space="preserve">con </w:t>
      </w:r>
      <w:r w:rsidR="00661895" w:rsidRPr="00A27E4E">
        <w:rPr>
          <w:rFonts w:ascii="Times New Roman" w:hAnsi="Times New Roman" w:cs="Times New Roman"/>
          <w:spacing w:val="-5"/>
          <w:w w:val="105"/>
        </w:rPr>
        <w:t>el efecto fijo de</w:t>
      </w:r>
      <w:r w:rsidR="007874C3" w:rsidRPr="00A27E4E">
        <w:rPr>
          <w:rFonts w:ascii="Times New Roman" w:hAnsi="Times New Roman" w:cs="Times New Roman"/>
          <w:spacing w:val="-5"/>
          <w:w w:val="105"/>
        </w:rPr>
        <w:t xml:space="preserve"> </w:t>
      </w:r>
      <w:r w:rsidR="00A14DA8" w:rsidRPr="00A27E4E">
        <w:rPr>
          <w:rFonts w:ascii="Times New Roman" w:hAnsi="Times New Roman" w:cs="Times New Roman"/>
          <w:spacing w:val="-5"/>
          <w:w w:val="105"/>
        </w:rPr>
        <w:t>tiempo de la distancia en km</w:t>
      </w:r>
      <w:r w:rsidR="00E5118E" w:rsidRPr="00A27E4E">
        <w:rPr>
          <w:rFonts w:ascii="Times New Roman" w:hAnsi="Times New Roman" w:cs="Times New Roman"/>
          <w:spacing w:val="-5"/>
          <w:w w:val="105"/>
        </w:rPr>
        <w:t>.</w:t>
      </w:r>
    </w:p>
    <w:p w14:paraId="40701F7F" w14:textId="77777777" w:rsidR="00662BA6" w:rsidRPr="00A27E4E" w:rsidRDefault="00662BA6" w:rsidP="00155715">
      <w:pPr>
        <w:jc w:val="both"/>
        <w:rPr>
          <w:lang w:val="es-ES"/>
        </w:rPr>
      </w:pPr>
    </w:p>
    <w:p w14:paraId="776A63FA" w14:textId="09470D5D" w:rsidR="00B74CC0" w:rsidRPr="00A27E4E" w:rsidRDefault="00FA2F41" w:rsidP="00155715">
      <w:pPr>
        <w:tabs>
          <w:tab w:val="center" w:pos="4419"/>
        </w:tabs>
        <w:jc w:val="both"/>
        <w:rPr>
          <w:lang w:val="es-ES"/>
        </w:rPr>
      </w:pPr>
      <w:r w:rsidRPr="00A27E4E">
        <w:rPr>
          <w:lang w:val="es-ES"/>
        </w:rPr>
        <w:t xml:space="preserve">A </w:t>
      </w:r>
      <w:r w:rsidR="00BD7559" w:rsidRPr="00A27E4E">
        <w:rPr>
          <w:lang w:val="es-ES"/>
        </w:rPr>
        <w:t>continuación,</w:t>
      </w:r>
      <w:r w:rsidRPr="00A27E4E">
        <w:rPr>
          <w:lang w:val="es-ES"/>
        </w:rPr>
        <w:t xml:space="preserve"> se </w:t>
      </w:r>
      <w:r w:rsidR="005646DE" w:rsidRPr="00A27E4E">
        <w:rPr>
          <w:lang w:val="es-ES"/>
        </w:rPr>
        <w:t>exponen</w:t>
      </w:r>
      <w:r w:rsidR="00BD7559" w:rsidRPr="00A27E4E">
        <w:rPr>
          <w:lang w:val="es-ES"/>
        </w:rPr>
        <w:t xml:space="preserve"> los resultados </w:t>
      </w:r>
      <w:r w:rsidR="005646DE" w:rsidRPr="00A27E4E">
        <w:rPr>
          <w:lang w:val="es-ES"/>
        </w:rPr>
        <w:t xml:space="preserve">obtenidos a través </w:t>
      </w:r>
      <w:r w:rsidR="00BD7559" w:rsidRPr="00A27E4E">
        <w:rPr>
          <w:lang w:val="es-ES"/>
        </w:rPr>
        <w:t xml:space="preserve">de </w:t>
      </w:r>
      <w:r w:rsidR="00B43F1B" w:rsidRPr="00A27E4E">
        <w:rPr>
          <w:lang w:val="es-ES"/>
        </w:rPr>
        <w:t xml:space="preserve">las estimaciones </w:t>
      </w:r>
      <w:r w:rsidR="005646DE" w:rsidRPr="00A27E4E">
        <w:rPr>
          <w:lang w:val="es-ES"/>
        </w:rPr>
        <w:t xml:space="preserve">realizadas utilizando los </w:t>
      </w:r>
      <w:r w:rsidR="003646B4" w:rsidRPr="00A27E4E">
        <w:rPr>
          <w:lang w:val="es-ES"/>
        </w:rPr>
        <w:t xml:space="preserve">tres modelos </w:t>
      </w:r>
      <w:r w:rsidR="005646DE" w:rsidRPr="00A27E4E">
        <w:rPr>
          <w:lang w:val="es-ES"/>
        </w:rPr>
        <w:t>empleados</w:t>
      </w:r>
      <w:r w:rsidR="003646B4" w:rsidRPr="00A27E4E">
        <w:rPr>
          <w:lang w:val="es-ES"/>
        </w:rPr>
        <w:t xml:space="preserve"> en</w:t>
      </w:r>
      <w:r w:rsidR="00BD7559" w:rsidRPr="00A27E4E">
        <w:rPr>
          <w:lang w:val="es-ES"/>
        </w:rPr>
        <w:t xml:space="preserve"> el </w:t>
      </w:r>
      <w:r w:rsidR="003646B4" w:rsidRPr="00A27E4E">
        <w:rPr>
          <w:lang w:val="es-ES"/>
        </w:rPr>
        <w:t>análisis</w:t>
      </w:r>
      <w:r w:rsidR="005646DE" w:rsidRPr="00A27E4E">
        <w:rPr>
          <w:lang w:val="es-ES"/>
        </w:rPr>
        <w:t>. Cada</w:t>
      </w:r>
      <w:r w:rsidR="00BD7559" w:rsidRPr="00A27E4E">
        <w:rPr>
          <w:lang w:val="es-ES"/>
        </w:rPr>
        <w:t xml:space="preserve"> columna </w:t>
      </w:r>
      <w:r w:rsidR="005646DE" w:rsidRPr="00A27E4E">
        <w:rPr>
          <w:lang w:val="es-ES"/>
        </w:rPr>
        <w:t xml:space="preserve">representa </w:t>
      </w:r>
      <w:r w:rsidR="00FF207B" w:rsidRPr="00A27E4E">
        <w:rPr>
          <w:lang w:val="es-ES"/>
        </w:rPr>
        <w:t xml:space="preserve">la </w:t>
      </w:r>
      <w:r w:rsidR="003646B4" w:rsidRPr="00A27E4E">
        <w:rPr>
          <w:lang w:val="es-ES"/>
        </w:rPr>
        <w:t xml:space="preserve">estimación </w:t>
      </w:r>
      <w:r w:rsidR="005646DE" w:rsidRPr="00A27E4E">
        <w:rPr>
          <w:lang w:val="es-ES"/>
        </w:rPr>
        <w:t xml:space="preserve">correspondiente a </w:t>
      </w:r>
      <w:r w:rsidR="000019A9" w:rsidRPr="00A27E4E">
        <w:rPr>
          <w:lang w:val="es-ES"/>
        </w:rPr>
        <w:t>cada modelo</w:t>
      </w:r>
      <w:r w:rsidR="005646DE" w:rsidRPr="00A27E4E">
        <w:rPr>
          <w:lang w:val="es-ES"/>
        </w:rPr>
        <w:t>,</w:t>
      </w:r>
      <w:r w:rsidR="000019A9" w:rsidRPr="00A27E4E">
        <w:rPr>
          <w:lang w:val="es-ES"/>
        </w:rPr>
        <w:t xml:space="preserve"> </w:t>
      </w:r>
      <w:r w:rsidR="00654389" w:rsidRPr="00A27E4E">
        <w:rPr>
          <w:lang w:val="es-ES"/>
        </w:rPr>
        <w:t xml:space="preserve">con </w:t>
      </w:r>
      <w:r w:rsidR="001C5ED8" w:rsidRPr="00A27E4E">
        <w:rPr>
          <w:lang w:val="es-ES"/>
        </w:rPr>
        <w:t xml:space="preserve">todas las variables </w:t>
      </w:r>
      <w:r w:rsidR="005646DE" w:rsidRPr="00A27E4E">
        <w:rPr>
          <w:lang w:val="es-ES"/>
        </w:rPr>
        <w:t xml:space="preserve">consideradas en el estudio. Esta presentación proporciona una visión global de los efectos observados en cada uno de los modelos. Los datos revelan la influencia de las variables </w:t>
      </w:r>
      <w:r w:rsidR="006962AC" w:rsidRPr="00A27E4E">
        <w:rPr>
          <w:lang w:val="es-ES"/>
        </w:rPr>
        <w:t>incluidas</w:t>
      </w:r>
      <w:r w:rsidR="005646DE" w:rsidRPr="00A27E4E">
        <w:rPr>
          <w:lang w:val="es-ES"/>
        </w:rPr>
        <w:t xml:space="preserve"> en el análisis y ofrecen una perspectiva </w:t>
      </w:r>
      <w:r w:rsidR="00B74590">
        <w:rPr>
          <w:lang w:val="es-ES"/>
        </w:rPr>
        <w:t>más sólida</w:t>
      </w:r>
      <w:r w:rsidR="005646DE" w:rsidRPr="00A27E4E">
        <w:rPr>
          <w:lang w:val="es-ES"/>
        </w:rPr>
        <w:t xml:space="preserve"> para comprender las relaciones y tendencias identificadas en el estudio.</w:t>
      </w:r>
    </w:p>
    <w:p w14:paraId="313B104B" w14:textId="77777777" w:rsidR="00083F5F" w:rsidRPr="00A27E4E" w:rsidRDefault="00083F5F" w:rsidP="00155715">
      <w:pPr>
        <w:tabs>
          <w:tab w:val="center" w:pos="4419"/>
        </w:tabs>
        <w:jc w:val="both"/>
        <w:rPr>
          <w:lang w:val="es-ES"/>
        </w:rPr>
      </w:pPr>
    </w:p>
    <w:p w14:paraId="388107A1" w14:textId="0DB9C4CD" w:rsidR="00083F5F" w:rsidRPr="00A27E4E" w:rsidRDefault="00083F5F" w:rsidP="00155715">
      <w:pPr>
        <w:tabs>
          <w:tab w:val="center" w:pos="4419"/>
        </w:tabs>
        <w:jc w:val="both"/>
        <w:rPr>
          <w:lang w:val="es-ES"/>
        </w:rPr>
      </w:pPr>
      <w:r w:rsidRPr="00A27E4E">
        <w:rPr>
          <w:lang w:val="es-ES"/>
        </w:rPr>
        <w:t xml:space="preserve">Para </w:t>
      </w:r>
      <w:r w:rsidR="00FD20B6" w:rsidRPr="00A27E4E">
        <w:rPr>
          <w:lang w:val="es-ES"/>
        </w:rPr>
        <w:t>ver</w:t>
      </w:r>
      <w:r w:rsidRPr="00A27E4E">
        <w:rPr>
          <w:lang w:val="es-ES"/>
        </w:rPr>
        <w:t xml:space="preserve"> los modelos individualmente</w:t>
      </w:r>
      <w:r w:rsidR="007E76A6" w:rsidRPr="00A27E4E">
        <w:rPr>
          <w:lang w:val="es-ES"/>
        </w:rPr>
        <w:t xml:space="preserve"> </w:t>
      </w:r>
      <w:r w:rsidR="00FD20B6" w:rsidRPr="00A27E4E">
        <w:rPr>
          <w:lang w:val="es-ES"/>
        </w:rPr>
        <w:t xml:space="preserve">con </w:t>
      </w:r>
      <w:r w:rsidR="00F203FC" w:rsidRPr="00A27E4E">
        <w:rPr>
          <w:lang w:val="es-ES"/>
        </w:rPr>
        <w:t xml:space="preserve">sus cuatro (4) estimaciones, remítase a los anexos 2, 3 y 4. </w:t>
      </w:r>
    </w:p>
    <w:p w14:paraId="7E77A66B" w14:textId="77777777" w:rsidR="00534B14" w:rsidRPr="00000A8A" w:rsidRDefault="00534B14" w:rsidP="00155715">
      <w:pPr>
        <w:tabs>
          <w:tab w:val="center" w:pos="4419"/>
        </w:tabs>
        <w:jc w:val="both"/>
        <w:rPr>
          <w:lang w:val="es-ES"/>
        </w:rPr>
      </w:pPr>
    </w:p>
    <w:p w14:paraId="70C15A6C" w14:textId="03413A0F" w:rsidR="00B74590" w:rsidRPr="00B74590" w:rsidRDefault="00B74590" w:rsidP="00B74590">
      <w:pPr>
        <w:pStyle w:val="Caption"/>
        <w:keepNext/>
        <w:jc w:val="center"/>
        <w:rPr>
          <w:rFonts w:ascii="Garamond" w:hAnsi="Garamond"/>
          <w:color w:val="404040" w:themeColor="text1" w:themeTint="BF"/>
          <w:sz w:val="22"/>
          <w:szCs w:val="22"/>
          <w:lang w:val="es-ES"/>
        </w:rPr>
      </w:pPr>
      <w:r w:rsidRPr="00B74590">
        <w:rPr>
          <w:rFonts w:ascii="Garamond" w:hAnsi="Garamond"/>
          <w:color w:val="404040" w:themeColor="text1" w:themeTint="BF"/>
          <w:sz w:val="22"/>
          <w:szCs w:val="22"/>
          <w:lang w:val="es-ES"/>
        </w:rPr>
        <w:t xml:space="preserve">Tabla </w:t>
      </w:r>
      <w:r w:rsidRPr="00B74590">
        <w:rPr>
          <w:rFonts w:ascii="Garamond" w:hAnsi="Garamond"/>
          <w:color w:val="404040" w:themeColor="text1" w:themeTint="BF"/>
          <w:sz w:val="22"/>
          <w:szCs w:val="22"/>
          <w:lang w:val="es-ES"/>
        </w:rPr>
        <w:fldChar w:fldCharType="begin"/>
      </w:r>
      <w:r w:rsidRPr="00B74590">
        <w:rPr>
          <w:rFonts w:ascii="Garamond" w:hAnsi="Garamond"/>
          <w:color w:val="404040" w:themeColor="text1" w:themeTint="BF"/>
          <w:sz w:val="22"/>
          <w:szCs w:val="22"/>
          <w:lang w:val="es-ES"/>
        </w:rPr>
        <w:instrText xml:space="preserve"> SEQ Tabla \* ARABIC </w:instrText>
      </w:r>
      <w:r w:rsidRPr="00B74590">
        <w:rPr>
          <w:rFonts w:ascii="Garamond" w:hAnsi="Garamond"/>
          <w:color w:val="404040" w:themeColor="text1" w:themeTint="BF"/>
          <w:sz w:val="22"/>
          <w:szCs w:val="22"/>
          <w:lang w:val="es-ES"/>
        </w:rPr>
        <w:fldChar w:fldCharType="separate"/>
      </w:r>
      <w:r w:rsidRPr="00B74590">
        <w:rPr>
          <w:rFonts w:ascii="Garamond" w:hAnsi="Garamond"/>
          <w:color w:val="404040" w:themeColor="text1" w:themeTint="BF"/>
          <w:sz w:val="22"/>
          <w:szCs w:val="22"/>
          <w:lang w:val="es-ES"/>
        </w:rPr>
        <w:t>6</w:t>
      </w:r>
      <w:r w:rsidRPr="00B74590">
        <w:rPr>
          <w:rFonts w:ascii="Garamond" w:hAnsi="Garamond"/>
          <w:color w:val="404040" w:themeColor="text1" w:themeTint="BF"/>
          <w:sz w:val="22"/>
          <w:szCs w:val="22"/>
          <w:lang w:val="es-ES"/>
        </w:rPr>
        <w:fldChar w:fldCharType="end"/>
      </w:r>
      <w:r w:rsidRPr="00B74590">
        <w:rPr>
          <w:rFonts w:ascii="Garamond" w:hAnsi="Garamond"/>
          <w:color w:val="404040" w:themeColor="text1" w:themeTint="BF"/>
          <w:sz w:val="22"/>
          <w:szCs w:val="22"/>
          <w:lang w:val="es-ES"/>
        </w:rPr>
        <w:t>. Estimaciones para los 3 modelos POLS, DID y DID con PSM</w:t>
      </w:r>
      <w:r w:rsidR="004F0DE0">
        <w:rPr>
          <w:rFonts w:ascii="Garamond" w:hAnsi="Garamond"/>
          <w:color w:val="404040" w:themeColor="text1" w:themeTint="BF"/>
          <w:sz w:val="22"/>
          <w:szCs w:val="22"/>
          <w:lang w:val="es-ES"/>
        </w:rPr>
        <w:t>, considerando todas las va</w:t>
      </w:r>
      <w:r w:rsidR="00CE25EA">
        <w:rPr>
          <w:rFonts w:ascii="Garamond" w:hAnsi="Garamond"/>
          <w:color w:val="404040" w:themeColor="text1" w:themeTint="BF"/>
          <w:sz w:val="22"/>
          <w:szCs w:val="22"/>
          <w:lang w:val="es-ES"/>
        </w:rPr>
        <w:t>riables del estudio</w:t>
      </w:r>
    </w:p>
    <w:tbl>
      <w:tblPr>
        <w:tblW w:w="5000" w:type="pct"/>
        <w:jc w:val="center"/>
        <w:tblCellMar>
          <w:left w:w="75" w:type="dxa"/>
          <w:right w:w="75" w:type="dxa"/>
        </w:tblCellMar>
        <w:tblLook w:val="0000" w:firstRow="0" w:lastRow="0" w:firstColumn="0" w:lastColumn="0" w:noHBand="0" w:noVBand="0"/>
      </w:tblPr>
      <w:tblGrid>
        <w:gridCol w:w="2977"/>
        <w:gridCol w:w="1987"/>
        <w:gridCol w:w="1700"/>
        <w:gridCol w:w="2174"/>
      </w:tblGrid>
      <w:tr w:rsidR="00B74590" w:rsidRPr="00B74590" w14:paraId="2063A9C8" w14:textId="77777777" w:rsidTr="00B74590">
        <w:trPr>
          <w:trHeight w:val="57"/>
          <w:jc w:val="center"/>
        </w:trPr>
        <w:tc>
          <w:tcPr>
            <w:tcW w:w="1684" w:type="pct"/>
            <w:vMerge w:val="restart"/>
            <w:tcBorders>
              <w:top w:val="single" w:sz="6" w:space="0" w:color="auto"/>
              <w:left w:val="nil"/>
              <w:right w:val="nil"/>
            </w:tcBorders>
            <w:vAlign w:val="center"/>
          </w:tcPr>
          <w:p w14:paraId="51612B87" w14:textId="47A002B3" w:rsidR="00B74590" w:rsidRPr="00B74590" w:rsidRDefault="00B74590" w:rsidP="00B74590">
            <w:pPr>
              <w:widowControl w:val="0"/>
              <w:autoSpaceDE w:val="0"/>
              <w:autoSpaceDN w:val="0"/>
              <w:adjustRightInd w:val="0"/>
              <w:jc w:val="center"/>
              <w:rPr>
                <w:rFonts w:ascii="Garamond" w:hAnsi="Garamond"/>
                <w:b/>
                <w:bCs/>
                <w:sz w:val="20"/>
                <w:szCs w:val="20"/>
                <w:lang w:val="es-ES"/>
              </w:rPr>
            </w:pPr>
            <w:r w:rsidRPr="00B74590">
              <w:rPr>
                <w:rFonts w:ascii="Garamond" w:hAnsi="Garamond"/>
                <w:b/>
                <w:bCs/>
                <w:sz w:val="20"/>
                <w:szCs w:val="20"/>
              </w:rPr>
              <w:t>Variables</w:t>
            </w:r>
          </w:p>
        </w:tc>
        <w:tc>
          <w:tcPr>
            <w:tcW w:w="1124" w:type="pct"/>
            <w:tcBorders>
              <w:top w:val="single" w:sz="6" w:space="0" w:color="auto"/>
              <w:left w:val="nil"/>
              <w:bottom w:val="nil"/>
              <w:right w:val="nil"/>
            </w:tcBorders>
          </w:tcPr>
          <w:p w14:paraId="17CFBDC6" w14:textId="06869C4E" w:rsidR="00B74590" w:rsidRPr="00B74590" w:rsidRDefault="00B74590" w:rsidP="00B74590">
            <w:pPr>
              <w:widowControl w:val="0"/>
              <w:autoSpaceDE w:val="0"/>
              <w:autoSpaceDN w:val="0"/>
              <w:adjustRightInd w:val="0"/>
              <w:jc w:val="center"/>
              <w:rPr>
                <w:rFonts w:ascii="Garamond" w:hAnsi="Garamond"/>
                <w:b/>
                <w:bCs/>
                <w:sz w:val="20"/>
                <w:szCs w:val="20"/>
              </w:rPr>
            </w:pPr>
            <w:proofErr w:type="spellStart"/>
            <w:r w:rsidRPr="00B74590">
              <w:rPr>
                <w:rFonts w:ascii="Garamond" w:hAnsi="Garamond"/>
                <w:b/>
                <w:bCs/>
                <w:sz w:val="20"/>
                <w:szCs w:val="20"/>
              </w:rPr>
              <w:t>Modelo</w:t>
            </w:r>
            <w:proofErr w:type="spellEnd"/>
            <w:r w:rsidRPr="00B74590">
              <w:rPr>
                <w:rFonts w:ascii="Garamond" w:hAnsi="Garamond"/>
                <w:b/>
                <w:bCs/>
                <w:sz w:val="20"/>
                <w:szCs w:val="20"/>
              </w:rPr>
              <w:t xml:space="preserve"> POLS</w:t>
            </w:r>
          </w:p>
        </w:tc>
        <w:tc>
          <w:tcPr>
            <w:tcW w:w="962" w:type="pct"/>
            <w:tcBorders>
              <w:top w:val="single" w:sz="6" w:space="0" w:color="auto"/>
              <w:left w:val="nil"/>
              <w:bottom w:val="nil"/>
              <w:right w:val="nil"/>
            </w:tcBorders>
          </w:tcPr>
          <w:p w14:paraId="17B025B5" w14:textId="4736BBA5" w:rsidR="00B74590" w:rsidRPr="00B74590" w:rsidRDefault="00B74590" w:rsidP="00B74590">
            <w:pPr>
              <w:widowControl w:val="0"/>
              <w:autoSpaceDE w:val="0"/>
              <w:autoSpaceDN w:val="0"/>
              <w:adjustRightInd w:val="0"/>
              <w:jc w:val="center"/>
              <w:rPr>
                <w:rFonts w:ascii="Garamond" w:hAnsi="Garamond"/>
                <w:b/>
                <w:bCs/>
                <w:sz w:val="20"/>
                <w:szCs w:val="20"/>
              </w:rPr>
            </w:pPr>
            <w:r w:rsidRPr="00B74590">
              <w:rPr>
                <w:rFonts w:ascii="Garamond" w:hAnsi="Garamond"/>
                <w:b/>
                <w:bCs/>
                <w:sz w:val="20"/>
                <w:szCs w:val="20"/>
              </w:rPr>
              <w:t>Modelo DID</w:t>
            </w:r>
          </w:p>
        </w:tc>
        <w:tc>
          <w:tcPr>
            <w:tcW w:w="1230" w:type="pct"/>
            <w:tcBorders>
              <w:top w:val="single" w:sz="6" w:space="0" w:color="auto"/>
              <w:left w:val="nil"/>
              <w:bottom w:val="nil"/>
              <w:right w:val="nil"/>
            </w:tcBorders>
          </w:tcPr>
          <w:p w14:paraId="5BA33CE3" w14:textId="15BD1BC6" w:rsidR="00B74590" w:rsidRPr="00B74590" w:rsidRDefault="00B74590" w:rsidP="00B74590">
            <w:pPr>
              <w:widowControl w:val="0"/>
              <w:autoSpaceDE w:val="0"/>
              <w:autoSpaceDN w:val="0"/>
              <w:adjustRightInd w:val="0"/>
              <w:jc w:val="center"/>
              <w:rPr>
                <w:rFonts w:ascii="Garamond" w:hAnsi="Garamond"/>
                <w:b/>
                <w:bCs/>
                <w:sz w:val="20"/>
                <w:szCs w:val="20"/>
              </w:rPr>
            </w:pPr>
            <w:r w:rsidRPr="00B74590">
              <w:rPr>
                <w:rFonts w:ascii="Garamond" w:hAnsi="Garamond"/>
                <w:b/>
                <w:bCs/>
                <w:sz w:val="20"/>
                <w:szCs w:val="20"/>
              </w:rPr>
              <w:t>Modelo DID con PSM</w:t>
            </w:r>
          </w:p>
        </w:tc>
      </w:tr>
      <w:tr w:rsidR="00B74590" w:rsidRPr="00B74590" w14:paraId="0C9BF83E" w14:textId="77777777" w:rsidTr="00EA3E54">
        <w:trPr>
          <w:trHeight w:val="57"/>
          <w:jc w:val="center"/>
        </w:trPr>
        <w:tc>
          <w:tcPr>
            <w:tcW w:w="1684" w:type="pct"/>
            <w:vMerge/>
            <w:tcBorders>
              <w:left w:val="nil"/>
              <w:bottom w:val="single" w:sz="6" w:space="0" w:color="auto"/>
              <w:right w:val="nil"/>
            </w:tcBorders>
            <w:vAlign w:val="center"/>
          </w:tcPr>
          <w:p w14:paraId="032932AD" w14:textId="116CE9DC" w:rsidR="00B74590" w:rsidRPr="00B74590" w:rsidRDefault="00B74590" w:rsidP="00B74590">
            <w:pPr>
              <w:widowControl w:val="0"/>
              <w:autoSpaceDE w:val="0"/>
              <w:autoSpaceDN w:val="0"/>
              <w:adjustRightInd w:val="0"/>
              <w:jc w:val="center"/>
              <w:rPr>
                <w:rFonts w:ascii="Garamond" w:hAnsi="Garamond"/>
                <w:b/>
                <w:bCs/>
                <w:sz w:val="20"/>
                <w:szCs w:val="20"/>
              </w:rPr>
            </w:pPr>
          </w:p>
        </w:tc>
        <w:tc>
          <w:tcPr>
            <w:tcW w:w="1124" w:type="pct"/>
            <w:tcBorders>
              <w:top w:val="nil"/>
              <w:left w:val="nil"/>
              <w:bottom w:val="single" w:sz="6" w:space="0" w:color="auto"/>
              <w:right w:val="nil"/>
            </w:tcBorders>
          </w:tcPr>
          <w:p w14:paraId="5E89CD8B" w14:textId="77777777" w:rsidR="00B74590" w:rsidRPr="00B74590" w:rsidRDefault="00B74590" w:rsidP="00B74590">
            <w:pPr>
              <w:widowControl w:val="0"/>
              <w:autoSpaceDE w:val="0"/>
              <w:autoSpaceDN w:val="0"/>
              <w:adjustRightInd w:val="0"/>
              <w:jc w:val="center"/>
              <w:rPr>
                <w:rFonts w:ascii="Garamond" w:hAnsi="Garamond"/>
                <w:b/>
                <w:bCs/>
                <w:sz w:val="20"/>
                <w:szCs w:val="20"/>
              </w:rPr>
            </w:pPr>
            <w:r w:rsidRPr="00B74590">
              <w:rPr>
                <w:rFonts w:ascii="Garamond" w:hAnsi="Garamond"/>
                <w:b/>
                <w:bCs/>
                <w:sz w:val="20"/>
                <w:szCs w:val="20"/>
              </w:rPr>
              <w:t>LN_IED</w:t>
            </w:r>
          </w:p>
        </w:tc>
        <w:tc>
          <w:tcPr>
            <w:tcW w:w="962" w:type="pct"/>
            <w:tcBorders>
              <w:top w:val="nil"/>
              <w:left w:val="nil"/>
              <w:bottom w:val="single" w:sz="6" w:space="0" w:color="auto"/>
              <w:right w:val="nil"/>
            </w:tcBorders>
          </w:tcPr>
          <w:p w14:paraId="679F3E43" w14:textId="77777777" w:rsidR="00B74590" w:rsidRPr="00B74590" w:rsidRDefault="00B74590" w:rsidP="00B74590">
            <w:pPr>
              <w:widowControl w:val="0"/>
              <w:autoSpaceDE w:val="0"/>
              <w:autoSpaceDN w:val="0"/>
              <w:adjustRightInd w:val="0"/>
              <w:jc w:val="center"/>
              <w:rPr>
                <w:rFonts w:ascii="Garamond" w:hAnsi="Garamond"/>
                <w:b/>
                <w:bCs/>
                <w:sz w:val="20"/>
                <w:szCs w:val="20"/>
              </w:rPr>
            </w:pPr>
            <w:r w:rsidRPr="00B74590">
              <w:rPr>
                <w:rFonts w:ascii="Garamond" w:hAnsi="Garamond"/>
                <w:b/>
                <w:bCs/>
                <w:sz w:val="20"/>
                <w:szCs w:val="20"/>
              </w:rPr>
              <w:t>LN_IED</w:t>
            </w:r>
          </w:p>
        </w:tc>
        <w:tc>
          <w:tcPr>
            <w:tcW w:w="1230" w:type="pct"/>
            <w:tcBorders>
              <w:top w:val="nil"/>
              <w:left w:val="nil"/>
              <w:bottom w:val="single" w:sz="6" w:space="0" w:color="auto"/>
              <w:right w:val="nil"/>
            </w:tcBorders>
          </w:tcPr>
          <w:p w14:paraId="63248F57" w14:textId="77777777" w:rsidR="00B74590" w:rsidRPr="00B74590" w:rsidRDefault="00B74590" w:rsidP="00B74590">
            <w:pPr>
              <w:widowControl w:val="0"/>
              <w:autoSpaceDE w:val="0"/>
              <w:autoSpaceDN w:val="0"/>
              <w:adjustRightInd w:val="0"/>
              <w:jc w:val="center"/>
              <w:rPr>
                <w:rFonts w:ascii="Garamond" w:hAnsi="Garamond"/>
                <w:b/>
                <w:bCs/>
                <w:sz w:val="20"/>
                <w:szCs w:val="20"/>
              </w:rPr>
            </w:pPr>
            <w:r w:rsidRPr="00B74590">
              <w:rPr>
                <w:rFonts w:ascii="Garamond" w:hAnsi="Garamond"/>
                <w:b/>
                <w:bCs/>
                <w:sz w:val="20"/>
                <w:szCs w:val="20"/>
              </w:rPr>
              <w:t>LN_IED</w:t>
            </w:r>
          </w:p>
        </w:tc>
      </w:tr>
      <w:tr w:rsidR="000931A4" w:rsidRPr="00B74590" w14:paraId="3AC11359" w14:textId="77777777" w:rsidTr="00B74590">
        <w:trPr>
          <w:trHeight w:val="57"/>
          <w:jc w:val="center"/>
        </w:trPr>
        <w:tc>
          <w:tcPr>
            <w:tcW w:w="1684" w:type="pct"/>
            <w:tcBorders>
              <w:top w:val="nil"/>
              <w:left w:val="nil"/>
              <w:bottom w:val="nil"/>
              <w:right w:val="nil"/>
            </w:tcBorders>
          </w:tcPr>
          <w:p w14:paraId="568F0AC2" w14:textId="77777777" w:rsidR="000931A4" w:rsidRPr="00B74590" w:rsidRDefault="000931A4" w:rsidP="00155715">
            <w:pPr>
              <w:widowControl w:val="0"/>
              <w:autoSpaceDE w:val="0"/>
              <w:autoSpaceDN w:val="0"/>
              <w:adjustRightInd w:val="0"/>
              <w:jc w:val="both"/>
              <w:rPr>
                <w:rFonts w:ascii="Garamond" w:hAnsi="Garamond"/>
                <w:sz w:val="20"/>
                <w:szCs w:val="20"/>
              </w:rPr>
            </w:pPr>
          </w:p>
        </w:tc>
        <w:tc>
          <w:tcPr>
            <w:tcW w:w="1124" w:type="pct"/>
            <w:tcBorders>
              <w:top w:val="nil"/>
              <w:left w:val="nil"/>
              <w:bottom w:val="nil"/>
              <w:right w:val="nil"/>
            </w:tcBorders>
          </w:tcPr>
          <w:p w14:paraId="489CA312" w14:textId="77777777" w:rsidR="000931A4" w:rsidRPr="00B74590" w:rsidRDefault="000931A4" w:rsidP="00155715">
            <w:pPr>
              <w:widowControl w:val="0"/>
              <w:autoSpaceDE w:val="0"/>
              <w:autoSpaceDN w:val="0"/>
              <w:adjustRightInd w:val="0"/>
              <w:jc w:val="both"/>
              <w:rPr>
                <w:rFonts w:ascii="Garamond" w:hAnsi="Garamond"/>
                <w:sz w:val="20"/>
                <w:szCs w:val="20"/>
              </w:rPr>
            </w:pPr>
          </w:p>
        </w:tc>
        <w:tc>
          <w:tcPr>
            <w:tcW w:w="962" w:type="pct"/>
            <w:tcBorders>
              <w:top w:val="nil"/>
              <w:left w:val="nil"/>
              <w:bottom w:val="nil"/>
              <w:right w:val="nil"/>
            </w:tcBorders>
          </w:tcPr>
          <w:p w14:paraId="3C28C746" w14:textId="77777777" w:rsidR="000931A4" w:rsidRPr="00B74590" w:rsidRDefault="000931A4" w:rsidP="00155715">
            <w:pPr>
              <w:widowControl w:val="0"/>
              <w:autoSpaceDE w:val="0"/>
              <w:autoSpaceDN w:val="0"/>
              <w:adjustRightInd w:val="0"/>
              <w:jc w:val="both"/>
              <w:rPr>
                <w:rFonts w:ascii="Garamond" w:hAnsi="Garamond"/>
                <w:sz w:val="20"/>
                <w:szCs w:val="20"/>
              </w:rPr>
            </w:pPr>
          </w:p>
        </w:tc>
        <w:tc>
          <w:tcPr>
            <w:tcW w:w="1230" w:type="pct"/>
            <w:tcBorders>
              <w:top w:val="nil"/>
              <w:left w:val="nil"/>
              <w:bottom w:val="nil"/>
              <w:right w:val="nil"/>
            </w:tcBorders>
          </w:tcPr>
          <w:p w14:paraId="0371AB30" w14:textId="77777777" w:rsidR="000931A4" w:rsidRPr="00B74590" w:rsidRDefault="000931A4" w:rsidP="00155715">
            <w:pPr>
              <w:widowControl w:val="0"/>
              <w:autoSpaceDE w:val="0"/>
              <w:autoSpaceDN w:val="0"/>
              <w:adjustRightInd w:val="0"/>
              <w:jc w:val="both"/>
              <w:rPr>
                <w:rFonts w:ascii="Garamond" w:hAnsi="Garamond"/>
                <w:sz w:val="20"/>
                <w:szCs w:val="20"/>
              </w:rPr>
            </w:pPr>
          </w:p>
        </w:tc>
      </w:tr>
      <w:tr w:rsidR="000931A4" w:rsidRPr="00B74590" w14:paraId="5642435D" w14:textId="77777777" w:rsidTr="00B74590">
        <w:trPr>
          <w:trHeight w:val="57"/>
          <w:jc w:val="center"/>
        </w:trPr>
        <w:tc>
          <w:tcPr>
            <w:tcW w:w="1684" w:type="pct"/>
            <w:tcBorders>
              <w:top w:val="nil"/>
              <w:left w:val="nil"/>
              <w:bottom w:val="nil"/>
              <w:right w:val="nil"/>
            </w:tcBorders>
          </w:tcPr>
          <w:p w14:paraId="1C101F0B"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ADT</w:t>
            </w:r>
          </w:p>
        </w:tc>
        <w:tc>
          <w:tcPr>
            <w:tcW w:w="1124" w:type="pct"/>
            <w:tcBorders>
              <w:top w:val="nil"/>
              <w:left w:val="nil"/>
              <w:bottom w:val="nil"/>
              <w:right w:val="nil"/>
            </w:tcBorders>
          </w:tcPr>
          <w:p w14:paraId="31839714"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0.0719</w:t>
            </w:r>
          </w:p>
        </w:tc>
        <w:tc>
          <w:tcPr>
            <w:tcW w:w="962" w:type="pct"/>
            <w:tcBorders>
              <w:top w:val="nil"/>
              <w:left w:val="nil"/>
              <w:bottom w:val="nil"/>
              <w:right w:val="nil"/>
            </w:tcBorders>
          </w:tcPr>
          <w:p w14:paraId="2047A8F1" w14:textId="77777777" w:rsidR="000931A4" w:rsidRPr="00B74590" w:rsidRDefault="000931A4" w:rsidP="00155715">
            <w:pPr>
              <w:widowControl w:val="0"/>
              <w:autoSpaceDE w:val="0"/>
              <w:autoSpaceDN w:val="0"/>
              <w:adjustRightInd w:val="0"/>
              <w:jc w:val="both"/>
              <w:rPr>
                <w:rFonts w:ascii="Garamond" w:hAnsi="Garamond"/>
                <w:sz w:val="20"/>
                <w:szCs w:val="20"/>
              </w:rPr>
            </w:pPr>
          </w:p>
        </w:tc>
        <w:tc>
          <w:tcPr>
            <w:tcW w:w="1230" w:type="pct"/>
            <w:tcBorders>
              <w:top w:val="nil"/>
              <w:left w:val="nil"/>
              <w:bottom w:val="nil"/>
              <w:right w:val="nil"/>
            </w:tcBorders>
          </w:tcPr>
          <w:p w14:paraId="7828F4BF" w14:textId="77777777" w:rsidR="000931A4" w:rsidRPr="00B74590" w:rsidRDefault="000931A4" w:rsidP="00155715">
            <w:pPr>
              <w:widowControl w:val="0"/>
              <w:autoSpaceDE w:val="0"/>
              <w:autoSpaceDN w:val="0"/>
              <w:adjustRightInd w:val="0"/>
              <w:jc w:val="both"/>
              <w:rPr>
                <w:rFonts w:ascii="Garamond" w:hAnsi="Garamond"/>
                <w:sz w:val="20"/>
                <w:szCs w:val="20"/>
              </w:rPr>
            </w:pPr>
          </w:p>
        </w:tc>
      </w:tr>
      <w:tr w:rsidR="000931A4" w:rsidRPr="00B74590" w14:paraId="50C6A314" w14:textId="77777777" w:rsidTr="00B74590">
        <w:trPr>
          <w:trHeight w:val="57"/>
          <w:jc w:val="center"/>
        </w:trPr>
        <w:tc>
          <w:tcPr>
            <w:tcW w:w="1684" w:type="pct"/>
            <w:tcBorders>
              <w:top w:val="nil"/>
              <w:left w:val="nil"/>
              <w:bottom w:val="nil"/>
              <w:right w:val="nil"/>
            </w:tcBorders>
          </w:tcPr>
          <w:p w14:paraId="471F29EA" w14:textId="77777777" w:rsidR="000931A4" w:rsidRPr="00B74590" w:rsidRDefault="000931A4" w:rsidP="00155715">
            <w:pPr>
              <w:widowControl w:val="0"/>
              <w:autoSpaceDE w:val="0"/>
              <w:autoSpaceDN w:val="0"/>
              <w:adjustRightInd w:val="0"/>
              <w:jc w:val="both"/>
              <w:rPr>
                <w:rFonts w:ascii="Garamond" w:hAnsi="Garamond"/>
                <w:sz w:val="20"/>
                <w:szCs w:val="20"/>
              </w:rPr>
            </w:pPr>
          </w:p>
        </w:tc>
        <w:tc>
          <w:tcPr>
            <w:tcW w:w="1124" w:type="pct"/>
            <w:tcBorders>
              <w:top w:val="nil"/>
              <w:left w:val="nil"/>
              <w:bottom w:val="nil"/>
              <w:right w:val="nil"/>
            </w:tcBorders>
          </w:tcPr>
          <w:p w14:paraId="1197DBC3" w14:textId="2D69D6B2"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(0.116)</w:t>
            </w:r>
          </w:p>
        </w:tc>
        <w:tc>
          <w:tcPr>
            <w:tcW w:w="962" w:type="pct"/>
            <w:tcBorders>
              <w:top w:val="nil"/>
              <w:left w:val="nil"/>
              <w:bottom w:val="nil"/>
              <w:right w:val="nil"/>
            </w:tcBorders>
          </w:tcPr>
          <w:p w14:paraId="09D694F2" w14:textId="77777777" w:rsidR="000931A4" w:rsidRPr="00B74590" w:rsidRDefault="000931A4" w:rsidP="00155715">
            <w:pPr>
              <w:widowControl w:val="0"/>
              <w:autoSpaceDE w:val="0"/>
              <w:autoSpaceDN w:val="0"/>
              <w:adjustRightInd w:val="0"/>
              <w:jc w:val="both"/>
              <w:rPr>
                <w:rFonts w:ascii="Garamond" w:hAnsi="Garamond"/>
                <w:sz w:val="20"/>
                <w:szCs w:val="20"/>
              </w:rPr>
            </w:pPr>
          </w:p>
        </w:tc>
        <w:tc>
          <w:tcPr>
            <w:tcW w:w="1230" w:type="pct"/>
            <w:tcBorders>
              <w:top w:val="nil"/>
              <w:left w:val="nil"/>
              <w:bottom w:val="nil"/>
              <w:right w:val="nil"/>
            </w:tcBorders>
          </w:tcPr>
          <w:p w14:paraId="081CB7DF" w14:textId="77777777" w:rsidR="000931A4" w:rsidRPr="00B74590" w:rsidRDefault="000931A4" w:rsidP="00155715">
            <w:pPr>
              <w:widowControl w:val="0"/>
              <w:autoSpaceDE w:val="0"/>
              <w:autoSpaceDN w:val="0"/>
              <w:adjustRightInd w:val="0"/>
              <w:jc w:val="both"/>
              <w:rPr>
                <w:rFonts w:ascii="Garamond" w:hAnsi="Garamond"/>
                <w:sz w:val="20"/>
                <w:szCs w:val="20"/>
              </w:rPr>
            </w:pPr>
          </w:p>
        </w:tc>
      </w:tr>
      <w:tr w:rsidR="000B60B1" w:rsidRPr="00B74590" w14:paraId="5E7B5845" w14:textId="77777777" w:rsidTr="00B74590">
        <w:trPr>
          <w:trHeight w:val="57"/>
          <w:jc w:val="center"/>
        </w:trPr>
        <w:tc>
          <w:tcPr>
            <w:tcW w:w="1684" w:type="pct"/>
            <w:tcBorders>
              <w:top w:val="nil"/>
              <w:left w:val="nil"/>
              <w:bottom w:val="nil"/>
              <w:right w:val="nil"/>
            </w:tcBorders>
          </w:tcPr>
          <w:p w14:paraId="493E7FD3" w14:textId="57E94A90" w:rsidR="000B60B1" w:rsidRPr="00B74590" w:rsidRDefault="000B60B1" w:rsidP="00155715">
            <w:pPr>
              <w:widowControl w:val="0"/>
              <w:autoSpaceDE w:val="0"/>
              <w:autoSpaceDN w:val="0"/>
              <w:adjustRightInd w:val="0"/>
              <w:jc w:val="both"/>
              <w:rPr>
                <w:rFonts w:ascii="Garamond" w:hAnsi="Garamond"/>
                <w:sz w:val="20"/>
                <w:szCs w:val="20"/>
              </w:rPr>
            </w:pPr>
            <w:proofErr w:type="spellStart"/>
            <w:r w:rsidRPr="00B74590">
              <w:rPr>
                <w:rFonts w:ascii="Garamond" w:hAnsi="Garamond"/>
                <w:sz w:val="20"/>
                <w:szCs w:val="20"/>
              </w:rPr>
              <w:t>ADT_Trat</w:t>
            </w:r>
            <w:proofErr w:type="spellEnd"/>
          </w:p>
        </w:tc>
        <w:tc>
          <w:tcPr>
            <w:tcW w:w="1124" w:type="pct"/>
            <w:tcBorders>
              <w:top w:val="nil"/>
              <w:left w:val="nil"/>
              <w:bottom w:val="nil"/>
              <w:right w:val="nil"/>
            </w:tcBorders>
          </w:tcPr>
          <w:p w14:paraId="7DBAA29B" w14:textId="77777777" w:rsidR="000B60B1" w:rsidRPr="00B74590" w:rsidRDefault="000B60B1" w:rsidP="00155715">
            <w:pPr>
              <w:widowControl w:val="0"/>
              <w:autoSpaceDE w:val="0"/>
              <w:autoSpaceDN w:val="0"/>
              <w:adjustRightInd w:val="0"/>
              <w:jc w:val="both"/>
              <w:rPr>
                <w:rFonts w:ascii="Garamond" w:hAnsi="Garamond"/>
                <w:sz w:val="20"/>
                <w:szCs w:val="20"/>
              </w:rPr>
            </w:pPr>
          </w:p>
        </w:tc>
        <w:tc>
          <w:tcPr>
            <w:tcW w:w="962" w:type="pct"/>
            <w:tcBorders>
              <w:top w:val="nil"/>
              <w:left w:val="nil"/>
              <w:bottom w:val="nil"/>
              <w:right w:val="nil"/>
            </w:tcBorders>
          </w:tcPr>
          <w:p w14:paraId="7BFD1628" w14:textId="2BDE6B6D" w:rsidR="000B60B1" w:rsidRPr="00B74590" w:rsidRDefault="000B60B1"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0.0723</w:t>
            </w:r>
          </w:p>
        </w:tc>
        <w:tc>
          <w:tcPr>
            <w:tcW w:w="1230" w:type="pct"/>
            <w:tcBorders>
              <w:top w:val="nil"/>
              <w:left w:val="nil"/>
              <w:bottom w:val="nil"/>
              <w:right w:val="nil"/>
            </w:tcBorders>
          </w:tcPr>
          <w:p w14:paraId="3747F47E" w14:textId="77777777" w:rsidR="000B60B1" w:rsidRPr="00B74590" w:rsidRDefault="000B60B1" w:rsidP="00155715">
            <w:pPr>
              <w:widowControl w:val="0"/>
              <w:autoSpaceDE w:val="0"/>
              <w:autoSpaceDN w:val="0"/>
              <w:adjustRightInd w:val="0"/>
              <w:jc w:val="both"/>
              <w:rPr>
                <w:rFonts w:ascii="Garamond" w:hAnsi="Garamond"/>
                <w:sz w:val="20"/>
                <w:szCs w:val="20"/>
              </w:rPr>
            </w:pPr>
          </w:p>
        </w:tc>
      </w:tr>
      <w:tr w:rsidR="000B60B1" w:rsidRPr="00B74590" w14:paraId="241CCD1E" w14:textId="77777777" w:rsidTr="00B74590">
        <w:trPr>
          <w:trHeight w:val="57"/>
          <w:jc w:val="center"/>
        </w:trPr>
        <w:tc>
          <w:tcPr>
            <w:tcW w:w="1684" w:type="pct"/>
            <w:tcBorders>
              <w:top w:val="nil"/>
              <w:left w:val="nil"/>
              <w:bottom w:val="nil"/>
              <w:right w:val="nil"/>
            </w:tcBorders>
          </w:tcPr>
          <w:p w14:paraId="125B2899" w14:textId="77777777" w:rsidR="000B60B1" w:rsidRPr="00B74590" w:rsidRDefault="000B60B1" w:rsidP="00155715">
            <w:pPr>
              <w:widowControl w:val="0"/>
              <w:autoSpaceDE w:val="0"/>
              <w:autoSpaceDN w:val="0"/>
              <w:adjustRightInd w:val="0"/>
              <w:jc w:val="both"/>
              <w:rPr>
                <w:rFonts w:ascii="Garamond" w:hAnsi="Garamond"/>
                <w:sz w:val="20"/>
                <w:szCs w:val="20"/>
              </w:rPr>
            </w:pPr>
          </w:p>
        </w:tc>
        <w:tc>
          <w:tcPr>
            <w:tcW w:w="1124" w:type="pct"/>
            <w:tcBorders>
              <w:top w:val="nil"/>
              <w:left w:val="nil"/>
              <w:bottom w:val="nil"/>
              <w:right w:val="nil"/>
            </w:tcBorders>
          </w:tcPr>
          <w:p w14:paraId="4E313F50" w14:textId="77777777" w:rsidR="000B60B1" w:rsidRPr="00B74590" w:rsidRDefault="000B60B1" w:rsidP="00155715">
            <w:pPr>
              <w:widowControl w:val="0"/>
              <w:autoSpaceDE w:val="0"/>
              <w:autoSpaceDN w:val="0"/>
              <w:adjustRightInd w:val="0"/>
              <w:jc w:val="both"/>
              <w:rPr>
                <w:rFonts w:ascii="Garamond" w:hAnsi="Garamond"/>
                <w:sz w:val="20"/>
                <w:szCs w:val="20"/>
              </w:rPr>
            </w:pPr>
          </w:p>
        </w:tc>
        <w:tc>
          <w:tcPr>
            <w:tcW w:w="962" w:type="pct"/>
            <w:tcBorders>
              <w:top w:val="nil"/>
              <w:left w:val="nil"/>
              <w:bottom w:val="nil"/>
              <w:right w:val="nil"/>
            </w:tcBorders>
          </w:tcPr>
          <w:p w14:paraId="5256AFB6" w14:textId="0ECC0AC5" w:rsidR="000B60B1" w:rsidRPr="00B74590" w:rsidRDefault="000B60B1"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(0.118)</w:t>
            </w:r>
          </w:p>
        </w:tc>
        <w:tc>
          <w:tcPr>
            <w:tcW w:w="1230" w:type="pct"/>
            <w:tcBorders>
              <w:top w:val="nil"/>
              <w:left w:val="nil"/>
              <w:bottom w:val="nil"/>
              <w:right w:val="nil"/>
            </w:tcBorders>
          </w:tcPr>
          <w:p w14:paraId="629FB62D" w14:textId="77777777" w:rsidR="000B60B1" w:rsidRPr="00B74590" w:rsidRDefault="000B60B1" w:rsidP="00155715">
            <w:pPr>
              <w:widowControl w:val="0"/>
              <w:autoSpaceDE w:val="0"/>
              <w:autoSpaceDN w:val="0"/>
              <w:adjustRightInd w:val="0"/>
              <w:jc w:val="both"/>
              <w:rPr>
                <w:rFonts w:ascii="Garamond" w:hAnsi="Garamond"/>
                <w:sz w:val="20"/>
                <w:szCs w:val="20"/>
              </w:rPr>
            </w:pPr>
          </w:p>
        </w:tc>
      </w:tr>
      <w:tr w:rsidR="00047288" w:rsidRPr="00B74590" w14:paraId="7D1F7D29" w14:textId="77777777" w:rsidTr="00B74590">
        <w:trPr>
          <w:trHeight w:val="57"/>
          <w:jc w:val="center"/>
        </w:trPr>
        <w:tc>
          <w:tcPr>
            <w:tcW w:w="1684" w:type="pct"/>
            <w:tcBorders>
              <w:top w:val="nil"/>
              <w:left w:val="nil"/>
              <w:bottom w:val="nil"/>
              <w:right w:val="nil"/>
            </w:tcBorders>
          </w:tcPr>
          <w:p w14:paraId="505C21EE" w14:textId="7B7F1DBD" w:rsidR="00047288" w:rsidRPr="00B74590" w:rsidRDefault="00047288" w:rsidP="00155715">
            <w:pPr>
              <w:widowControl w:val="0"/>
              <w:autoSpaceDE w:val="0"/>
              <w:autoSpaceDN w:val="0"/>
              <w:adjustRightInd w:val="0"/>
              <w:jc w:val="both"/>
              <w:rPr>
                <w:rFonts w:ascii="Garamond" w:hAnsi="Garamond"/>
                <w:sz w:val="20"/>
                <w:szCs w:val="20"/>
              </w:rPr>
            </w:pPr>
            <w:proofErr w:type="spellStart"/>
            <w:r w:rsidRPr="00B74590">
              <w:rPr>
                <w:rFonts w:ascii="Garamond" w:hAnsi="Garamond"/>
                <w:sz w:val="20"/>
                <w:szCs w:val="20"/>
              </w:rPr>
              <w:t>tratado_tratamiento</w:t>
            </w:r>
            <w:proofErr w:type="spellEnd"/>
          </w:p>
        </w:tc>
        <w:tc>
          <w:tcPr>
            <w:tcW w:w="1124" w:type="pct"/>
            <w:tcBorders>
              <w:top w:val="nil"/>
              <w:left w:val="nil"/>
              <w:bottom w:val="nil"/>
              <w:right w:val="nil"/>
            </w:tcBorders>
          </w:tcPr>
          <w:p w14:paraId="798E9A19" w14:textId="77777777" w:rsidR="00047288" w:rsidRPr="00B74590" w:rsidRDefault="00047288" w:rsidP="00155715">
            <w:pPr>
              <w:widowControl w:val="0"/>
              <w:autoSpaceDE w:val="0"/>
              <w:autoSpaceDN w:val="0"/>
              <w:adjustRightInd w:val="0"/>
              <w:jc w:val="both"/>
              <w:rPr>
                <w:rFonts w:ascii="Garamond" w:hAnsi="Garamond"/>
                <w:sz w:val="20"/>
                <w:szCs w:val="20"/>
              </w:rPr>
            </w:pPr>
          </w:p>
        </w:tc>
        <w:tc>
          <w:tcPr>
            <w:tcW w:w="962" w:type="pct"/>
            <w:tcBorders>
              <w:top w:val="nil"/>
              <w:left w:val="nil"/>
              <w:bottom w:val="nil"/>
              <w:right w:val="nil"/>
            </w:tcBorders>
          </w:tcPr>
          <w:p w14:paraId="6EBAADD6" w14:textId="77777777" w:rsidR="00047288" w:rsidRPr="00B74590" w:rsidRDefault="00047288" w:rsidP="00155715">
            <w:pPr>
              <w:widowControl w:val="0"/>
              <w:autoSpaceDE w:val="0"/>
              <w:autoSpaceDN w:val="0"/>
              <w:adjustRightInd w:val="0"/>
              <w:jc w:val="both"/>
              <w:rPr>
                <w:rFonts w:ascii="Garamond" w:hAnsi="Garamond"/>
                <w:sz w:val="20"/>
                <w:szCs w:val="20"/>
              </w:rPr>
            </w:pPr>
          </w:p>
        </w:tc>
        <w:tc>
          <w:tcPr>
            <w:tcW w:w="1230" w:type="pct"/>
            <w:tcBorders>
              <w:top w:val="nil"/>
              <w:left w:val="nil"/>
              <w:bottom w:val="nil"/>
              <w:right w:val="nil"/>
            </w:tcBorders>
          </w:tcPr>
          <w:p w14:paraId="0AABD538" w14:textId="56A4DDE2" w:rsidR="00047288" w:rsidRPr="00B74590" w:rsidRDefault="00047288"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-0.147</w:t>
            </w:r>
          </w:p>
        </w:tc>
      </w:tr>
      <w:tr w:rsidR="00047288" w:rsidRPr="00B74590" w14:paraId="28202FFE" w14:textId="77777777" w:rsidTr="00B74590">
        <w:trPr>
          <w:trHeight w:val="57"/>
          <w:jc w:val="center"/>
        </w:trPr>
        <w:tc>
          <w:tcPr>
            <w:tcW w:w="1684" w:type="pct"/>
            <w:tcBorders>
              <w:top w:val="nil"/>
              <w:left w:val="nil"/>
              <w:bottom w:val="nil"/>
              <w:right w:val="nil"/>
            </w:tcBorders>
          </w:tcPr>
          <w:p w14:paraId="3C119A76" w14:textId="77777777" w:rsidR="00047288" w:rsidRPr="00B74590" w:rsidRDefault="00047288" w:rsidP="00155715">
            <w:pPr>
              <w:widowControl w:val="0"/>
              <w:autoSpaceDE w:val="0"/>
              <w:autoSpaceDN w:val="0"/>
              <w:adjustRightInd w:val="0"/>
              <w:jc w:val="both"/>
              <w:rPr>
                <w:rFonts w:ascii="Garamond" w:hAnsi="Garamond"/>
                <w:sz w:val="20"/>
                <w:szCs w:val="20"/>
              </w:rPr>
            </w:pPr>
          </w:p>
        </w:tc>
        <w:tc>
          <w:tcPr>
            <w:tcW w:w="1124" w:type="pct"/>
            <w:tcBorders>
              <w:top w:val="nil"/>
              <w:left w:val="nil"/>
              <w:bottom w:val="nil"/>
              <w:right w:val="nil"/>
            </w:tcBorders>
          </w:tcPr>
          <w:p w14:paraId="0A5F716B" w14:textId="77777777" w:rsidR="00047288" w:rsidRPr="00B74590" w:rsidRDefault="00047288" w:rsidP="00155715">
            <w:pPr>
              <w:widowControl w:val="0"/>
              <w:autoSpaceDE w:val="0"/>
              <w:autoSpaceDN w:val="0"/>
              <w:adjustRightInd w:val="0"/>
              <w:jc w:val="both"/>
              <w:rPr>
                <w:rFonts w:ascii="Garamond" w:hAnsi="Garamond"/>
                <w:sz w:val="20"/>
                <w:szCs w:val="20"/>
              </w:rPr>
            </w:pPr>
          </w:p>
        </w:tc>
        <w:tc>
          <w:tcPr>
            <w:tcW w:w="962" w:type="pct"/>
            <w:tcBorders>
              <w:top w:val="nil"/>
              <w:left w:val="nil"/>
              <w:bottom w:val="nil"/>
              <w:right w:val="nil"/>
            </w:tcBorders>
          </w:tcPr>
          <w:p w14:paraId="0A8ED377" w14:textId="77777777" w:rsidR="00047288" w:rsidRPr="00B74590" w:rsidRDefault="00047288" w:rsidP="00155715">
            <w:pPr>
              <w:widowControl w:val="0"/>
              <w:autoSpaceDE w:val="0"/>
              <w:autoSpaceDN w:val="0"/>
              <w:adjustRightInd w:val="0"/>
              <w:jc w:val="both"/>
              <w:rPr>
                <w:rFonts w:ascii="Garamond" w:hAnsi="Garamond"/>
                <w:sz w:val="20"/>
                <w:szCs w:val="20"/>
              </w:rPr>
            </w:pPr>
          </w:p>
        </w:tc>
        <w:tc>
          <w:tcPr>
            <w:tcW w:w="1230" w:type="pct"/>
            <w:tcBorders>
              <w:top w:val="nil"/>
              <w:left w:val="nil"/>
              <w:bottom w:val="nil"/>
              <w:right w:val="nil"/>
            </w:tcBorders>
          </w:tcPr>
          <w:p w14:paraId="24533B8C" w14:textId="0DE11B9E" w:rsidR="00047288" w:rsidRPr="00B74590" w:rsidRDefault="00047288"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(0.551)</w:t>
            </w:r>
          </w:p>
        </w:tc>
      </w:tr>
      <w:tr w:rsidR="00047288" w:rsidRPr="00B74590" w14:paraId="175D1A5B" w14:textId="77777777" w:rsidTr="00B74590">
        <w:trPr>
          <w:trHeight w:val="57"/>
          <w:jc w:val="center"/>
        </w:trPr>
        <w:tc>
          <w:tcPr>
            <w:tcW w:w="1684" w:type="pct"/>
            <w:tcBorders>
              <w:top w:val="nil"/>
              <w:left w:val="nil"/>
              <w:bottom w:val="nil"/>
              <w:right w:val="nil"/>
            </w:tcBorders>
          </w:tcPr>
          <w:p w14:paraId="271A2D1C" w14:textId="0FED4130" w:rsidR="00047288" w:rsidRPr="00B74590" w:rsidRDefault="00047288" w:rsidP="00155715">
            <w:pPr>
              <w:widowControl w:val="0"/>
              <w:autoSpaceDE w:val="0"/>
              <w:autoSpaceDN w:val="0"/>
              <w:adjustRightInd w:val="0"/>
              <w:jc w:val="both"/>
              <w:rPr>
                <w:rFonts w:ascii="Garamond" w:hAnsi="Garamond"/>
                <w:sz w:val="20"/>
                <w:szCs w:val="20"/>
              </w:rPr>
            </w:pPr>
            <w:proofErr w:type="spellStart"/>
            <w:r w:rsidRPr="00B74590">
              <w:rPr>
                <w:rFonts w:ascii="Garamond" w:hAnsi="Garamond"/>
                <w:sz w:val="20"/>
                <w:szCs w:val="20"/>
              </w:rPr>
              <w:t>tratado_control</w:t>
            </w:r>
            <w:proofErr w:type="spellEnd"/>
          </w:p>
        </w:tc>
        <w:tc>
          <w:tcPr>
            <w:tcW w:w="1124" w:type="pct"/>
            <w:tcBorders>
              <w:top w:val="nil"/>
              <w:left w:val="nil"/>
              <w:bottom w:val="nil"/>
              <w:right w:val="nil"/>
            </w:tcBorders>
          </w:tcPr>
          <w:p w14:paraId="32414C83" w14:textId="77777777" w:rsidR="00047288" w:rsidRPr="00B74590" w:rsidRDefault="00047288" w:rsidP="00155715">
            <w:pPr>
              <w:widowControl w:val="0"/>
              <w:autoSpaceDE w:val="0"/>
              <w:autoSpaceDN w:val="0"/>
              <w:adjustRightInd w:val="0"/>
              <w:jc w:val="both"/>
              <w:rPr>
                <w:rFonts w:ascii="Garamond" w:hAnsi="Garamond"/>
                <w:sz w:val="20"/>
                <w:szCs w:val="20"/>
              </w:rPr>
            </w:pPr>
          </w:p>
        </w:tc>
        <w:tc>
          <w:tcPr>
            <w:tcW w:w="962" w:type="pct"/>
            <w:tcBorders>
              <w:top w:val="nil"/>
              <w:left w:val="nil"/>
              <w:bottom w:val="nil"/>
              <w:right w:val="nil"/>
            </w:tcBorders>
          </w:tcPr>
          <w:p w14:paraId="0E21000E" w14:textId="77777777" w:rsidR="00047288" w:rsidRPr="00B74590" w:rsidRDefault="00047288" w:rsidP="00155715">
            <w:pPr>
              <w:widowControl w:val="0"/>
              <w:autoSpaceDE w:val="0"/>
              <w:autoSpaceDN w:val="0"/>
              <w:adjustRightInd w:val="0"/>
              <w:jc w:val="both"/>
              <w:rPr>
                <w:rFonts w:ascii="Garamond" w:hAnsi="Garamond"/>
                <w:sz w:val="20"/>
                <w:szCs w:val="20"/>
              </w:rPr>
            </w:pPr>
          </w:p>
        </w:tc>
        <w:tc>
          <w:tcPr>
            <w:tcW w:w="1230" w:type="pct"/>
            <w:tcBorders>
              <w:top w:val="nil"/>
              <w:left w:val="nil"/>
              <w:bottom w:val="nil"/>
              <w:right w:val="nil"/>
            </w:tcBorders>
          </w:tcPr>
          <w:p w14:paraId="230BD0FC" w14:textId="1BEA782D" w:rsidR="00047288" w:rsidRPr="00B74590" w:rsidRDefault="00047288"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0.661</w:t>
            </w:r>
          </w:p>
        </w:tc>
      </w:tr>
      <w:tr w:rsidR="00047288" w:rsidRPr="00B74590" w14:paraId="12C74B6D" w14:textId="77777777" w:rsidTr="00B74590">
        <w:trPr>
          <w:trHeight w:val="57"/>
          <w:jc w:val="center"/>
        </w:trPr>
        <w:tc>
          <w:tcPr>
            <w:tcW w:w="1684" w:type="pct"/>
            <w:tcBorders>
              <w:top w:val="nil"/>
              <w:left w:val="nil"/>
              <w:bottom w:val="nil"/>
              <w:right w:val="nil"/>
            </w:tcBorders>
          </w:tcPr>
          <w:p w14:paraId="69C8E17C" w14:textId="77777777" w:rsidR="00047288" w:rsidRPr="00B74590" w:rsidRDefault="00047288" w:rsidP="00155715">
            <w:pPr>
              <w:widowControl w:val="0"/>
              <w:autoSpaceDE w:val="0"/>
              <w:autoSpaceDN w:val="0"/>
              <w:adjustRightInd w:val="0"/>
              <w:jc w:val="both"/>
              <w:rPr>
                <w:rFonts w:ascii="Garamond" w:hAnsi="Garamond"/>
                <w:sz w:val="20"/>
                <w:szCs w:val="20"/>
              </w:rPr>
            </w:pPr>
          </w:p>
        </w:tc>
        <w:tc>
          <w:tcPr>
            <w:tcW w:w="1124" w:type="pct"/>
            <w:tcBorders>
              <w:top w:val="nil"/>
              <w:left w:val="nil"/>
              <w:bottom w:val="nil"/>
              <w:right w:val="nil"/>
            </w:tcBorders>
          </w:tcPr>
          <w:p w14:paraId="5A7F3660" w14:textId="77777777" w:rsidR="00047288" w:rsidRPr="00B74590" w:rsidRDefault="00047288" w:rsidP="00155715">
            <w:pPr>
              <w:widowControl w:val="0"/>
              <w:autoSpaceDE w:val="0"/>
              <w:autoSpaceDN w:val="0"/>
              <w:adjustRightInd w:val="0"/>
              <w:jc w:val="both"/>
              <w:rPr>
                <w:rFonts w:ascii="Garamond" w:hAnsi="Garamond"/>
                <w:sz w:val="20"/>
                <w:szCs w:val="20"/>
              </w:rPr>
            </w:pPr>
          </w:p>
        </w:tc>
        <w:tc>
          <w:tcPr>
            <w:tcW w:w="962" w:type="pct"/>
            <w:tcBorders>
              <w:top w:val="nil"/>
              <w:left w:val="nil"/>
              <w:bottom w:val="nil"/>
              <w:right w:val="nil"/>
            </w:tcBorders>
          </w:tcPr>
          <w:p w14:paraId="5D55E308" w14:textId="77777777" w:rsidR="00047288" w:rsidRPr="00B74590" w:rsidRDefault="00047288" w:rsidP="00155715">
            <w:pPr>
              <w:widowControl w:val="0"/>
              <w:autoSpaceDE w:val="0"/>
              <w:autoSpaceDN w:val="0"/>
              <w:adjustRightInd w:val="0"/>
              <w:jc w:val="both"/>
              <w:rPr>
                <w:rFonts w:ascii="Garamond" w:hAnsi="Garamond"/>
                <w:sz w:val="20"/>
                <w:szCs w:val="20"/>
              </w:rPr>
            </w:pPr>
          </w:p>
        </w:tc>
        <w:tc>
          <w:tcPr>
            <w:tcW w:w="1230" w:type="pct"/>
            <w:tcBorders>
              <w:top w:val="nil"/>
              <w:left w:val="nil"/>
              <w:bottom w:val="nil"/>
              <w:right w:val="nil"/>
            </w:tcBorders>
          </w:tcPr>
          <w:p w14:paraId="42F381CC" w14:textId="0D11107F" w:rsidR="00047288" w:rsidRPr="00B74590" w:rsidRDefault="00047288"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(0.444)</w:t>
            </w:r>
          </w:p>
        </w:tc>
      </w:tr>
      <w:tr w:rsidR="000931A4" w:rsidRPr="00B74590" w14:paraId="2F509784" w14:textId="77777777" w:rsidTr="00B74590">
        <w:trPr>
          <w:trHeight w:val="57"/>
          <w:jc w:val="center"/>
        </w:trPr>
        <w:tc>
          <w:tcPr>
            <w:tcW w:w="1684" w:type="pct"/>
            <w:tcBorders>
              <w:top w:val="nil"/>
              <w:left w:val="nil"/>
              <w:bottom w:val="nil"/>
              <w:right w:val="nil"/>
            </w:tcBorders>
          </w:tcPr>
          <w:p w14:paraId="6F6B1187" w14:textId="77777777" w:rsidR="000931A4" w:rsidRPr="00B74590" w:rsidRDefault="000931A4" w:rsidP="00155715">
            <w:pPr>
              <w:widowControl w:val="0"/>
              <w:autoSpaceDE w:val="0"/>
              <w:autoSpaceDN w:val="0"/>
              <w:adjustRightInd w:val="0"/>
              <w:jc w:val="both"/>
              <w:rPr>
                <w:rFonts w:ascii="Garamond" w:hAnsi="Garamond"/>
                <w:sz w:val="20"/>
                <w:szCs w:val="20"/>
              </w:rPr>
            </w:pPr>
            <w:proofErr w:type="spellStart"/>
            <w:r w:rsidRPr="00B74590">
              <w:rPr>
                <w:rFonts w:ascii="Garamond" w:hAnsi="Garamond"/>
                <w:sz w:val="20"/>
                <w:szCs w:val="20"/>
              </w:rPr>
              <w:t>dif_imp</w:t>
            </w:r>
            <w:proofErr w:type="spellEnd"/>
          </w:p>
        </w:tc>
        <w:tc>
          <w:tcPr>
            <w:tcW w:w="1124" w:type="pct"/>
            <w:tcBorders>
              <w:top w:val="nil"/>
              <w:left w:val="nil"/>
              <w:bottom w:val="nil"/>
              <w:right w:val="nil"/>
            </w:tcBorders>
          </w:tcPr>
          <w:p w14:paraId="798C4B05"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0.0187***</w:t>
            </w:r>
          </w:p>
        </w:tc>
        <w:tc>
          <w:tcPr>
            <w:tcW w:w="962" w:type="pct"/>
            <w:tcBorders>
              <w:top w:val="nil"/>
              <w:left w:val="nil"/>
              <w:bottom w:val="nil"/>
              <w:right w:val="nil"/>
            </w:tcBorders>
          </w:tcPr>
          <w:p w14:paraId="1626FD13"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0.0184***</w:t>
            </w:r>
          </w:p>
        </w:tc>
        <w:tc>
          <w:tcPr>
            <w:tcW w:w="1230" w:type="pct"/>
            <w:tcBorders>
              <w:top w:val="nil"/>
              <w:left w:val="nil"/>
              <w:bottom w:val="nil"/>
              <w:right w:val="nil"/>
            </w:tcBorders>
          </w:tcPr>
          <w:p w14:paraId="70C777EC"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0.0140</w:t>
            </w:r>
          </w:p>
        </w:tc>
      </w:tr>
      <w:tr w:rsidR="000931A4" w:rsidRPr="00B74590" w14:paraId="5ED2D3F8" w14:textId="77777777" w:rsidTr="00B74590">
        <w:trPr>
          <w:trHeight w:val="57"/>
          <w:jc w:val="center"/>
        </w:trPr>
        <w:tc>
          <w:tcPr>
            <w:tcW w:w="1684" w:type="pct"/>
            <w:tcBorders>
              <w:top w:val="nil"/>
              <w:left w:val="nil"/>
              <w:bottom w:val="nil"/>
              <w:right w:val="nil"/>
            </w:tcBorders>
          </w:tcPr>
          <w:p w14:paraId="41D16351" w14:textId="77777777" w:rsidR="000931A4" w:rsidRPr="00B74590" w:rsidRDefault="000931A4" w:rsidP="00155715">
            <w:pPr>
              <w:widowControl w:val="0"/>
              <w:autoSpaceDE w:val="0"/>
              <w:autoSpaceDN w:val="0"/>
              <w:adjustRightInd w:val="0"/>
              <w:jc w:val="both"/>
              <w:rPr>
                <w:rFonts w:ascii="Garamond" w:hAnsi="Garamond"/>
                <w:sz w:val="20"/>
                <w:szCs w:val="20"/>
              </w:rPr>
            </w:pPr>
          </w:p>
        </w:tc>
        <w:tc>
          <w:tcPr>
            <w:tcW w:w="1124" w:type="pct"/>
            <w:tcBorders>
              <w:top w:val="nil"/>
              <w:left w:val="nil"/>
              <w:bottom w:val="nil"/>
              <w:right w:val="nil"/>
            </w:tcBorders>
          </w:tcPr>
          <w:p w14:paraId="18DBF564"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(0.00551)</w:t>
            </w:r>
          </w:p>
        </w:tc>
        <w:tc>
          <w:tcPr>
            <w:tcW w:w="962" w:type="pct"/>
            <w:tcBorders>
              <w:top w:val="nil"/>
              <w:left w:val="nil"/>
              <w:bottom w:val="nil"/>
              <w:right w:val="nil"/>
            </w:tcBorders>
          </w:tcPr>
          <w:p w14:paraId="4961C46F"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(0.00567)</w:t>
            </w:r>
          </w:p>
        </w:tc>
        <w:tc>
          <w:tcPr>
            <w:tcW w:w="1230" w:type="pct"/>
            <w:tcBorders>
              <w:top w:val="nil"/>
              <w:left w:val="nil"/>
              <w:bottom w:val="nil"/>
              <w:right w:val="nil"/>
            </w:tcBorders>
          </w:tcPr>
          <w:p w14:paraId="46B9BEA0"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(0.0186)</w:t>
            </w:r>
          </w:p>
        </w:tc>
      </w:tr>
      <w:tr w:rsidR="000931A4" w:rsidRPr="00B74590" w14:paraId="3B8E3A28" w14:textId="77777777" w:rsidTr="00B74590">
        <w:trPr>
          <w:trHeight w:val="57"/>
          <w:jc w:val="center"/>
        </w:trPr>
        <w:tc>
          <w:tcPr>
            <w:tcW w:w="1684" w:type="pct"/>
            <w:tcBorders>
              <w:top w:val="nil"/>
              <w:left w:val="nil"/>
              <w:bottom w:val="nil"/>
              <w:right w:val="nil"/>
            </w:tcBorders>
          </w:tcPr>
          <w:p w14:paraId="591AB4BF"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PIB</w:t>
            </w:r>
          </w:p>
        </w:tc>
        <w:tc>
          <w:tcPr>
            <w:tcW w:w="1124" w:type="pct"/>
            <w:tcBorders>
              <w:top w:val="nil"/>
              <w:left w:val="nil"/>
              <w:bottom w:val="nil"/>
              <w:right w:val="nil"/>
            </w:tcBorders>
          </w:tcPr>
          <w:p w14:paraId="7094F38D"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0.00447</w:t>
            </w:r>
          </w:p>
        </w:tc>
        <w:tc>
          <w:tcPr>
            <w:tcW w:w="962" w:type="pct"/>
            <w:tcBorders>
              <w:top w:val="nil"/>
              <w:left w:val="nil"/>
              <w:bottom w:val="nil"/>
              <w:right w:val="nil"/>
            </w:tcBorders>
          </w:tcPr>
          <w:p w14:paraId="1D506535"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0.00268</w:t>
            </w:r>
          </w:p>
        </w:tc>
        <w:tc>
          <w:tcPr>
            <w:tcW w:w="1230" w:type="pct"/>
            <w:tcBorders>
              <w:top w:val="nil"/>
              <w:left w:val="nil"/>
              <w:bottom w:val="nil"/>
              <w:right w:val="nil"/>
            </w:tcBorders>
          </w:tcPr>
          <w:p w14:paraId="304754D5"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0.0121</w:t>
            </w:r>
          </w:p>
        </w:tc>
      </w:tr>
      <w:tr w:rsidR="000931A4" w:rsidRPr="00B74590" w14:paraId="21A055A8" w14:textId="77777777" w:rsidTr="00B74590">
        <w:trPr>
          <w:trHeight w:val="57"/>
          <w:jc w:val="center"/>
        </w:trPr>
        <w:tc>
          <w:tcPr>
            <w:tcW w:w="1684" w:type="pct"/>
            <w:tcBorders>
              <w:top w:val="nil"/>
              <w:left w:val="nil"/>
              <w:bottom w:val="nil"/>
              <w:right w:val="nil"/>
            </w:tcBorders>
          </w:tcPr>
          <w:p w14:paraId="5A59F502" w14:textId="77777777" w:rsidR="000931A4" w:rsidRPr="00B74590" w:rsidRDefault="000931A4" w:rsidP="00155715">
            <w:pPr>
              <w:widowControl w:val="0"/>
              <w:autoSpaceDE w:val="0"/>
              <w:autoSpaceDN w:val="0"/>
              <w:adjustRightInd w:val="0"/>
              <w:jc w:val="both"/>
              <w:rPr>
                <w:rFonts w:ascii="Garamond" w:hAnsi="Garamond"/>
                <w:sz w:val="20"/>
                <w:szCs w:val="20"/>
              </w:rPr>
            </w:pPr>
          </w:p>
        </w:tc>
        <w:tc>
          <w:tcPr>
            <w:tcW w:w="1124" w:type="pct"/>
            <w:tcBorders>
              <w:top w:val="nil"/>
              <w:left w:val="nil"/>
              <w:bottom w:val="nil"/>
              <w:right w:val="nil"/>
            </w:tcBorders>
          </w:tcPr>
          <w:p w14:paraId="48193DD2"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(0.00544)</w:t>
            </w:r>
          </w:p>
        </w:tc>
        <w:tc>
          <w:tcPr>
            <w:tcW w:w="962" w:type="pct"/>
            <w:tcBorders>
              <w:top w:val="nil"/>
              <w:left w:val="nil"/>
              <w:bottom w:val="nil"/>
              <w:right w:val="nil"/>
            </w:tcBorders>
          </w:tcPr>
          <w:p w14:paraId="0B6570F1"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(0.00552)</w:t>
            </w:r>
          </w:p>
        </w:tc>
        <w:tc>
          <w:tcPr>
            <w:tcW w:w="1230" w:type="pct"/>
            <w:tcBorders>
              <w:top w:val="nil"/>
              <w:left w:val="nil"/>
              <w:bottom w:val="nil"/>
              <w:right w:val="nil"/>
            </w:tcBorders>
          </w:tcPr>
          <w:p w14:paraId="4DAA843F"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(0.0152)</w:t>
            </w:r>
          </w:p>
        </w:tc>
      </w:tr>
      <w:tr w:rsidR="000931A4" w:rsidRPr="00B74590" w14:paraId="136E9893" w14:textId="77777777" w:rsidTr="00B74590">
        <w:trPr>
          <w:trHeight w:val="57"/>
          <w:jc w:val="center"/>
        </w:trPr>
        <w:tc>
          <w:tcPr>
            <w:tcW w:w="1684" w:type="pct"/>
            <w:tcBorders>
              <w:top w:val="nil"/>
              <w:left w:val="nil"/>
              <w:bottom w:val="nil"/>
              <w:right w:val="nil"/>
            </w:tcBorders>
          </w:tcPr>
          <w:p w14:paraId="1F02CFAC" w14:textId="77777777" w:rsidR="000931A4" w:rsidRPr="00B74590" w:rsidRDefault="000931A4" w:rsidP="00155715">
            <w:pPr>
              <w:widowControl w:val="0"/>
              <w:autoSpaceDE w:val="0"/>
              <w:autoSpaceDN w:val="0"/>
              <w:adjustRightInd w:val="0"/>
              <w:jc w:val="both"/>
              <w:rPr>
                <w:rFonts w:ascii="Garamond" w:hAnsi="Garamond"/>
                <w:sz w:val="20"/>
                <w:szCs w:val="20"/>
              </w:rPr>
            </w:pPr>
            <w:proofErr w:type="spellStart"/>
            <w:r w:rsidRPr="00B74590">
              <w:rPr>
                <w:rFonts w:ascii="Garamond" w:hAnsi="Garamond"/>
                <w:sz w:val="20"/>
                <w:szCs w:val="20"/>
              </w:rPr>
              <w:t>PIB_per</w:t>
            </w:r>
            <w:proofErr w:type="spellEnd"/>
          </w:p>
        </w:tc>
        <w:tc>
          <w:tcPr>
            <w:tcW w:w="1124" w:type="pct"/>
            <w:tcBorders>
              <w:top w:val="nil"/>
              <w:left w:val="nil"/>
              <w:bottom w:val="nil"/>
              <w:right w:val="nil"/>
            </w:tcBorders>
          </w:tcPr>
          <w:p w14:paraId="49E5B175"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3.08e-05***</w:t>
            </w:r>
          </w:p>
        </w:tc>
        <w:tc>
          <w:tcPr>
            <w:tcW w:w="962" w:type="pct"/>
            <w:tcBorders>
              <w:top w:val="nil"/>
              <w:left w:val="nil"/>
              <w:bottom w:val="nil"/>
              <w:right w:val="nil"/>
            </w:tcBorders>
          </w:tcPr>
          <w:p w14:paraId="0BD5A348"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3.92e-05***</w:t>
            </w:r>
          </w:p>
        </w:tc>
        <w:tc>
          <w:tcPr>
            <w:tcW w:w="1230" w:type="pct"/>
            <w:tcBorders>
              <w:top w:val="nil"/>
              <w:left w:val="nil"/>
              <w:bottom w:val="nil"/>
              <w:right w:val="nil"/>
            </w:tcBorders>
          </w:tcPr>
          <w:p w14:paraId="1DE5C977"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1.68e-05*</w:t>
            </w:r>
          </w:p>
        </w:tc>
      </w:tr>
      <w:tr w:rsidR="000931A4" w:rsidRPr="00B74590" w14:paraId="52BAD6E0" w14:textId="77777777" w:rsidTr="00B74590">
        <w:trPr>
          <w:trHeight w:val="57"/>
          <w:jc w:val="center"/>
        </w:trPr>
        <w:tc>
          <w:tcPr>
            <w:tcW w:w="1684" w:type="pct"/>
            <w:tcBorders>
              <w:top w:val="nil"/>
              <w:left w:val="nil"/>
              <w:bottom w:val="nil"/>
              <w:right w:val="nil"/>
            </w:tcBorders>
          </w:tcPr>
          <w:p w14:paraId="14DFF7AD" w14:textId="77777777" w:rsidR="000931A4" w:rsidRPr="00B74590" w:rsidRDefault="000931A4" w:rsidP="00155715">
            <w:pPr>
              <w:widowControl w:val="0"/>
              <w:autoSpaceDE w:val="0"/>
              <w:autoSpaceDN w:val="0"/>
              <w:adjustRightInd w:val="0"/>
              <w:jc w:val="both"/>
              <w:rPr>
                <w:rFonts w:ascii="Garamond" w:hAnsi="Garamond"/>
                <w:sz w:val="20"/>
                <w:szCs w:val="20"/>
              </w:rPr>
            </w:pPr>
          </w:p>
        </w:tc>
        <w:tc>
          <w:tcPr>
            <w:tcW w:w="1124" w:type="pct"/>
            <w:tcBorders>
              <w:top w:val="nil"/>
              <w:left w:val="nil"/>
              <w:bottom w:val="nil"/>
              <w:right w:val="nil"/>
            </w:tcBorders>
          </w:tcPr>
          <w:p w14:paraId="6F2D6B21"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(5.14e-06)</w:t>
            </w:r>
          </w:p>
        </w:tc>
        <w:tc>
          <w:tcPr>
            <w:tcW w:w="962" w:type="pct"/>
            <w:tcBorders>
              <w:top w:val="nil"/>
              <w:left w:val="nil"/>
              <w:bottom w:val="nil"/>
              <w:right w:val="nil"/>
            </w:tcBorders>
          </w:tcPr>
          <w:p w14:paraId="3C73D589"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(6.70e-06)</w:t>
            </w:r>
          </w:p>
        </w:tc>
        <w:tc>
          <w:tcPr>
            <w:tcW w:w="1230" w:type="pct"/>
            <w:tcBorders>
              <w:top w:val="nil"/>
              <w:left w:val="nil"/>
              <w:bottom w:val="nil"/>
              <w:right w:val="nil"/>
            </w:tcBorders>
          </w:tcPr>
          <w:p w14:paraId="42D3CF0C"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(8.39e-06)</w:t>
            </w:r>
          </w:p>
        </w:tc>
      </w:tr>
      <w:tr w:rsidR="000931A4" w:rsidRPr="00B74590" w14:paraId="7B234310" w14:textId="77777777" w:rsidTr="00B74590">
        <w:trPr>
          <w:trHeight w:val="57"/>
          <w:jc w:val="center"/>
        </w:trPr>
        <w:tc>
          <w:tcPr>
            <w:tcW w:w="1684" w:type="pct"/>
            <w:tcBorders>
              <w:top w:val="nil"/>
              <w:left w:val="nil"/>
              <w:bottom w:val="nil"/>
              <w:right w:val="nil"/>
            </w:tcBorders>
          </w:tcPr>
          <w:p w14:paraId="64D22F35"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IPC</w:t>
            </w:r>
          </w:p>
        </w:tc>
        <w:tc>
          <w:tcPr>
            <w:tcW w:w="1124" w:type="pct"/>
            <w:tcBorders>
              <w:top w:val="nil"/>
              <w:left w:val="nil"/>
              <w:bottom w:val="nil"/>
              <w:right w:val="nil"/>
            </w:tcBorders>
          </w:tcPr>
          <w:p w14:paraId="6E69EA4E"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-3.79e-06</w:t>
            </w:r>
          </w:p>
        </w:tc>
        <w:tc>
          <w:tcPr>
            <w:tcW w:w="962" w:type="pct"/>
            <w:tcBorders>
              <w:top w:val="nil"/>
              <w:left w:val="nil"/>
              <w:bottom w:val="nil"/>
              <w:right w:val="nil"/>
            </w:tcBorders>
          </w:tcPr>
          <w:p w14:paraId="704E9B4F"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-3.50e-06</w:t>
            </w:r>
          </w:p>
        </w:tc>
        <w:tc>
          <w:tcPr>
            <w:tcW w:w="1230" w:type="pct"/>
            <w:tcBorders>
              <w:top w:val="nil"/>
              <w:left w:val="nil"/>
              <w:bottom w:val="nil"/>
              <w:right w:val="nil"/>
            </w:tcBorders>
          </w:tcPr>
          <w:p w14:paraId="12A911F9"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-2.00e-05</w:t>
            </w:r>
          </w:p>
        </w:tc>
      </w:tr>
      <w:tr w:rsidR="000931A4" w:rsidRPr="00B74590" w14:paraId="1702C55F" w14:textId="77777777" w:rsidTr="00B74590">
        <w:trPr>
          <w:trHeight w:val="57"/>
          <w:jc w:val="center"/>
        </w:trPr>
        <w:tc>
          <w:tcPr>
            <w:tcW w:w="1684" w:type="pct"/>
            <w:tcBorders>
              <w:top w:val="nil"/>
              <w:left w:val="nil"/>
              <w:bottom w:val="nil"/>
              <w:right w:val="nil"/>
            </w:tcBorders>
          </w:tcPr>
          <w:p w14:paraId="12D0B334" w14:textId="77777777" w:rsidR="000931A4" w:rsidRPr="00B74590" w:rsidRDefault="000931A4" w:rsidP="00155715">
            <w:pPr>
              <w:widowControl w:val="0"/>
              <w:autoSpaceDE w:val="0"/>
              <w:autoSpaceDN w:val="0"/>
              <w:adjustRightInd w:val="0"/>
              <w:jc w:val="both"/>
              <w:rPr>
                <w:rFonts w:ascii="Garamond" w:hAnsi="Garamond"/>
                <w:sz w:val="20"/>
                <w:szCs w:val="20"/>
              </w:rPr>
            </w:pPr>
          </w:p>
        </w:tc>
        <w:tc>
          <w:tcPr>
            <w:tcW w:w="1124" w:type="pct"/>
            <w:tcBorders>
              <w:top w:val="nil"/>
              <w:left w:val="nil"/>
              <w:bottom w:val="nil"/>
              <w:right w:val="nil"/>
            </w:tcBorders>
          </w:tcPr>
          <w:p w14:paraId="6B778510"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(9.54e-06)</w:t>
            </w:r>
          </w:p>
        </w:tc>
        <w:tc>
          <w:tcPr>
            <w:tcW w:w="962" w:type="pct"/>
            <w:tcBorders>
              <w:top w:val="nil"/>
              <w:left w:val="nil"/>
              <w:bottom w:val="nil"/>
              <w:right w:val="nil"/>
            </w:tcBorders>
          </w:tcPr>
          <w:p w14:paraId="6338B956"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(9.54e-06)</w:t>
            </w:r>
          </w:p>
        </w:tc>
        <w:tc>
          <w:tcPr>
            <w:tcW w:w="1230" w:type="pct"/>
            <w:tcBorders>
              <w:top w:val="nil"/>
              <w:left w:val="nil"/>
              <w:bottom w:val="nil"/>
              <w:right w:val="nil"/>
            </w:tcBorders>
          </w:tcPr>
          <w:p w14:paraId="122B0245"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(1.35e-05)</w:t>
            </w:r>
          </w:p>
        </w:tc>
      </w:tr>
      <w:tr w:rsidR="000931A4" w:rsidRPr="00B74590" w14:paraId="3120DDA9" w14:textId="77777777" w:rsidTr="00B74590">
        <w:trPr>
          <w:trHeight w:val="57"/>
          <w:jc w:val="center"/>
        </w:trPr>
        <w:tc>
          <w:tcPr>
            <w:tcW w:w="1684" w:type="pct"/>
            <w:tcBorders>
              <w:top w:val="nil"/>
              <w:left w:val="nil"/>
              <w:bottom w:val="nil"/>
              <w:right w:val="nil"/>
            </w:tcBorders>
          </w:tcPr>
          <w:p w14:paraId="605A78BE"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BC</w:t>
            </w:r>
          </w:p>
        </w:tc>
        <w:tc>
          <w:tcPr>
            <w:tcW w:w="1124" w:type="pct"/>
            <w:tcBorders>
              <w:top w:val="nil"/>
              <w:left w:val="nil"/>
              <w:bottom w:val="nil"/>
              <w:right w:val="nil"/>
            </w:tcBorders>
          </w:tcPr>
          <w:p w14:paraId="09D709D0"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-1.10e-07</w:t>
            </w:r>
          </w:p>
        </w:tc>
        <w:tc>
          <w:tcPr>
            <w:tcW w:w="962" w:type="pct"/>
            <w:tcBorders>
              <w:top w:val="nil"/>
              <w:left w:val="nil"/>
              <w:bottom w:val="nil"/>
              <w:right w:val="nil"/>
            </w:tcBorders>
          </w:tcPr>
          <w:p w14:paraId="19A01C8C"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-1.12e-07</w:t>
            </w:r>
          </w:p>
        </w:tc>
        <w:tc>
          <w:tcPr>
            <w:tcW w:w="1230" w:type="pct"/>
            <w:tcBorders>
              <w:top w:val="nil"/>
              <w:left w:val="nil"/>
              <w:bottom w:val="nil"/>
              <w:right w:val="nil"/>
            </w:tcBorders>
          </w:tcPr>
          <w:p w14:paraId="2E73F23D"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1.33e-07</w:t>
            </w:r>
          </w:p>
        </w:tc>
      </w:tr>
      <w:tr w:rsidR="000931A4" w:rsidRPr="00B74590" w14:paraId="2C12ABFE" w14:textId="77777777" w:rsidTr="00B74590">
        <w:trPr>
          <w:trHeight w:val="57"/>
          <w:jc w:val="center"/>
        </w:trPr>
        <w:tc>
          <w:tcPr>
            <w:tcW w:w="1684" w:type="pct"/>
            <w:tcBorders>
              <w:top w:val="nil"/>
              <w:left w:val="nil"/>
              <w:bottom w:val="nil"/>
              <w:right w:val="nil"/>
            </w:tcBorders>
          </w:tcPr>
          <w:p w14:paraId="54E46B85" w14:textId="77777777" w:rsidR="000931A4" w:rsidRPr="00B74590" w:rsidRDefault="000931A4" w:rsidP="00155715">
            <w:pPr>
              <w:widowControl w:val="0"/>
              <w:autoSpaceDE w:val="0"/>
              <w:autoSpaceDN w:val="0"/>
              <w:adjustRightInd w:val="0"/>
              <w:jc w:val="both"/>
              <w:rPr>
                <w:rFonts w:ascii="Garamond" w:hAnsi="Garamond"/>
                <w:sz w:val="20"/>
                <w:szCs w:val="20"/>
              </w:rPr>
            </w:pPr>
          </w:p>
        </w:tc>
        <w:tc>
          <w:tcPr>
            <w:tcW w:w="1124" w:type="pct"/>
            <w:tcBorders>
              <w:top w:val="nil"/>
              <w:left w:val="nil"/>
              <w:bottom w:val="nil"/>
              <w:right w:val="nil"/>
            </w:tcBorders>
          </w:tcPr>
          <w:p w14:paraId="59FD9FF6"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(9.97e-08)</w:t>
            </w:r>
          </w:p>
        </w:tc>
        <w:tc>
          <w:tcPr>
            <w:tcW w:w="962" w:type="pct"/>
            <w:tcBorders>
              <w:top w:val="nil"/>
              <w:left w:val="nil"/>
              <w:bottom w:val="nil"/>
              <w:right w:val="nil"/>
            </w:tcBorders>
          </w:tcPr>
          <w:p w14:paraId="71EE879E"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(1.00e-07)</w:t>
            </w:r>
          </w:p>
        </w:tc>
        <w:tc>
          <w:tcPr>
            <w:tcW w:w="1230" w:type="pct"/>
            <w:tcBorders>
              <w:top w:val="nil"/>
              <w:left w:val="nil"/>
              <w:bottom w:val="nil"/>
              <w:right w:val="nil"/>
            </w:tcBorders>
          </w:tcPr>
          <w:p w14:paraId="66D59DC6"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(3.43e-07)</w:t>
            </w:r>
          </w:p>
        </w:tc>
      </w:tr>
      <w:tr w:rsidR="000931A4" w:rsidRPr="00B74590" w14:paraId="2612C666" w14:textId="77777777" w:rsidTr="00B74590">
        <w:trPr>
          <w:trHeight w:val="57"/>
          <w:jc w:val="center"/>
        </w:trPr>
        <w:tc>
          <w:tcPr>
            <w:tcW w:w="1684" w:type="pct"/>
            <w:tcBorders>
              <w:top w:val="nil"/>
              <w:left w:val="nil"/>
              <w:bottom w:val="nil"/>
              <w:right w:val="nil"/>
            </w:tcBorders>
          </w:tcPr>
          <w:p w14:paraId="635CFACD" w14:textId="77777777" w:rsidR="000931A4" w:rsidRPr="00B74590" w:rsidRDefault="000931A4" w:rsidP="00155715">
            <w:pPr>
              <w:widowControl w:val="0"/>
              <w:autoSpaceDE w:val="0"/>
              <w:autoSpaceDN w:val="0"/>
              <w:adjustRightInd w:val="0"/>
              <w:jc w:val="both"/>
              <w:rPr>
                <w:rFonts w:ascii="Garamond" w:hAnsi="Garamond"/>
                <w:sz w:val="20"/>
                <w:szCs w:val="20"/>
              </w:rPr>
            </w:pPr>
            <w:proofErr w:type="spellStart"/>
            <w:r w:rsidRPr="00B74590">
              <w:rPr>
                <w:rFonts w:ascii="Garamond" w:hAnsi="Garamond"/>
                <w:sz w:val="20"/>
                <w:szCs w:val="20"/>
              </w:rPr>
              <w:t>Acuerdo_comercial</w:t>
            </w:r>
            <w:proofErr w:type="spellEnd"/>
          </w:p>
        </w:tc>
        <w:tc>
          <w:tcPr>
            <w:tcW w:w="1124" w:type="pct"/>
            <w:tcBorders>
              <w:top w:val="nil"/>
              <w:left w:val="nil"/>
              <w:bottom w:val="nil"/>
              <w:right w:val="nil"/>
            </w:tcBorders>
          </w:tcPr>
          <w:p w14:paraId="010E67EA"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0.601***</w:t>
            </w:r>
          </w:p>
        </w:tc>
        <w:tc>
          <w:tcPr>
            <w:tcW w:w="962" w:type="pct"/>
            <w:tcBorders>
              <w:top w:val="nil"/>
              <w:left w:val="nil"/>
              <w:bottom w:val="nil"/>
              <w:right w:val="nil"/>
            </w:tcBorders>
          </w:tcPr>
          <w:p w14:paraId="20B51C87"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0.599***</w:t>
            </w:r>
          </w:p>
        </w:tc>
        <w:tc>
          <w:tcPr>
            <w:tcW w:w="1230" w:type="pct"/>
            <w:tcBorders>
              <w:top w:val="nil"/>
              <w:left w:val="nil"/>
              <w:bottom w:val="nil"/>
              <w:right w:val="nil"/>
            </w:tcBorders>
          </w:tcPr>
          <w:p w14:paraId="5F143A70"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0.447</w:t>
            </w:r>
          </w:p>
        </w:tc>
      </w:tr>
      <w:tr w:rsidR="000931A4" w:rsidRPr="00B74590" w14:paraId="43F72390" w14:textId="77777777" w:rsidTr="00B74590">
        <w:trPr>
          <w:trHeight w:val="57"/>
          <w:jc w:val="center"/>
        </w:trPr>
        <w:tc>
          <w:tcPr>
            <w:tcW w:w="1684" w:type="pct"/>
            <w:tcBorders>
              <w:top w:val="nil"/>
              <w:left w:val="nil"/>
              <w:bottom w:val="nil"/>
              <w:right w:val="nil"/>
            </w:tcBorders>
          </w:tcPr>
          <w:p w14:paraId="395201D5" w14:textId="77777777" w:rsidR="000931A4" w:rsidRPr="00B74590" w:rsidRDefault="000931A4" w:rsidP="00155715">
            <w:pPr>
              <w:widowControl w:val="0"/>
              <w:autoSpaceDE w:val="0"/>
              <w:autoSpaceDN w:val="0"/>
              <w:adjustRightInd w:val="0"/>
              <w:jc w:val="both"/>
              <w:rPr>
                <w:rFonts w:ascii="Garamond" w:hAnsi="Garamond"/>
                <w:sz w:val="20"/>
                <w:szCs w:val="20"/>
              </w:rPr>
            </w:pPr>
          </w:p>
        </w:tc>
        <w:tc>
          <w:tcPr>
            <w:tcW w:w="1124" w:type="pct"/>
            <w:tcBorders>
              <w:top w:val="nil"/>
              <w:left w:val="nil"/>
              <w:bottom w:val="nil"/>
              <w:right w:val="nil"/>
            </w:tcBorders>
          </w:tcPr>
          <w:p w14:paraId="1A1D2CDC"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(0.0820)</w:t>
            </w:r>
          </w:p>
        </w:tc>
        <w:tc>
          <w:tcPr>
            <w:tcW w:w="962" w:type="pct"/>
            <w:tcBorders>
              <w:top w:val="nil"/>
              <w:left w:val="nil"/>
              <w:bottom w:val="nil"/>
              <w:right w:val="nil"/>
            </w:tcBorders>
          </w:tcPr>
          <w:p w14:paraId="6C4EBDA6"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(0.0825)</w:t>
            </w:r>
          </w:p>
        </w:tc>
        <w:tc>
          <w:tcPr>
            <w:tcW w:w="1230" w:type="pct"/>
            <w:tcBorders>
              <w:top w:val="nil"/>
              <w:left w:val="nil"/>
              <w:bottom w:val="nil"/>
              <w:right w:val="nil"/>
            </w:tcBorders>
          </w:tcPr>
          <w:p w14:paraId="23CE7F52"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(0.290)</w:t>
            </w:r>
          </w:p>
        </w:tc>
      </w:tr>
      <w:tr w:rsidR="000931A4" w:rsidRPr="00B74590" w14:paraId="56E8B93B" w14:textId="77777777" w:rsidTr="00B74590">
        <w:trPr>
          <w:trHeight w:val="57"/>
          <w:jc w:val="center"/>
        </w:trPr>
        <w:tc>
          <w:tcPr>
            <w:tcW w:w="1684" w:type="pct"/>
            <w:tcBorders>
              <w:top w:val="nil"/>
              <w:left w:val="nil"/>
              <w:bottom w:val="nil"/>
              <w:right w:val="nil"/>
            </w:tcBorders>
          </w:tcPr>
          <w:p w14:paraId="7B1C1CAE" w14:textId="77777777" w:rsidR="000931A4" w:rsidRPr="00B74590" w:rsidRDefault="000931A4" w:rsidP="00155715">
            <w:pPr>
              <w:widowControl w:val="0"/>
              <w:autoSpaceDE w:val="0"/>
              <w:autoSpaceDN w:val="0"/>
              <w:adjustRightInd w:val="0"/>
              <w:jc w:val="both"/>
              <w:rPr>
                <w:rFonts w:ascii="Garamond" w:hAnsi="Garamond"/>
                <w:sz w:val="20"/>
                <w:szCs w:val="20"/>
              </w:rPr>
            </w:pPr>
            <w:proofErr w:type="spellStart"/>
            <w:r w:rsidRPr="00B74590">
              <w:rPr>
                <w:rFonts w:ascii="Garamond" w:hAnsi="Garamond"/>
                <w:sz w:val="20"/>
                <w:szCs w:val="20"/>
              </w:rPr>
              <w:t>Acuerdo_prot_inversion</w:t>
            </w:r>
            <w:proofErr w:type="spellEnd"/>
          </w:p>
        </w:tc>
        <w:tc>
          <w:tcPr>
            <w:tcW w:w="1124" w:type="pct"/>
            <w:tcBorders>
              <w:top w:val="nil"/>
              <w:left w:val="nil"/>
              <w:bottom w:val="nil"/>
              <w:right w:val="nil"/>
            </w:tcBorders>
          </w:tcPr>
          <w:p w14:paraId="00854975"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0.596***</w:t>
            </w:r>
          </w:p>
        </w:tc>
        <w:tc>
          <w:tcPr>
            <w:tcW w:w="962" w:type="pct"/>
            <w:tcBorders>
              <w:top w:val="nil"/>
              <w:left w:val="nil"/>
              <w:bottom w:val="nil"/>
              <w:right w:val="nil"/>
            </w:tcBorders>
          </w:tcPr>
          <w:p w14:paraId="145FC5EE"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0.532***</w:t>
            </w:r>
          </w:p>
        </w:tc>
        <w:tc>
          <w:tcPr>
            <w:tcW w:w="1230" w:type="pct"/>
            <w:tcBorders>
              <w:top w:val="nil"/>
              <w:left w:val="nil"/>
              <w:bottom w:val="nil"/>
              <w:right w:val="nil"/>
            </w:tcBorders>
          </w:tcPr>
          <w:p w14:paraId="3938E652" w14:textId="4592745A" w:rsidR="000931A4" w:rsidRPr="00B74590" w:rsidRDefault="0050603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0</w:t>
            </w:r>
            <w:r w:rsidR="000931A4" w:rsidRPr="00B74590">
              <w:rPr>
                <w:rFonts w:ascii="Garamond" w:hAnsi="Garamond"/>
                <w:sz w:val="20"/>
                <w:szCs w:val="20"/>
              </w:rPr>
              <w:t>.976***</w:t>
            </w:r>
          </w:p>
        </w:tc>
      </w:tr>
      <w:tr w:rsidR="000931A4" w:rsidRPr="00B74590" w14:paraId="098495BF" w14:textId="77777777" w:rsidTr="00B74590">
        <w:trPr>
          <w:trHeight w:val="57"/>
          <w:jc w:val="center"/>
        </w:trPr>
        <w:tc>
          <w:tcPr>
            <w:tcW w:w="1684" w:type="pct"/>
            <w:tcBorders>
              <w:top w:val="nil"/>
              <w:left w:val="nil"/>
              <w:bottom w:val="nil"/>
              <w:right w:val="nil"/>
            </w:tcBorders>
          </w:tcPr>
          <w:p w14:paraId="39170212" w14:textId="77777777" w:rsidR="000931A4" w:rsidRPr="00B74590" w:rsidRDefault="000931A4" w:rsidP="00155715">
            <w:pPr>
              <w:widowControl w:val="0"/>
              <w:autoSpaceDE w:val="0"/>
              <w:autoSpaceDN w:val="0"/>
              <w:adjustRightInd w:val="0"/>
              <w:jc w:val="both"/>
              <w:rPr>
                <w:rFonts w:ascii="Garamond" w:hAnsi="Garamond"/>
                <w:sz w:val="20"/>
                <w:szCs w:val="20"/>
              </w:rPr>
            </w:pPr>
          </w:p>
        </w:tc>
        <w:tc>
          <w:tcPr>
            <w:tcW w:w="1124" w:type="pct"/>
            <w:tcBorders>
              <w:top w:val="nil"/>
              <w:left w:val="nil"/>
              <w:bottom w:val="nil"/>
              <w:right w:val="nil"/>
            </w:tcBorders>
          </w:tcPr>
          <w:p w14:paraId="42B74D1F"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(0.135)</w:t>
            </w:r>
          </w:p>
        </w:tc>
        <w:tc>
          <w:tcPr>
            <w:tcW w:w="962" w:type="pct"/>
            <w:tcBorders>
              <w:top w:val="nil"/>
              <w:left w:val="nil"/>
              <w:bottom w:val="nil"/>
              <w:right w:val="nil"/>
            </w:tcBorders>
          </w:tcPr>
          <w:p w14:paraId="0D167D46"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(0.136)</w:t>
            </w:r>
          </w:p>
        </w:tc>
        <w:tc>
          <w:tcPr>
            <w:tcW w:w="1230" w:type="pct"/>
            <w:tcBorders>
              <w:top w:val="nil"/>
              <w:left w:val="nil"/>
              <w:bottom w:val="nil"/>
              <w:right w:val="nil"/>
            </w:tcBorders>
          </w:tcPr>
          <w:p w14:paraId="32D0A632"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(0.475)</w:t>
            </w:r>
          </w:p>
        </w:tc>
      </w:tr>
      <w:tr w:rsidR="000931A4" w:rsidRPr="00B74590" w14:paraId="4E11A93B" w14:textId="77777777" w:rsidTr="00B74590">
        <w:trPr>
          <w:trHeight w:val="57"/>
          <w:jc w:val="center"/>
        </w:trPr>
        <w:tc>
          <w:tcPr>
            <w:tcW w:w="1684" w:type="pct"/>
            <w:tcBorders>
              <w:top w:val="nil"/>
              <w:left w:val="nil"/>
              <w:bottom w:val="nil"/>
              <w:right w:val="nil"/>
            </w:tcBorders>
          </w:tcPr>
          <w:p w14:paraId="3E718219" w14:textId="77777777" w:rsidR="000931A4" w:rsidRPr="00B74590" w:rsidRDefault="000931A4" w:rsidP="00155715">
            <w:pPr>
              <w:widowControl w:val="0"/>
              <w:autoSpaceDE w:val="0"/>
              <w:autoSpaceDN w:val="0"/>
              <w:adjustRightInd w:val="0"/>
              <w:jc w:val="both"/>
              <w:rPr>
                <w:rFonts w:ascii="Garamond" w:hAnsi="Garamond"/>
                <w:sz w:val="20"/>
                <w:szCs w:val="20"/>
              </w:rPr>
            </w:pPr>
            <w:proofErr w:type="spellStart"/>
            <w:r w:rsidRPr="00B74590">
              <w:rPr>
                <w:rFonts w:ascii="Garamond" w:hAnsi="Garamond"/>
                <w:sz w:val="20"/>
                <w:szCs w:val="20"/>
              </w:rPr>
              <w:t>Distancia_km</w:t>
            </w:r>
            <w:proofErr w:type="spellEnd"/>
          </w:p>
        </w:tc>
        <w:tc>
          <w:tcPr>
            <w:tcW w:w="1124" w:type="pct"/>
            <w:tcBorders>
              <w:top w:val="nil"/>
              <w:left w:val="nil"/>
              <w:bottom w:val="nil"/>
              <w:right w:val="nil"/>
            </w:tcBorders>
          </w:tcPr>
          <w:p w14:paraId="2398DE63"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-0.000187***</w:t>
            </w:r>
          </w:p>
        </w:tc>
        <w:tc>
          <w:tcPr>
            <w:tcW w:w="962" w:type="pct"/>
            <w:tcBorders>
              <w:top w:val="nil"/>
              <w:left w:val="nil"/>
              <w:bottom w:val="nil"/>
              <w:right w:val="nil"/>
            </w:tcBorders>
          </w:tcPr>
          <w:p w14:paraId="3A98459F" w14:textId="77777777" w:rsidR="000931A4" w:rsidRPr="00B74590" w:rsidRDefault="000931A4" w:rsidP="00155715">
            <w:pPr>
              <w:widowControl w:val="0"/>
              <w:autoSpaceDE w:val="0"/>
              <w:autoSpaceDN w:val="0"/>
              <w:adjustRightInd w:val="0"/>
              <w:jc w:val="both"/>
              <w:rPr>
                <w:rFonts w:ascii="Garamond" w:hAnsi="Garamond"/>
                <w:sz w:val="20"/>
                <w:szCs w:val="20"/>
              </w:rPr>
            </w:pPr>
          </w:p>
        </w:tc>
        <w:tc>
          <w:tcPr>
            <w:tcW w:w="1230" w:type="pct"/>
            <w:tcBorders>
              <w:top w:val="nil"/>
              <w:left w:val="nil"/>
              <w:bottom w:val="nil"/>
              <w:right w:val="nil"/>
            </w:tcBorders>
          </w:tcPr>
          <w:p w14:paraId="7EB3AD70"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-0.000212***</w:t>
            </w:r>
          </w:p>
        </w:tc>
      </w:tr>
      <w:tr w:rsidR="000931A4" w:rsidRPr="00B74590" w14:paraId="4150B96F" w14:textId="77777777" w:rsidTr="00B74590">
        <w:trPr>
          <w:trHeight w:val="57"/>
          <w:jc w:val="center"/>
        </w:trPr>
        <w:tc>
          <w:tcPr>
            <w:tcW w:w="1684" w:type="pct"/>
            <w:tcBorders>
              <w:top w:val="nil"/>
              <w:left w:val="nil"/>
              <w:bottom w:val="nil"/>
              <w:right w:val="nil"/>
            </w:tcBorders>
          </w:tcPr>
          <w:p w14:paraId="16962CE7" w14:textId="77777777" w:rsidR="000931A4" w:rsidRPr="00B74590" w:rsidRDefault="000931A4" w:rsidP="00155715">
            <w:pPr>
              <w:widowControl w:val="0"/>
              <w:autoSpaceDE w:val="0"/>
              <w:autoSpaceDN w:val="0"/>
              <w:adjustRightInd w:val="0"/>
              <w:jc w:val="both"/>
              <w:rPr>
                <w:rFonts w:ascii="Garamond" w:hAnsi="Garamond"/>
                <w:sz w:val="20"/>
                <w:szCs w:val="20"/>
              </w:rPr>
            </w:pPr>
          </w:p>
        </w:tc>
        <w:tc>
          <w:tcPr>
            <w:tcW w:w="1124" w:type="pct"/>
            <w:tcBorders>
              <w:top w:val="nil"/>
              <w:left w:val="nil"/>
              <w:bottom w:val="nil"/>
              <w:right w:val="nil"/>
            </w:tcBorders>
          </w:tcPr>
          <w:p w14:paraId="1A45660C"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(4.00e-05)</w:t>
            </w:r>
          </w:p>
        </w:tc>
        <w:tc>
          <w:tcPr>
            <w:tcW w:w="962" w:type="pct"/>
            <w:tcBorders>
              <w:top w:val="nil"/>
              <w:left w:val="nil"/>
              <w:bottom w:val="nil"/>
              <w:right w:val="nil"/>
            </w:tcBorders>
          </w:tcPr>
          <w:p w14:paraId="7368A2D0" w14:textId="77777777" w:rsidR="000931A4" w:rsidRPr="00B74590" w:rsidRDefault="000931A4" w:rsidP="00155715">
            <w:pPr>
              <w:widowControl w:val="0"/>
              <w:autoSpaceDE w:val="0"/>
              <w:autoSpaceDN w:val="0"/>
              <w:adjustRightInd w:val="0"/>
              <w:jc w:val="both"/>
              <w:rPr>
                <w:rFonts w:ascii="Garamond" w:hAnsi="Garamond"/>
                <w:sz w:val="20"/>
                <w:szCs w:val="20"/>
              </w:rPr>
            </w:pPr>
          </w:p>
        </w:tc>
        <w:tc>
          <w:tcPr>
            <w:tcW w:w="1230" w:type="pct"/>
            <w:tcBorders>
              <w:top w:val="nil"/>
              <w:left w:val="nil"/>
              <w:bottom w:val="nil"/>
              <w:right w:val="nil"/>
            </w:tcBorders>
          </w:tcPr>
          <w:p w14:paraId="103AF835"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(3.63e-05)</w:t>
            </w:r>
          </w:p>
        </w:tc>
      </w:tr>
      <w:tr w:rsidR="000931A4" w:rsidRPr="00B74590" w14:paraId="703A8251" w14:textId="77777777" w:rsidTr="00B74590">
        <w:trPr>
          <w:trHeight w:val="57"/>
          <w:jc w:val="center"/>
        </w:trPr>
        <w:tc>
          <w:tcPr>
            <w:tcW w:w="1684" w:type="pct"/>
            <w:tcBorders>
              <w:top w:val="nil"/>
              <w:left w:val="nil"/>
              <w:bottom w:val="nil"/>
              <w:right w:val="nil"/>
            </w:tcBorders>
          </w:tcPr>
          <w:p w14:paraId="50E6A94C"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SP_500</w:t>
            </w:r>
          </w:p>
        </w:tc>
        <w:tc>
          <w:tcPr>
            <w:tcW w:w="1124" w:type="pct"/>
            <w:tcBorders>
              <w:top w:val="nil"/>
              <w:left w:val="nil"/>
              <w:bottom w:val="nil"/>
              <w:right w:val="nil"/>
            </w:tcBorders>
          </w:tcPr>
          <w:p w14:paraId="3BF99782"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-9.50e-05***</w:t>
            </w:r>
          </w:p>
        </w:tc>
        <w:tc>
          <w:tcPr>
            <w:tcW w:w="962" w:type="pct"/>
            <w:tcBorders>
              <w:top w:val="nil"/>
              <w:left w:val="nil"/>
              <w:bottom w:val="nil"/>
              <w:right w:val="nil"/>
            </w:tcBorders>
          </w:tcPr>
          <w:p w14:paraId="71363A54"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-0.000102***</w:t>
            </w:r>
          </w:p>
        </w:tc>
        <w:tc>
          <w:tcPr>
            <w:tcW w:w="1230" w:type="pct"/>
            <w:tcBorders>
              <w:top w:val="nil"/>
              <w:left w:val="nil"/>
              <w:bottom w:val="nil"/>
              <w:right w:val="nil"/>
            </w:tcBorders>
          </w:tcPr>
          <w:p w14:paraId="48689C21"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-5.82e-05</w:t>
            </w:r>
          </w:p>
        </w:tc>
      </w:tr>
      <w:tr w:rsidR="000931A4" w:rsidRPr="00B74590" w14:paraId="181F8B52" w14:textId="77777777" w:rsidTr="00B74590">
        <w:trPr>
          <w:trHeight w:val="57"/>
          <w:jc w:val="center"/>
        </w:trPr>
        <w:tc>
          <w:tcPr>
            <w:tcW w:w="1684" w:type="pct"/>
            <w:tcBorders>
              <w:top w:val="nil"/>
              <w:left w:val="nil"/>
              <w:bottom w:val="nil"/>
              <w:right w:val="nil"/>
            </w:tcBorders>
          </w:tcPr>
          <w:p w14:paraId="0FA63F96" w14:textId="77777777" w:rsidR="000931A4" w:rsidRPr="00B74590" w:rsidRDefault="000931A4" w:rsidP="00155715">
            <w:pPr>
              <w:widowControl w:val="0"/>
              <w:autoSpaceDE w:val="0"/>
              <w:autoSpaceDN w:val="0"/>
              <w:adjustRightInd w:val="0"/>
              <w:jc w:val="both"/>
              <w:rPr>
                <w:rFonts w:ascii="Garamond" w:hAnsi="Garamond"/>
                <w:sz w:val="20"/>
                <w:szCs w:val="20"/>
              </w:rPr>
            </w:pPr>
          </w:p>
        </w:tc>
        <w:tc>
          <w:tcPr>
            <w:tcW w:w="1124" w:type="pct"/>
            <w:tcBorders>
              <w:top w:val="nil"/>
              <w:left w:val="nil"/>
              <w:bottom w:val="nil"/>
              <w:right w:val="nil"/>
            </w:tcBorders>
          </w:tcPr>
          <w:p w14:paraId="77E20F2B"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(3.33e-05)</w:t>
            </w:r>
          </w:p>
        </w:tc>
        <w:tc>
          <w:tcPr>
            <w:tcW w:w="962" w:type="pct"/>
            <w:tcBorders>
              <w:top w:val="nil"/>
              <w:left w:val="nil"/>
              <w:bottom w:val="nil"/>
              <w:right w:val="nil"/>
            </w:tcBorders>
          </w:tcPr>
          <w:p w14:paraId="366CCEDF"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(3.37e-05)</w:t>
            </w:r>
          </w:p>
        </w:tc>
        <w:tc>
          <w:tcPr>
            <w:tcW w:w="1230" w:type="pct"/>
            <w:tcBorders>
              <w:top w:val="nil"/>
              <w:left w:val="nil"/>
              <w:bottom w:val="nil"/>
              <w:right w:val="nil"/>
            </w:tcBorders>
          </w:tcPr>
          <w:p w14:paraId="07490A5F"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(7.58e-05)</w:t>
            </w:r>
          </w:p>
        </w:tc>
      </w:tr>
      <w:tr w:rsidR="000931A4" w:rsidRPr="00B74590" w14:paraId="2D34A58F" w14:textId="77777777" w:rsidTr="00B74590">
        <w:trPr>
          <w:trHeight w:val="57"/>
          <w:jc w:val="center"/>
        </w:trPr>
        <w:tc>
          <w:tcPr>
            <w:tcW w:w="1684" w:type="pct"/>
            <w:tcBorders>
              <w:top w:val="nil"/>
              <w:left w:val="nil"/>
              <w:bottom w:val="nil"/>
              <w:right w:val="nil"/>
            </w:tcBorders>
          </w:tcPr>
          <w:p w14:paraId="0D309418"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Brent</w:t>
            </w:r>
          </w:p>
        </w:tc>
        <w:tc>
          <w:tcPr>
            <w:tcW w:w="1124" w:type="pct"/>
            <w:tcBorders>
              <w:top w:val="nil"/>
              <w:left w:val="nil"/>
              <w:bottom w:val="nil"/>
              <w:right w:val="nil"/>
            </w:tcBorders>
          </w:tcPr>
          <w:p w14:paraId="1BAE2540"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0.00652***</w:t>
            </w:r>
          </w:p>
        </w:tc>
        <w:tc>
          <w:tcPr>
            <w:tcW w:w="962" w:type="pct"/>
            <w:tcBorders>
              <w:top w:val="nil"/>
              <w:left w:val="nil"/>
              <w:bottom w:val="nil"/>
              <w:right w:val="nil"/>
            </w:tcBorders>
          </w:tcPr>
          <w:p w14:paraId="02D7DB80"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0.00656***</w:t>
            </w:r>
          </w:p>
        </w:tc>
        <w:tc>
          <w:tcPr>
            <w:tcW w:w="1230" w:type="pct"/>
            <w:tcBorders>
              <w:top w:val="nil"/>
              <w:left w:val="nil"/>
              <w:bottom w:val="nil"/>
              <w:right w:val="nil"/>
            </w:tcBorders>
          </w:tcPr>
          <w:p w14:paraId="2E0C6969"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0.00596***</w:t>
            </w:r>
          </w:p>
        </w:tc>
      </w:tr>
      <w:tr w:rsidR="000931A4" w:rsidRPr="00B74590" w14:paraId="1469B2CF" w14:textId="77777777" w:rsidTr="00B74590">
        <w:trPr>
          <w:trHeight w:val="57"/>
          <w:jc w:val="center"/>
        </w:trPr>
        <w:tc>
          <w:tcPr>
            <w:tcW w:w="1684" w:type="pct"/>
            <w:tcBorders>
              <w:top w:val="nil"/>
              <w:left w:val="nil"/>
              <w:bottom w:val="nil"/>
              <w:right w:val="nil"/>
            </w:tcBorders>
          </w:tcPr>
          <w:p w14:paraId="57C02335" w14:textId="77777777" w:rsidR="000931A4" w:rsidRPr="00B74590" w:rsidRDefault="000931A4" w:rsidP="00155715">
            <w:pPr>
              <w:widowControl w:val="0"/>
              <w:autoSpaceDE w:val="0"/>
              <w:autoSpaceDN w:val="0"/>
              <w:adjustRightInd w:val="0"/>
              <w:jc w:val="both"/>
              <w:rPr>
                <w:rFonts w:ascii="Garamond" w:hAnsi="Garamond"/>
                <w:sz w:val="20"/>
                <w:szCs w:val="20"/>
              </w:rPr>
            </w:pPr>
          </w:p>
        </w:tc>
        <w:tc>
          <w:tcPr>
            <w:tcW w:w="1124" w:type="pct"/>
            <w:tcBorders>
              <w:top w:val="nil"/>
              <w:left w:val="nil"/>
              <w:bottom w:val="nil"/>
              <w:right w:val="nil"/>
            </w:tcBorders>
          </w:tcPr>
          <w:p w14:paraId="0113944E"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(0.00105)</w:t>
            </w:r>
          </w:p>
        </w:tc>
        <w:tc>
          <w:tcPr>
            <w:tcW w:w="962" w:type="pct"/>
            <w:tcBorders>
              <w:top w:val="nil"/>
              <w:left w:val="nil"/>
              <w:bottom w:val="nil"/>
              <w:right w:val="nil"/>
            </w:tcBorders>
          </w:tcPr>
          <w:p w14:paraId="672D24F6"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(0.00105)</w:t>
            </w:r>
          </w:p>
        </w:tc>
        <w:tc>
          <w:tcPr>
            <w:tcW w:w="1230" w:type="pct"/>
            <w:tcBorders>
              <w:top w:val="nil"/>
              <w:left w:val="nil"/>
              <w:bottom w:val="nil"/>
              <w:right w:val="nil"/>
            </w:tcBorders>
          </w:tcPr>
          <w:p w14:paraId="49EFED26"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(0.00174)</w:t>
            </w:r>
          </w:p>
        </w:tc>
      </w:tr>
      <w:tr w:rsidR="000931A4" w:rsidRPr="00B74590" w14:paraId="6A7669EE" w14:textId="77777777" w:rsidTr="00B74590">
        <w:trPr>
          <w:trHeight w:val="57"/>
          <w:jc w:val="center"/>
        </w:trPr>
        <w:tc>
          <w:tcPr>
            <w:tcW w:w="1684" w:type="pct"/>
            <w:tcBorders>
              <w:top w:val="nil"/>
              <w:left w:val="nil"/>
              <w:bottom w:val="nil"/>
              <w:right w:val="nil"/>
            </w:tcBorders>
          </w:tcPr>
          <w:p w14:paraId="556CCF8C"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_</w:t>
            </w:r>
            <w:proofErr w:type="spellStart"/>
            <w:r w:rsidRPr="00B74590">
              <w:rPr>
                <w:rFonts w:ascii="Garamond" w:hAnsi="Garamond"/>
                <w:sz w:val="20"/>
                <w:szCs w:val="20"/>
              </w:rPr>
              <w:t>pscore</w:t>
            </w:r>
            <w:proofErr w:type="spellEnd"/>
          </w:p>
        </w:tc>
        <w:tc>
          <w:tcPr>
            <w:tcW w:w="1124" w:type="pct"/>
            <w:tcBorders>
              <w:top w:val="nil"/>
              <w:left w:val="nil"/>
              <w:bottom w:val="nil"/>
              <w:right w:val="nil"/>
            </w:tcBorders>
          </w:tcPr>
          <w:p w14:paraId="4A631376" w14:textId="77777777" w:rsidR="000931A4" w:rsidRPr="00B74590" w:rsidRDefault="000931A4" w:rsidP="00155715">
            <w:pPr>
              <w:widowControl w:val="0"/>
              <w:autoSpaceDE w:val="0"/>
              <w:autoSpaceDN w:val="0"/>
              <w:adjustRightInd w:val="0"/>
              <w:jc w:val="both"/>
              <w:rPr>
                <w:rFonts w:ascii="Garamond" w:hAnsi="Garamond"/>
                <w:sz w:val="20"/>
                <w:szCs w:val="20"/>
              </w:rPr>
            </w:pPr>
          </w:p>
        </w:tc>
        <w:tc>
          <w:tcPr>
            <w:tcW w:w="962" w:type="pct"/>
            <w:tcBorders>
              <w:top w:val="nil"/>
              <w:left w:val="nil"/>
              <w:bottom w:val="nil"/>
              <w:right w:val="nil"/>
            </w:tcBorders>
          </w:tcPr>
          <w:p w14:paraId="55EE7B65" w14:textId="77777777" w:rsidR="000931A4" w:rsidRPr="00B74590" w:rsidRDefault="000931A4" w:rsidP="00155715">
            <w:pPr>
              <w:widowControl w:val="0"/>
              <w:autoSpaceDE w:val="0"/>
              <w:autoSpaceDN w:val="0"/>
              <w:adjustRightInd w:val="0"/>
              <w:jc w:val="both"/>
              <w:rPr>
                <w:rFonts w:ascii="Garamond" w:hAnsi="Garamond"/>
                <w:sz w:val="20"/>
                <w:szCs w:val="20"/>
              </w:rPr>
            </w:pPr>
          </w:p>
        </w:tc>
        <w:tc>
          <w:tcPr>
            <w:tcW w:w="1230" w:type="pct"/>
            <w:tcBorders>
              <w:top w:val="nil"/>
              <w:left w:val="nil"/>
              <w:bottom w:val="nil"/>
              <w:right w:val="nil"/>
            </w:tcBorders>
          </w:tcPr>
          <w:p w14:paraId="3900B040"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-1.014</w:t>
            </w:r>
          </w:p>
        </w:tc>
      </w:tr>
      <w:tr w:rsidR="000931A4" w:rsidRPr="00B74590" w14:paraId="10059243" w14:textId="77777777" w:rsidTr="00B74590">
        <w:trPr>
          <w:trHeight w:val="57"/>
          <w:jc w:val="center"/>
        </w:trPr>
        <w:tc>
          <w:tcPr>
            <w:tcW w:w="1684" w:type="pct"/>
            <w:tcBorders>
              <w:top w:val="nil"/>
              <w:left w:val="nil"/>
              <w:bottom w:val="nil"/>
              <w:right w:val="nil"/>
            </w:tcBorders>
          </w:tcPr>
          <w:p w14:paraId="5BCAB1C4" w14:textId="77777777" w:rsidR="000931A4" w:rsidRPr="00B74590" w:rsidRDefault="000931A4" w:rsidP="00155715">
            <w:pPr>
              <w:widowControl w:val="0"/>
              <w:autoSpaceDE w:val="0"/>
              <w:autoSpaceDN w:val="0"/>
              <w:adjustRightInd w:val="0"/>
              <w:jc w:val="both"/>
              <w:rPr>
                <w:rFonts w:ascii="Garamond" w:hAnsi="Garamond"/>
                <w:sz w:val="20"/>
                <w:szCs w:val="20"/>
              </w:rPr>
            </w:pPr>
          </w:p>
        </w:tc>
        <w:tc>
          <w:tcPr>
            <w:tcW w:w="1124" w:type="pct"/>
            <w:tcBorders>
              <w:top w:val="nil"/>
              <w:left w:val="nil"/>
              <w:bottom w:val="nil"/>
              <w:right w:val="nil"/>
            </w:tcBorders>
          </w:tcPr>
          <w:p w14:paraId="0A129209" w14:textId="77777777" w:rsidR="000931A4" w:rsidRPr="00B74590" w:rsidRDefault="000931A4" w:rsidP="00155715">
            <w:pPr>
              <w:widowControl w:val="0"/>
              <w:autoSpaceDE w:val="0"/>
              <w:autoSpaceDN w:val="0"/>
              <w:adjustRightInd w:val="0"/>
              <w:jc w:val="both"/>
              <w:rPr>
                <w:rFonts w:ascii="Garamond" w:hAnsi="Garamond"/>
                <w:sz w:val="20"/>
                <w:szCs w:val="20"/>
              </w:rPr>
            </w:pPr>
          </w:p>
        </w:tc>
        <w:tc>
          <w:tcPr>
            <w:tcW w:w="962" w:type="pct"/>
            <w:tcBorders>
              <w:top w:val="nil"/>
              <w:left w:val="nil"/>
              <w:bottom w:val="nil"/>
              <w:right w:val="nil"/>
            </w:tcBorders>
          </w:tcPr>
          <w:p w14:paraId="057910FB" w14:textId="77777777" w:rsidR="000931A4" w:rsidRPr="00B74590" w:rsidRDefault="000931A4" w:rsidP="00155715">
            <w:pPr>
              <w:widowControl w:val="0"/>
              <w:autoSpaceDE w:val="0"/>
              <w:autoSpaceDN w:val="0"/>
              <w:adjustRightInd w:val="0"/>
              <w:jc w:val="both"/>
              <w:rPr>
                <w:rFonts w:ascii="Garamond" w:hAnsi="Garamond"/>
                <w:sz w:val="20"/>
                <w:szCs w:val="20"/>
              </w:rPr>
            </w:pPr>
          </w:p>
        </w:tc>
        <w:tc>
          <w:tcPr>
            <w:tcW w:w="1230" w:type="pct"/>
            <w:tcBorders>
              <w:top w:val="nil"/>
              <w:left w:val="nil"/>
              <w:bottom w:val="nil"/>
              <w:right w:val="nil"/>
            </w:tcBorders>
          </w:tcPr>
          <w:p w14:paraId="108D1905"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(1.659)</w:t>
            </w:r>
          </w:p>
        </w:tc>
      </w:tr>
      <w:tr w:rsidR="000931A4" w:rsidRPr="00B74590" w14:paraId="0DAFD8DE" w14:textId="77777777" w:rsidTr="00B74590">
        <w:trPr>
          <w:trHeight w:val="57"/>
          <w:jc w:val="center"/>
        </w:trPr>
        <w:tc>
          <w:tcPr>
            <w:tcW w:w="1684" w:type="pct"/>
            <w:tcBorders>
              <w:top w:val="nil"/>
              <w:left w:val="nil"/>
              <w:bottom w:val="nil"/>
              <w:right w:val="nil"/>
            </w:tcBorders>
          </w:tcPr>
          <w:p w14:paraId="40C8C5B8"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Constant</w:t>
            </w:r>
          </w:p>
        </w:tc>
        <w:tc>
          <w:tcPr>
            <w:tcW w:w="1124" w:type="pct"/>
            <w:tcBorders>
              <w:top w:val="nil"/>
              <w:left w:val="nil"/>
              <w:bottom w:val="nil"/>
              <w:right w:val="nil"/>
            </w:tcBorders>
          </w:tcPr>
          <w:p w14:paraId="7155F237"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2.349***</w:t>
            </w:r>
          </w:p>
        </w:tc>
        <w:tc>
          <w:tcPr>
            <w:tcW w:w="962" w:type="pct"/>
            <w:tcBorders>
              <w:top w:val="nil"/>
              <w:left w:val="nil"/>
              <w:bottom w:val="nil"/>
              <w:right w:val="nil"/>
            </w:tcBorders>
          </w:tcPr>
          <w:p w14:paraId="093A2809"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0.692***</w:t>
            </w:r>
          </w:p>
        </w:tc>
        <w:tc>
          <w:tcPr>
            <w:tcW w:w="1230" w:type="pct"/>
            <w:tcBorders>
              <w:top w:val="nil"/>
              <w:left w:val="nil"/>
              <w:bottom w:val="nil"/>
              <w:right w:val="nil"/>
            </w:tcBorders>
          </w:tcPr>
          <w:p w14:paraId="171EA515"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3.043***</w:t>
            </w:r>
          </w:p>
        </w:tc>
      </w:tr>
      <w:tr w:rsidR="000931A4" w:rsidRPr="00B74590" w14:paraId="11916093" w14:textId="77777777" w:rsidTr="00B74590">
        <w:trPr>
          <w:trHeight w:val="57"/>
          <w:jc w:val="center"/>
        </w:trPr>
        <w:tc>
          <w:tcPr>
            <w:tcW w:w="1684" w:type="pct"/>
            <w:tcBorders>
              <w:top w:val="nil"/>
              <w:left w:val="nil"/>
              <w:bottom w:val="nil"/>
              <w:right w:val="nil"/>
            </w:tcBorders>
          </w:tcPr>
          <w:p w14:paraId="2E1F8601" w14:textId="77777777" w:rsidR="000931A4" w:rsidRPr="00B74590" w:rsidRDefault="000931A4" w:rsidP="00155715">
            <w:pPr>
              <w:widowControl w:val="0"/>
              <w:autoSpaceDE w:val="0"/>
              <w:autoSpaceDN w:val="0"/>
              <w:adjustRightInd w:val="0"/>
              <w:jc w:val="both"/>
              <w:rPr>
                <w:rFonts w:ascii="Garamond" w:hAnsi="Garamond"/>
                <w:sz w:val="20"/>
                <w:szCs w:val="20"/>
              </w:rPr>
            </w:pPr>
          </w:p>
        </w:tc>
        <w:tc>
          <w:tcPr>
            <w:tcW w:w="1124" w:type="pct"/>
            <w:tcBorders>
              <w:top w:val="nil"/>
              <w:left w:val="nil"/>
              <w:bottom w:val="nil"/>
              <w:right w:val="nil"/>
            </w:tcBorders>
          </w:tcPr>
          <w:p w14:paraId="0A64A78A"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(0.389)</w:t>
            </w:r>
          </w:p>
        </w:tc>
        <w:tc>
          <w:tcPr>
            <w:tcW w:w="962" w:type="pct"/>
            <w:tcBorders>
              <w:top w:val="nil"/>
              <w:left w:val="nil"/>
              <w:bottom w:val="nil"/>
              <w:right w:val="nil"/>
            </w:tcBorders>
          </w:tcPr>
          <w:p w14:paraId="527BFE12"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(0.265)</w:t>
            </w:r>
          </w:p>
        </w:tc>
        <w:tc>
          <w:tcPr>
            <w:tcW w:w="1230" w:type="pct"/>
            <w:tcBorders>
              <w:top w:val="nil"/>
              <w:left w:val="nil"/>
              <w:bottom w:val="nil"/>
              <w:right w:val="nil"/>
            </w:tcBorders>
          </w:tcPr>
          <w:p w14:paraId="79CEE76E"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(0.782)</w:t>
            </w:r>
          </w:p>
        </w:tc>
      </w:tr>
      <w:tr w:rsidR="000931A4" w:rsidRPr="00B74590" w14:paraId="54C1267D" w14:textId="77777777" w:rsidTr="00B74590">
        <w:trPr>
          <w:trHeight w:val="57"/>
          <w:jc w:val="center"/>
        </w:trPr>
        <w:tc>
          <w:tcPr>
            <w:tcW w:w="1684" w:type="pct"/>
            <w:tcBorders>
              <w:top w:val="nil"/>
              <w:left w:val="nil"/>
              <w:bottom w:val="nil"/>
              <w:right w:val="nil"/>
            </w:tcBorders>
          </w:tcPr>
          <w:p w14:paraId="11329363" w14:textId="77777777" w:rsidR="000931A4" w:rsidRPr="00B74590" w:rsidRDefault="000931A4" w:rsidP="00155715">
            <w:pPr>
              <w:widowControl w:val="0"/>
              <w:autoSpaceDE w:val="0"/>
              <w:autoSpaceDN w:val="0"/>
              <w:adjustRightInd w:val="0"/>
              <w:jc w:val="both"/>
              <w:rPr>
                <w:rFonts w:ascii="Garamond" w:hAnsi="Garamond"/>
                <w:sz w:val="20"/>
                <w:szCs w:val="20"/>
              </w:rPr>
            </w:pPr>
          </w:p>
        </w:tc>
        <w:tc>
          <w:tcPr>
            <w:tcW w:w="1124" w:type="pct"/>
            <w:tcBorders>
              <w:top w:val="nil"/>
              <w:left w:val="nil"/>
              <w:bottom w:val="nil"/>
              <w:right w:val="nil"/>
            </w:tcBorders>
          </w:tcPr>
          <w:p w14:paraId="5C4D0857" w14:textId="77777777" w:rsidR="000931A4" w:rsidRPr="00B74590" w:rsidRDefault="000931A4" w:rsidP="00155715">
            <w:pPr>
              <w:widowControl w:val="0"/>
              <w:autoSpaceDE w:val="0"/>
              <w:autoSpaceDN w:val="0"/>
              <w:adjustRightInd w:val="0"/>
              <w:jc w:val="both"/>
              <w:rPr>
                <w:rFonts w:ascii="Garamond" w:hAnsi="Garamond"/>
                <w:sz w:val="20"/>
                <w:szCs w:val="20"/>
              </w:rPr>
            </w:pPr>
          </w:p>
        </w:tc>
        <w:tc>
          <w:tcPr>
            <w:tcW w:w="962" w:type="pct"/>
            <w:tcBorders>
              <w:top w:val="nil"/>
              <w:left w:val="nil"/>
              <w:bottom w:val="nil"/>
              <w:right w:val="nil"/>
            </w:tcBorders>
          </w:tcPr>
          <w:p w14:paraId="1245E779" w14:textId="77777777" w:rsidR="000931A4" w:rsidRPr="00B74590" w:rsidRDefault="000931A4" w:rsidP="00155715">
            <w:pPr>
              <w:widowControl w:val="0"/>
              <w:autoSpaceDE w:val="0"/>
              <w:autoSpaceDN w:val="0"/>
              <w:adjustRightInd w:val="0"/>
              <w:jc w:val="both"/>
              <w:rPr>
                <w:rFonts w:ascii="Garamond" w:hAnsi="Garamond"/>
                <w:sz w:val="20"/>
                <w:szCs w:val="20"/>
              </w:rPr>
            </w:pPr>
          </w:p>
        </w:tc>
        <w:tc>
          <w:tcPr>
            <w:tcW w:w="1230" w:type="pct"/>
            <w:tcBorders>
              <w:top w:val="nil"/>
              <w:left w:val="nil"/>
              <w:bottom w:val="nil"/>
              <w:right w:val="nil"/>
            </w:tcBorders>
          </w:tcPr>
          <w:p w14:paraId="1ECDB5B8" w14:textId="77777777" w:rsidR="000931A4" w:rsidRPr="00B74590" w:rsidRDefault="000931A4" w:rsidP="00155715">
            <w:pPr>
              <w:widowControl w:val="0"/>
              <w:autoSpaceDE w:val="0"/>
              <w:autoSpaceDN w:val="0"/>
              <w:adjustRightInd w:val="0"/>
              <w:jc w:val="both"/>
              <w:rPr>
                <w:rFonts w:ascii="Garamond" w:hAnsi="Garamond"/>
                <w:sz w:val="20"/>
                <w:szCs w:val="20"/>
              </w:rPr>
            </w:pPr>
          </w:p>
        </w:tc>
      </w:tr>
      <w:tr w:rsidR="000931A4" w:rsidRPr="00B74590" w14:paraId="0758AD00" w14:textId="77777777" w:rsidTr="00B74590">
        <w:trPr>
          <w:trHeight w:val="57"/>
          <w:jc w:val="center"/>
        </w:trPr>
        <w:tc>
          <w:tcPr>
            <w:tcW w:w="1684" w:type="pct"/>
            <w:tcBorders>
              <w:top w:val="nil"/>
              <w:left w:val="nil"/>
              <w:bottom w:val="nil"/>
              <w:right w:val="nil"/>
            </w:tcBorders>
          </w:tcPr>
          <w:p w14:paraId="10EE70AA"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Observations</w:t>
            </w:r>
          </w:p>
        </w:tc>
        <w:tc>
          <w:tcPr>
            <w:tcW w:w="1124" w:type="pct"/>
            <w:tcBorders>
              <w:top w:val="nil"/>
              <w:left w:val="nil"/>
              <w:bottom w:val="nil"/>
              <w:right w:val="nil"/>
            </w:tcBorders>
          </w:tcPr>
          <w:p w14:paraId="2664E8C6"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2,521</w:t>
            </w:r>
          </w:p>
        </w:tc>
        <w:tc>
          <w:tcPr>
            <w:tcW w:w="962" w:type="pct"/>
            <w:tcBorders>
              <w:top w:val="nil"/>
              <w:left w:val="nil"/>
              <w:bottom w:val="nil"/>
              <w:right w:val="nil"/>
            </w:tcBorders>
          </w:tcPr>
          <w:p w14:paraId="0842C48E"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2,521</w:t>
            </w:r>
          </w:p>
        </w:tc>
        <w:tc>
          <w:tcPr>
            <w:tcW w:w="1230" w:type="pct"/>
            <w:tcBorders>
              <w:top w:val="nil"/>
              <w:left w:val="nil"/>
              <w:bottom w:val="nil"/>
              <w:right w:val="nil"/>
            </w:tcBorders>
          </w:tcPr>
          <w:p w14:paraId="047B4026"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2,521</w:t>
            </w:r>
          </w:p>
        </w:tc>
      </w:tr>
      <w:tr w:rsidR="000931A4" w:rsidRPr="00B74590" w14:paraId="03E2C407" w14:textId="77777777" w:rsidTr="00B74590">
        <w:trPr>
          <w:trHeight w:val="57"/>
          <w:jc w:val="center"/>
        </w:trPr>
        <w:tc>
          <w:tcPr>
            <w:tcW w:w="1684" w:type="pct"/>
            <w:tcBorders>
              <w:top w:val="nil"/>
              <w:left w:val="nil"/>
              <w:bottom w:val="nil"/>
              <w:right w:val="nil"/>
            </w:tcBorders>
          </w:tcPr>
          <w:p w14:paraId="6FF19F81"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R-squared</w:t>
            </w:r>
          </w:p>
        </w:tc>
        <w:tc>
          <w:tcPr>
            <w:tcW w:w="1124" w:type="pct"/>
            <w:tcBorders>
              <w:top w:val="nil"/>
              <w:left w:val="nil"/>
              <w:bottom w:val="nil"/>
              <w:right w:val="nil"/>
            </w:tcBorders>
          </w:tcPr>
          <w:p w14:paraId="23811525" w14:textId="77777777" w:rsidR="000931A4" w:rsidRPr="00B74590" w:rsidRDefault="000931A4" w:rsidP="00155715">
            <w:pPr>
              <w:widowControl w:val="0"/>
              <w:autoSpaceDE w:val="0"/>
              <w:autoSpaceDN w:val="0"/>
              <w:adjustRightInd w:val="0"/>
              <w:jc w:val="both"/>
              <w:rPr>
                <w:rFonts w:ascii="Garamond" w:hAnsi="Garamond"/>
                <w:sz w:val="20"/>
                <w:szCs w:val="20"/>
              </w:rPr>
            </w:pPr>
          </w:p>
        </w:tc>
        <w:tc>
          <w:tcPr>
            <w:tcW w:w="962" w:type="pct"/>
            <w:tcBorders>
              <w:top w:val="nil"/>
              <w:left w:val="nil"/>
              <w:bottom w:val="nil"/>
              <w:right w:val="nil"/>
            </w:tcBorders>
          </w:tcPr>
          <w:p w14:paraId="2A14FAE5"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0.070</w:t>
            </w:r>
          </w:p>
        </w:tc>
        <w:tc>
          <w:tcPr>
            <w:tcW w:w="1230" w:type="pct"/>
            <w:tcBorders>
              <w:top w:val="nil"/>
              <w:left w:val="nil"/>
              <w:bottom w:val="nil"/>
              <w:right w:val="nil"/>
            </w:tcBorders>
          </w:tcPr>
          <w:p w14:paraId="01E9DD7D"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0.300</w:t>
            </w:r>
          </w:p>
        </w:tc>
      </w:tr>
      <w:tr w:rsidR="000931A4" w:rsidRPr="00B74590" w14:paraId="172EAE80" w14:textId="77777777" w:rsidTr="00B74590">
        <w:tblPrEx>
          <w:tblBorders>
            <w:bottom w:val="single" w:sz="6" w:space="0" w:color="auto"/>
          </w:tblBorders>
        </w:tblPrEx>
        <w:trPr>
          <w:trHeight w:val="57"/>
          <w:jc w:val="center"/>
        </w:trPr>
        <w:tc>
          <w:tcPr>
            <w:tcW w:w="1684" w:type="pct"/>
            <w:tcBorders>
              <w:top w:val="nil"/>
              <w:left w:val="nil"/>
              <w:bottom w:val="single" w:sz="6" w:space="0" w:color="auto"/>
              <w:right w:val="nil"/>
            </w:tcBorders>
          </w:tcPr>
          <w:p w14:paraId="2D86FC31"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Number of ID</w:t>
            </w:r>
          </w:p>
        </w:tc>
        <w:tc>
          <w:tcPr>
            <w:tcW w:w="1124" w:type="pct"/>
            <w:tcBorders>
              <w:top w:val="nil"/>
              <w:left w:val="nil"/>
              <w:bottom w:val="single" w:sz="6" w:space="0" w:color="auto"/>
              <w:right w:val="nil"/>
            </w:tcBorders>
          </w:tcPr>
          <w:p w14:paraId="2E859E63"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41</w:t>
            </w:r>
          </w:p>
        </w:tc>
        <w:tc>
          <w:tcPr>
            <w:tcW w:w="962" w:type="pct"/>
            <w:tcBorders>
              <w:top w:val="nil"/>
              <w:left w:val="nil"/>
              <w:bottom w:val="single" w:sz="6" w:space="0" w:color="auto"/>
              <w:right w:val="nil"/>
            </w:tcBorders>
          </w:tcPr>
          <w:p w14:paraId="571A0834" w14:textId="77777777" w:rsidR="000931A4" w:rsidRPr="00B74590" w:rsidRDefault="000931A4" w:rsidP="00155715">
            <w:pPr>
              <w:widowControl w:val="0"/>
              <w:autoSpaceDE w:val="0"/>
              <w:autoSpaceDN w:val="0"/>
              <w:adjustRightInd w:val="0"/>
              <w:jc w:val="both"/>
              <w:rPr>
                <w:rFonts w:ascii="Garamond" w:hAnsi="Garamond"/>
                <w:sz w:val="20"/>
                <w:szCs w:val="20"/>
              </w:rPr>
            </w:pPr>
            <w:r w:rsidRPr="00B74590">
              <w:rPr>
                <w:rFonts w:ascii="Garamond" w:hAnsi="Garamond"/>
                <w:sz w:val="20"/>
                <w:szCs w:val="20"/>
              </w:rPr>
              <w:t>41</w:t>
            </w:r>
          </w:p>
        </w:tc>
        <w:tc>
          <w:tcPr>
            <w:tcW w:w="1230" w:type="pct"/>
            <w:tcBorders>
              <w:top w:val="nil"/>
              <w:left w:val="nil"/>
              <w:bottom w:val="single" w:sz="6" w:space="0" w:color="auto"/>
              <w:right w:val="nil"/>
            </w:tcBorders>
          </w:tcPr>
          <w:p w14:paraId="1CB998FC" w14:textId="77777777" w:rsidR="000931A4" w:rsidRPr="00B74590" w:rsidRDefault="000931A4" w:rsidP="00155715">
            <w:pPr>
              <w:widowControl w:val="0"/>
              <w:autoSpaceDE w:val="0"/>
              <w:autoSpaceDN w:val="0"/>
              <w:adjustRightInd w:val="0"/>
              <w:jc w:val="both"/>
              <w:rPr>
                <w:rFonts w:ascii="Garamond" w:hAnsi="Garamond"/>
                <w:sz w:val="20"/>
                <w:szCs w:val="20"/>
              </w:rPr>
            </w:pPr>
          </w:p>
        </w:tc>
      </w:tr>
    </w:tbl>
    <w:p w14:paraId="0F1A6666" w14:textId="48D16B48" w:rsidR="002F79E8" w:rsidRDefault="005E52AE" w:rsidP="00D41553">
      <w:pPr>
        <w:tabs>
          <w:tab w:val="center" w:pos="4419"/>
        </w:tabs>
        <w:jc w:val="both"/>
        <w:rPr>
          <w:lang w:val="es-ES"/>
        </w:rPr>
      </w:pPr>
      <w:r w:rsidRPr="00D41553">
        <w:rPr>
          <w:lang w:val="es-ES"/>
        </w:rPr>
        <w:lastRenderedPageBreak/>
        <w:t>En primer lugar,</w:t>
      </w:r>
      <w:r w:rsidR="00C05579" w:rsidRPr="00D41553">
        <w:rPr>
          <w:lang w:val="es-ES"/>
        </w:rPr>
        <w:t xml:space="preserve"> </w:t>
      </w:r>
      <w:r w:rsidR="00666E2C" w:rsidRPr="00D41553">
        <w:rPr>
          <w:lang w:val="es-ES"/>
        </w:rPr>
        <w:t>se identific</w:t>
      </w:r>
      <w:r w:rsidR="00B71869">
        <w:rPr>
          <w:lang w:val="es-ES"/>
        </w:rPr>
        <w:t>a</w:t>
      </w:r>
      <w:r w:rsidR="00666E2C" w:rsidRPr="00D41553">
        <w:rPr>
          <w:lang w:val="es-ES"/>
        </w:rPr>
        <w:t xml:space="preserve"> que</w:t>
      </w:r>
      <w:r w:rsidR="00472E68">
        <w:rPr>
          <w:lang w:val="es-ES"/>
        </w:rPr>
        <w:t xml:space="preserve"> </w:t>
      </w:r>
      <w:r w:rsidR="00697E46" w:rsidRPr="00D41553">
        <w:rPr>
          <w:lang w:val="es-ES"/>
        </w:rPr>
        <w:t xml:space="preserve">los acuerdos de doble tributación </w:t>
      </w:r>
      <w:r w:rsidR="00D7656E" w:rsidRPr="00D41553">
        <w:rPr>
          <w:lang w:val="es-ES"/>
        </w:rPr>
        <w:t xml:space="preserve">van </w:t>
      </w:r>
      <w:r w:rsidR="00472E68">
        <w:rPr>
          <w:lang w:val="es-ES"/>
        </w:rPr>
        <w:t>perdiendo</w:t>
      </w:r>
      <w:r w:rsidR="00E47FAE" w:rsidRPr="00D41553">
        <w:rPr>
          <w:lang w:val="es-ES"/>
        </w:rPr>
        <w:t xml:space="preserve"> su impacto en </w:t>
      </w:r>
      <w:r w:rsidR="00C05579" w:rsidRPr="00D41553">
        <w:rPr>
          <w:lang w:val="es-ES"/>
        </w:rPr>
        <w:t xml:space="preserve">la </w:t>
      </w:r>
      <w:r w:rsidR="00E47FAE" w:rsidRPr="00D41553">
        <w:rPr>
          <w:lang w:val="es-ES"/>
        </w:rPr>
        <w:t xml:space="preserve">inversión </w:t>
      </w:r>
      <w:r w:rsidR="00CA2521" w:rsidRPr="00D41553">
        <w:rPr>
          <w:lang w:val="es-ES"/>
        </w:rPr>
        <w:t xml:space="preserve">y </w:t>
      </w:r>
      <w:r w:rsidR="00D85A81" w:rsidRPr="00D41553">
        <w:rPr>
          <w:lang w:val="es-ES"/>
        </w:rPr>
        <w:t xml:space="preserve">pierden </w:t>
      </w:r>
      <w:r w:rsidR="00D7656E" w:rsidRPr="00D41553">
        <w:rPr>
          <w:lang w:val="es-ES"/>
        </w:rPr>
        <w:t>significancia estadística</w:t>
      </w:r>
      <w:r w:rsidR="00D85A81" w:rsidRPr="00D41553">
        <w:rPr>
          <w:lang w:val="es-ES"/>
        </w:rPr>
        <w:t xml:space="preserve"> una vez se</w:t>
      </w:r>
      <w:r w:rsidR="001E4FD7" w:rsidRPr="00D41553">
        <w:rPr>
          <w:lang w:val="es-ES"/>
        </w:rPr>
        <w:t xml:space="preserve"> </w:t>
      </w:r>
      <w:r w:rsidR="0067389C" w:rsidRPr="00D41553">
        <w:rPr>
          <w:lang w:val="es-ES"/>
        </w:rPr>
        <w:t>empiezan a incluir</w:t>
      </w:r>
      <w:r w:rsidR="001E4FD7" w:rsidRPr="00D41553">
        <w:rPr>
          <w:lang w:val="es-ES"/>
        </w:rPr>
        <w:t xml:space="preserve"> variables </w:t>
      </w:r>
      <w:r w:rsidR="001E02AF" w:rsidRPr="00D41553">
        <w:rPr>
          <w:lang w:val="es-ES"/>
        </w:rPr>
        <w:t>de control</w:t>
      </w:r>
      <w:r w:rsidR="009B6954" w:rsidRPr="00D41553">
        <w:rPr>
          <w:lang w:val="es-ES"/>
        </w:rPr>
        <w:t>.</w:t>
      </w:r>
      <w:r w:rsidR="000B287F" w:rsidRPr="00D41553">
        <w:rPr>
          <w:lang w:val="es-ES"/>
        </w:rPr>
        <w:t xml:space="preserve"> Este resultado es consistente en los tres modelos y </w:t>
      </w:r>
      <w:r w:rsidR="00FE79D3" w:rsidRPr="00D41553">
        <w:rPr>
          <w:lang w:val="es-ES"/>
        </w:rPr>
        <w:t>muestra que</w:t>
      </w:r>
      <w:r w:rsidR="00911A15" w:rsidRPr="00D41553">
        <w:rPr>
          <w:lang w:val="es-ES"/>
        </w:rPr>
        <w:t xml:space="preserve">, </w:t>
      </w:r>
      <w:r w:rsidR="002F79E8" w:rsidRPr="00D41553">
        <w:rPr>
          <w:lang w:val="es-ES"/>
        </w:rPr>
        <w:t xml:space="preserve">si </w:t>
      </w:r>
      <w:r w:rsidR="00472E68">
        <w:rPr>
          <w:lang w:val="es-ES"/>
        </w:rPr>
        <w:t>sólo</w:t>
      </w:r>
      <w:r w:rsidR="00CC32F5" w:rsidRPr="00D41553">
        <w:rPr>
          <w:lang w:val="es-ES"/>
        </w:rPr>
        <w:t xml:space="preserve"> se </w:t>
      </w:r>
      <w:r w:rsidR="000C6C4E" w:rsidRPr="00D41553">
        <w:rPr>
          <w:lang w:val="es-ES"/>
        </w:rPr>
        <w:t xml:space="preserve">evalúan los flujos de inversión a partir de la firma de los acuerdos, </w:t>
      </w:r>
      <w:r w:rsidR="003A7EF3" w:rsidRPr="00D41553">
        <w:rPr>
          <w:lang w:val="es-ES"/>
        </w:rPr>
        <w:t>los resultados son sesgados en la medida que no se está</w:t>
      </w:r>
      <w:r w:rsidR="002A654D">
        <w:rPr>
          <w:lang w:val="es-ES"/>
        </w:rPr>
        <w:t>n considerando e</w:t>
      </w:r>
      <w:r w:rsidR="00C82B9F" w:rsidRPr="00D41553">
        <w:rPr>
          <w:lang w:val="es-ES"/>
        </w:rPr>
        <w:t xml:space="preserve">n </w:t>
      </w:r>
      <w:r w:rsidR="00792A82">
        <w:rPr>
          <w:lang w:val="es-ES"/>
        </w:rPr>
        <w:t>el</w:t>
      </w:r>
      <w:r w:rsidR="00792A82" w:rsidRPr="00D41553">
        <w:rPr>
          <w:lang w:val="es-ES"/>
        </w:rPr>
        <w:t xml:space="preserve"> análisis</w:t>
      </w:r>
      <w:r w:rsidR="00792A82">
        <w:rPr>
          <w:lang w:val="es-ES"/>
        </w:rPr>
        <w:t>,</w:t>
      </w:r>
      <w:r w:rsidR="00792A82" w:rsidRPr="00D41553">
        <w:rPr>
          <w:lang w:val="es-ES"/>
        </w:rPr>
        <w:t xml:space="preserve"> variables relevantes</w:t>
      </w:r>
      <w:r w:rsidR="00A721F2" w:rsidRPr="00D41553">
        <w:rPr>
          <w:lang w:val="es-ES"/>
        </w:rPr>
        <w:t xml:space="preserve"> para el comportamiento de la inversión</w:t>
      </w:r>
      <w:r w:rsidR="002A654D">
        <w:rPr>
          <w:lang w:val="es-ES"/>
        </w:rPr>
        <w:t>. Estas variables</w:t>
      </w:r>
      <w:r w:rsidR="00A576A3">
        <w:rPr>
          <w:lang w:val="es-ES"/>
        </w:rPr>
        <w:t xml:space="preserve"> pueden considerar </w:t>
      </w:r>
      <w:r w:rsidR="00A721F2" w:rsidRPr="00D41553">
        <w:rPr>
          <w:lang w:val="es-ES"/>
        </w:rPr>
        <w:t xml:space="preserve">el contexto económico </w:t>
      </w:r>
      <w:r w:rsidR="00985060">
        <w:rPr>
          <w:lang w:val="es-ES"/>
        </w:rPr>
        <w:t xml:space="preserve">de </w:t>
      </w:r>
      <w:r w:rsidR="00A721F2" w:rsidRPr="00D41553">
        <w:rPr>
          <w:lang w:val="es-ES"/>
        </w:rPr>
        <w:t xml:space="preserve">cada país, </w:t>
      </w:r>
      <w:r w:rsidR="00985060">
        <w:rPr>
          <w:lang w:val="es-ES"/>
        </w:rPr>
        <w:t xml:space="preserve">los </w:t>
      </w:r>
      <w:r w:rsidR="00A721F2" w:rsidRPr="00D41553">
        <w:rPr>
          <w:lang w:val="es-ES"/>
        </w:rPr>
        <w:t xml:space="preserve">acuerdos </w:t>
      </w:r>
      <w:r w:rsidR="00985060">
        <w:rPr>
          <w:lang w:val="es-ES"/>
        </w:rPr>
        <w:t>de protección</w:t>
      </w:r>
      <w:r w:rsidR="00F162BB">
        <w:rPr>
          <w:lang w:val="es-ES"/>
        </w:rPr>
        <w:t xml:space="preserve"> de</w:t>
      </w:r>
      <w:r w:rsidR="00A721F2" w:rsidRPr="00D41553">
        <w:rPr>
          <w:lang w:val="es-ES"/>
        </w:rPr>
        <w:t xml:space="preserve"> </w:t>
      </w:r>
      <w:r w:rsidR="00F162BB">
        <w:rPr>
          <w:lang w:val="es-ES"/>
        </w:rPr>
        <w:t>inversión</w:t>
      </w:r>
      <w:r w:rsidR="00A721F2" w:rsidRPr="00D41553">
        <w:rPr>
          <w:lang w:val="es-ES"/>
        </w:rPr>
        <w:t xml:space="preserve"> que pueden ser un mayor incentivo en el momento de </w:t>
      </w:r>
      <w:r w:rsidR="00BB2638">
        <w:rPr>
          <w:lang w:val="es-ES"/>
        </w:rPr>
        <w:t xml:space="preserve">tomar </w:t>
      </w:r>
      <w:r w:rsidR="00A721F2" w:rsidRPr="00D41553">
        <w:rPr>
          <w:lang w:val="es-ES"/>
        </w:rPr>
        <w:t>decisi</w:t>
      </w:r>
      <w:r w:rsidR="00BB2638">
        <w:rPr>
          <w:lang w:val="es-ES"/>
        </w:rPr>
        <w:t>ones</w:t>
      </w:r>
      <w:r w:rsidR="00A721F2" w:rsidRPr="00D41553">
        <w:rPr>
          <w:lang w:val="es-ES"/>
        </w:rPr>
        <w:t xml:space="preserve"> de </w:t>
      </w:r>
      <w:r w:rsidR="00DD1097" w:rsidRPr="00D41553">
        <w:rPr>
          <w:lang w:val="es-ES"/>
        </w:rPr>
        <w:t>inversión</w:t>
      </w:r>
      <w:r w:rsidR="00D81365">
        <w:rPr>
          <w:lang w:val="es-ES"/>
        </w:rPr>
        <w:t>,</w:t>
      </w:r>
      <w:r w:rsidR="00AC6592">
        <w:rPr>
          <w:lang w:val="es-ES"/>
        </w:rPr>
        <w:t xml:space="preserve"> </w:t>
      </w:r>
      <w:r w:rsidR="00D81365">
        <w:rPr>
          <w:lang w:val="es-ES"/>
        </w:rPr>
        <w:t xml:space="preserve">los </w:t>
      </w:r>
      <w:r w:rsidR="00DD1097" w:rsidRPr="00D41553">
        <w:rPr>
          <w:lang w:val="es-ES"/>
        </w:rPr>
        <w:t xml:space="preserve">acuerdos comerciales que permiten </w:t>
      </w:r>
      <w:r w:rsidR="00D81365">
        <w:rPr>
          <w:lang w:val="es-ES"/>
        </w:rPr>
        <w:t xml:space="preserve">acceso a mercados más amplios y </w:t>
      </w:r>
      <w:r w:rsidR="00BB2638">
        <w:rPr>
          <w:lang w:val="es-ES"/>
        </w:rPr>
        <w:t xml:space="preserve">una </w:t>
      </w:r>
      <w:r w:rsidR="00DD1097" w:rsidRPr="00D41553">
        <w:rPr>
          <w:lang w:val="es-ES"/>
        </w:rPr>
        <w:t xml:space="preserve">mayor facilidad para establecer </w:t>
      </w:r>
      <w:r w:rsidR="00376F4D" w:rsidRPr="00D41553">
        <w:rPr>
          <w:lang w:val="es-ES"/>
        </w:rPr>
        <w:t>industrias en Colombia, generando así una mayor inversión</w:t>
      </w:r>
      <w:r w:rsidR="00BB2638">
        <w:rPr>
          <w:lang w:val="es-ES"/>
        </w:rPr>
        <w:t>,</w:t>
      </w:r>
      <w:r w:rsidR="00376F4D" w:rsidRPr="00D41553">
        <w:rPr>
          <w:lang w:val="es-ES"/>
        </w:rPr>
        <w:t xml:space="preserve"> y </w:t>
      </w:r>
      <w:r w:rsidR="00BB2638">
        <w:rPr>
          <w:lang w:val="es-ES"/>
        </w:rPr>
        <w:t xml:space="preserve">las </w:t>
      </w:r>
      <w:r w:rsidR="0020627D" w:rsidRPr="00D41553">
        <w:rPr>
          <w:lang w:val="es-ES"/>
        </w:rPr>
        <w:t>variab</w:t>
      </w:r>
      <w:r w:rsidR="00DC6419" w:rsidRPr="00D41553">
        <w:rPr>
          <w:lang w:val="es-ES"/>
        </w:rPr>
        <w:t>les de efectos fijos en el tiempo y entre individuos.</w:t>
      </w:r>
    </w:p>
    <w:p w14:paraId="06FCD93C" w14:textId="77777777" w:rsidR="00936193" w:rsidRDefault="00936193" w:rsidP="00D41553">
      <w:pPr>
        <w:tabs>
          <w:tab w:val="center" w:pos="4419"/>
        </w:tabs>
        <w:jc w:val="both"/>
        <w:rPr>
          <w:lang w:val="es-ES"/>
        </w:rPr>
      </w:pPr>
    </w:p>
    <w:p w14:paraId="04A907DB" w14:textId="5EC6AD8D" w:rsidR="009746AC" w:rsidRPr="00D41553" w:rsidRDefault="00C3471B" w:rsidP="00D41553">
      <w:pPr>
        <w:tabs>
          <w:tab w:val="center" w:pos="4419"/>
        </w:tabs>
        <w:jc w:val="both"/>
        <w:rPr>
          <w:lang w:val="es-ES"/>
        </w:rPr>
      </w:pPr>
      <w:r w:rsidRPr="00D41553">
        <w:rPr>
          <w:lang w:val="es-ES"/>
        </w:rPr>
        <w:t>En concreto, se observa que</w:t>
      </w:r>
      <w:r w:rsidR="005E5463" w:rsidRPr="00D41553">
        <w:rPr>
          <w:lang w:val="es-ES"/>
        </w:rPr>
        <w:t>,</w:t>
      </w:r>
      <w:r w:rsidRPr="00D41553">
        <w:rPr>
          <w:lang w:val="es-ES"/>
        </w:rPr>
        <w:t xml:space="preserve"> </w:t>
      </w:r>
      <w:r w:rsidR="00F22B11" w:rsidRPr="00D41553">
        <w:rPr>
          <w:lang w:val="es-ES"/>
        </w:rPr>
        <w:t xml:space="preserve">en dos de los tres modelos, </w:t>
      </w:r>
      <w:r w:rsidR="009746AC" w:rsidRPr="00D41553">
        <w:rPr>
          <w:lang w:val="es-ES"/>
        </w:rPr>
        <w:t xml:space="preserve">la diferencia del impuesto </w:t>
      </w:r>
      <w:r w:rsidR="00431A1C" w:rsidRPr="00D41553">
        <w:rPr>
          <w:lang w:val="es-ES"/>
        </w:rPr>
        <w:t>de renta</w:t>
      </w:r>
      <w:r w:rsidR="009746AC" w:rsidRPr="00D41553">
        <w:rPr>
          <w:lang w:val="es-ES"/>
        </w:rPr>
        <w:t xml:space="preserve"> entre el resto de los países y Colombia </w:t>
      </w:r>
      <w:r w:rsidR="00CB2158" w:rsidRPr="00D41553">
        <w:rPr>
          <w:lang w:val="es-ES"/>
        </w:rPr>
        <w:t>es significativa</w:t>
      </w:r>
      <w:r w:rsidR="008F398D" w:rsidRPr="00D41553">
        <w:rPr>
          <w:lang w:val="es-ES"/>
        </w:rPr>
        <w:t xml:space="preserve">, </w:t>
      </w:r>
      <w:r w:rsidR="005E5463" w:rsidRPr="00D41553">
        <w:rPr>
          <w:lang w:val="es-ES"/>
        </w:rPr>
        <w:t>por lo</w:t>
      </w:r>
      <w:r w:rsidR="007169C1" w:rsidRPr="00D41553">
        <w:rPr>
          <w:lang w:val="es-ES"/>
        </w:rPr>
        <w:t xml:space="preserve"> que </w:t>
      </w:r>
      <w:r w:rsidR="00B62A85" w:rsidRPr="00D41553">
        <w:rPr>
          <w:lang w:val="es-ES"/>
        </w:rPr>
        <w:t xml:space="preserve">un aumento de una unidad </w:t>
      </w:r>
      <w:r w:rsidR="00C0273F" w:rsidRPr="00D41553">
        <w:rPr>
          <w:lang w:val="es-ES"/>
        </w:rPr>
        <w:t xml:space="preserve">en esta diferencia promueve la IED </w:t>
      </w:r>
      <w:r w:rsidR="00265822" w:rsidRPr="00D41553">
        <w:rPr>
          <w:lang w:val="es-ES"/>
        </w:rPr>
        <w:t xml:space="preserve">hacia Colombia </w:t>
      </w:r>
      <w:r w:rsidR="00C0273F" w:rsidRPr="00D41553">
        <w:rPr>
          <w:lang w:val="es-ES"/>
        </w:rPr>
        <w:t xml:space="preserve">en </w:t>
      </w:r>
      <w:r w:rsidR="005F7332" w:rsidRPr="00D41553">
        <w:rPr>
          <w:lang w:val="es-ES"/>
        </w:rPr>
        <w:t xml:space="preserve">promedio en </w:t>
      </w:r>
      <w:r w:rsidR="00C0273F" w:rsidRPr="00D41553">
        <w:rPr>
          <w:lang w:val="es-ES"/>
        </w:rPr>
        <w:t>1.8%</w:t>
      </w:r>
      <w:r w:rsidR="005F7332" w:rsidRPr="00D41553">
        <w:rPr>
          <w:lang w:val="es-ES"/>
        </w:rPr>
        <w:t xml:space="preserve"> manteniendo las demás variables constantes</w:t>
      </w:r>
      <w:r w:rsidR="00C0273F" w:rsidRPr="00D41553">
        <w:rPr>
          <w:lang w:val="es-ES"/>
        </w:rPr>
        <w:t xml:space="preserve">. </w:t>
      </w:r>
      <w:r w:rsidR="00970D59" w:rsidRPr="00D41553">
        <w:rPr>
          <w:lang w:val="es-ES"/>
        </w:rPr>
        <w:t>Este resultado</w:t>
      </w:r>
      <w:r w:rsidR="007B6B9B" w:rsidRPr="00D41553">
        <w:rPr>
          <w:lang w:val="es-ES"/>
        </w:rPr>
        <w:t xml:space="preserve"> se relaciona con </w:t>
      </w:r>
      <w:r w:rsidR="006E1762" w:rsidRPr="00D41553">
        <w:rPr>
          <w:lang w:val="es-ES"/>
        </w:rPr>
        <w:t>la</w:t>
      </w:r>
      <w:r w:rsidR="007B6B9B" w:rsidRPr="00D41553">
        <w:rPr>
          <w:lang w:val="es-ES"/>
        </w:rPr>
        <w:t xml:space="preserve"> competitividad </w:t>
      </w:r>
      <w:r w:rsidR="009746AC" w:rsidRPr="00D41553">
        <w:rPr>
          <w:lang w:val="es-ES"/>
        </w:rPr>
        <w:t xml:space="preserve">en términos tributarios que </w:t>
      </w:r>
      <w:r w:rsidR="004F31EB" w:rsidRPr="00D41553">
        <w:rPr>
          <w:lang w:val="es-ES"/>
        </w:rPr>
        <w:t>existe entre</w:t>
      </w:r>
      <w:r w:rsidR="009746AC" w:rsidRPr="00D41553">
        <w:rPr>
          <w:lang w:val="es-ES"/>
        </w:rPr>
        <w:t xml:space="preserve"> países,</w:t>
      </w:r>
      <w:r w:rsidR="007B6B9B" w:rsidRPr="00D41553">
        <w:rPr>
          <w:lang w:val="es-ES"/>
        </w:rPr>
        <w:t xml:space="preserve"> es decir, si </w:t>
      </w:r>
      <w:r w:rsidR="005E5463" w:rsidRPr="00D41553">
        <w:rPr>
          <w:lang w:val="es-ES"/>
        </w:rPr>
        <w:t>el impuesto de renta del</w:t>
      </w:r>
      <w:r w:rsidR="007B6B9B" w:rsidRPr="00D41553">
        <w:rPr>
          <w:lang w:val="es-ES"/>
        </w:rPr>
        <w:t xml:space="preserve"> país en cuestión </w:t>
      </w:r>
      <w:r w:rsidR="005E5463" w:rsidRPr="00D41553">
        <w:rPr>
          <w:lang w:val="es-ES"/>
        </w:rPr>
        <w:t xml:space="preserve">es </w:t>
      </w:r>
      <w:r w:rsidR="007B6B9B" w:rsidRPr="00D41553">
        <w:rPr>
          <w:lang w:val="es-ES"/>
        </w:rPr>
        <w:t xml:space="preserve">mayor al de Colombia, </w:t>
      </w:r>
      <w:r w:rsidR="005E5463" w:rsidRPr="00D41553">
        <w:rPr>
          <w:lang w:val="es-ES"/>
        </w:rPr>
        <w:t xml:space="preserve">se genera un incentivo a invertir en </w:t>
      </w:r>
      <w:r w:rsidR="004F31EB" w:rsidRPr="00D41553">
        <w:rPr>
          <w:lang w:val="es-ES"/>
        </w:rPr>
        <w:t xml:space="preserve">Colombia </w:t>
      </w:r>
      <w:r w:rsidR="00337348" w:rsidRPr="00D41553">
        <w:rPr>
          <w:lang w:val="es-ES"/>
        </w:rPr>
        <w:t>en la medida en que</w:t>
      </w:r>
      <w:r w:rsidR="00B0060D">
        <w:rPr>
          <w:lang w:val="es-ES"/>
        </w:rPr>
        <w:t xml:space="preserve"> el nivel impositivo </w:t>
      </w:r>
      <w:r w:rsidR="00A26660" w:rsidRPr="00D41553">
        <w:rPr>
          <w:lang w:val="es-ES"/>
        </w:rPr>
        <w:t xml:space="preserve">por las </w:t>
      </w:r>
      <w:r w:rsidR="00E55A93" w:rsidRPr="00D41553">
        <w:rPr>
          <w:lang w:val="es-ES"/>
        </w:rPr>
        <w:t xml:space="preserve">operaciones e </w:t>
      </w:r>
      <w:r w:rsidR="00A26660" w:rsidRPr="00D41553">
        <w:rPr>
          <w:lang w:val="es-ES"/>
        </w:rPr>
        <w:t>inversiones</w:t>
      </w:r>
      <w:r w:rsidR="00C948EC" w:rsidRPr="00D41553">
        <w:rPr>
          <w:lang w:val="es-ES"/>
        </w:rPr>
        <w:t xml:space="preserve"> </w:t>
      </w:r>
      <w:r w:rsidR="00A40CB2">
        <w:rPr>
          <w:lang w:val="es-ES"/>
        </w:rPr>
        <w:t>en Colombia es menor.</w:t>
      </w:r>
    </w:p>
    <w:p w14:paraId="29DC54AC" w14:textId="77777777" w:rsidR="002F79E8" w:rsidRPr="00D41553" w:rsidRDefault="002F79E8" w:rsidP="00D41553">
      <w:pPr>
        <w:tabs>
          <w:tab w:val="center" w:pos="4419"/>
        </w:tabs>
        <w:jc w:val="both"/>
        <w:rPr>
          <w:lang w:val="es-ES"/>
        </w:rPr>
      </w:pPr>
    </w:p>
    <w:p w14:paraId="2E2CDC80" w14:textId="77777777" w:rsidR="00047244" w:rsidRPr="00D41553" w:rsidRDefault="001E2025" w:rsidP="00D41553">
      <w:pPr>
        <w:tabs>
          <w:tab w:val="center" w:pos="4419"/>
        </w:tabs>
        <w:jc w:val="both"/>
        <w:rPr>
          <w:lang w:val="es-ES"/>
        </w:rPr>
      </w:pPr>
      <w:r w:rsidRPr="00D41553">
        <w:rPr>
          <w:lang w:val="es-ES"/>
        </w:rPr>
        <w:t xml:space="preserve">Por su parte, </w:t>
      </w:r>
      <w:r w:rsidR="00D16D4E" w:rsidRPr="00D41553">
        <w:rPr>
          <w:lang w:val="es-ES"/>
        </w:rPr>
        <w:t xml:space="preserve">las variables macroeconómicas </w:t>
      </w:r>
      <w:r w:rsidR="000C3627" w:rsidRPr="00D41553">
        <w:rPr>
          <w:lang w:val="es-ES"/>
        </w:rPr>
        <w:t xml:space="preserve">propias de cada </w:t>
      </w:r>
      <w:r w:rsidR="00842C24" w:rsidRPr="00D41553">
        <w:rPr>
          <w:lang w:val="es-ES"/>
        </w:rPr>
        <w:t>país</w:t>
      </w:r>
      <w:r w:rsidR="001A3AE3" w:rsidRPr="00D41553">
        <w:rPr>
          <w:lang w:val="es-ES"/>
        </w:rPr>
        <w:t>,</w:t>
      </w:r>
      <w:r w:rsidR="000C3627" w:rsidRPr="00D41553">
        <w:rPr>
          <w:lang w:val="es-ES"/>
        </w:rPr>
        <w:t xml:space="preserve"> </w:t>
      </w:r>
      <w:r w:rsidR="00D16D4E" w:rsidRPr="00D41553">
        <w:rPr>
          <w:lang w:val="es-ES"/>
        </w:rPr>
        <w:t>como el PIB</w:t>
      </w:r>
      <w:r w:rsidR="00A70894" w:rsidRPr="00D41553">
        <w:rPr>
          <w:lang w:val="es-ES"/>
        </w:rPr>
        <w:t xml:space="preserve"> y</w:t>
      </w:r>
      <w:r w:rsidR="00D16D4E" w:rsidRPr="00D41553">
        <w:rPr>
          <w:lang w:val="es-ES"/>
        </w:rPr>
        <w:t xml:space="preserve"> el IPC</w:t>
      </w:r>
      <w:r w:rsidR="001A3AE3" w:rsidRPr="00D41553">
        <w:rPr>
          <w:lang w:val="es-ES"/>
        </w:rPr>
        <w:t>,</w:t>
      </w:r>
      <w:r w:rsidR="00D16D4E" w:rsidRPr="00D41553">
        <w:rPr>
          <w:lang w:val="es-ES"/>
        </w:rPr>
        <w:t xml:space="preserve"> </w:t>
      </w:r>
      <w:r w:rsidR="00125A7C" w:rsidRPr="00D41553">
        <w:rPr>
          <w:lang w:val="es-ES"/>
        </w:rPr>
        <w:t xml:space="preserve">son </w:t>
      </w:r>
      <w:r w:rsidR="005203D6" w:rsidRPr="00D41553">
        <w:rPr>
          <w:lang w:val="es-ES"/>
        </w:rPr>
        <w:t xml:space="preserve">estadísticamente </w:t>
      </w:r>
      <w:r w:rsidR="00125A7C" w:rsidRPr="00D41553">
        <w:rPr>
          <w:lang w:val="es-ES"/>
        </w:rPr>
        <w:t>significativas</w:t>
      </w:r>
      <w:r w:rsidR="005E0735" w:rsidRPr="00D41553">
        <w:rPr>
          <w:lang w:val="es-ES"/>
        </w:rPr>
        <w:t xml:space="preserve"> en las estimaciones </w:t>
      </w:r>
      <w:r w:rsidR="00125A7C" w:rsidRPr="00D41553">
        <w:rPr>
          <w:lang w:val="es-ES"/>
        </w:rPr>
        <w:t>en donde</w:t>
      </w:r>
      <w:r w:rsidR="005E0735" w:rsidRPr="00D41553">
        <w:rPr>
          <w:lang w:val="es-ES"/>
        </w:rPr>
        <w:t xml:space="preserve"> no </w:t>
      </w:r>
      <w:r w:rsidR="00125A7C" w:rsidRPr="00D41553">
        <w:rPr>
          <w:lang w:val="es-ES"/>
        </w:rPr>
        <w:t>se incluyen</w:t>
      </w:r>
      <w:r w:rsidR="005E0735" w:rsidRPr="00D41553">
        <w:rPr>
          <w:lang w:val="es-ES"/>
        </w:rPr>
        <w:t xml:space="preserve"> efectos fijos</w:t>
      </w:r>
      <w:r w:rsidR="00E60E2C" w:rsidRPr="00D41553">
        <w:rPr>
          <w:lang w:val="es-ES"/>
        </w:rPr>
        <w:t xml:space="preserve"> de tiempo </w:t>
      </w:r>
      <w:r w:rsidR="00284D2A" w:rsidRPr="00D41553">
        <w:rPr>
          <w:lang w:val="es-ES"/>
        </w:rPr>
        <w:t xml:space="preserve">(distancia </w:t>
      </w:r>
      <w:r w:rsidR="0024409A" w:rsidRPr="00D41553">
        <w:rPr>
          <w:lang w:val="es-ES"/>
        </w:rPr>
        <w:t xml:space="preserve">en km) </w:t>
      </w:r>
      <w:r w:rsidR="00E60E2C" w:rsidRPr="00D41553">
        <w:rPr>
          <w:lang w:val="es-ES"/>
        </w:rPr>
        <w:t>y entre individuos</w:t>
      </w:r>
      <w:r w:rsidR="0024409A" w:rsidRPr="00D41553">
        <w:rPr>
          <w:lang w:val="es-ES"/>
        </w:rPr>
        <w:t xml:space="preserve"> (</w:t>
      </w:r>
      <w:r w:rsidR="009A6F65" w:rsidRPr="00D41553">
        <w:rPr>
          <w:lang w:val="es-ES"/>
        </w:rPr>
        <w:t>Brent y S&amp;P 500)</w:t>
      </w:r>
      <w:r w:rsidR="00BF2C03" w:rsidRPr="00D41553">
        <w:rPr>
          <w:lang w:val="es-ES"/>
        </w:rPr>
        <w:t>.</w:t>
      </w:r>
      <w:r w:rsidR="009A4B6F" w:rsidRPr="00D41553">
        <w:rPr>
          <w:lang w:val="es-ES"/>
        </w:rPr>
        <w:t xml:space="preserve"> </w:t>
      </w:r>
      <w:r w:rsidR="00BF2C03" w:rsidRPr="00D41553">
        <w:rPr>
          <w:lang w:val="es-ES"/>
        </w:rPr>
        <w:t>L</w:t>
      </w:r>
      <w:r w:rsidR="009A4B6F" w:rsidRPr="00D41553">
        <w:rPr>
          <w:lang w:val="es-ES"/>
        </w:rPr>
        <w:t xml:space="preserve">uego de la inclusión </w:t>
      </w:r>
      <w:r w:rsidR="00497930" w:rsidRPr="00D41553">
        <w:rPr>
          <w:lang w:val="es-ES"/>
        </w:rPr>
        <w:t>de los efectos fijos, las</w:t>
      </w:r>
      <w:r w:rsidR="009A4B6F" w:rsidRPr="00D41553">
        <w:rPr>
          <w:lang w:val="es-ES"/>
        </w:rPr>
        <w:t xml:space="preserve"> variables</w:t>
      </w:r>
      <w:r w:rsidR="00497930" w:rsidRPr="00D41553">
        <w:rPr>
          <w:lang w:val="es-ES"/>
        </w:rPr>
        <w:t xml:space="preserve"> macroeconómicas pierden significancia</w:t>
      </w:r>
      <w:r w:rsidR="00F36654" w:rsidRPr="00D41553">
        <w:rPr>
          <w:lang w:val="es-ES"/>
        </w:rPr>
        <w:t>.</w:t>
      </w:r>
      <w:r w:rsidR="00BF2C03" w:rsidRPr="00D41553">
        <w:rPr>
          <w:lang w:val="es-ES"/>
        </w:rPr>
        <w:t xml:space="preserve"> </w:t>
      </w:r>
    </w:p>
    <w:p w14:paraId="38EAF24A" w14:textId="77777777" w:rsidR="00047244" w:rsidRPr="00D41553" w:rsidRDefault="00047244" w:rsidP="00D41553">
      <w:pPr>
        <w:tabs>
          <w:tab w:val="center" w:pos="4419"/>
        </w:tabs>
        <w:jc w:val="both"/>
        <w:rPr>
          <w:lang w:val="es-ES"/>
        </w:rPr>
      </w:pPr>
    </w:p>
    <w:p w14:paraId="7CDD9CB6" w14:textId="6B0CCD53" w:rsidR="00B73C7E" w:rsidRPr="00D41553" w:rsidRDefault="00047244" w:rsidP="00D41553">
      <w:pPr>
        <w:tabs>
          <w:tab w:val="center" w:pos="4419"/>
        </w:tabs>
        <w:jc w:val="both"/>
        <w:rPr>
          <w:lang w:val="es-ES"/>
        </w:rPr>
      </w:pPr>
      <w:r w:rsidRPr="00D41553">
        <w:rPr>
          <w:lang w:val="es-ES"/>
        </w:rPr>
        <w:t xml:space="preserve">Al respecto, </w:t>
      </w:r>
      <w:r w:rsidR="00CD037D" w:rsidRPr="00D41553">
        <w:rPr>
          <w:lang w:val="es-ES"/>
        </w:rPr>
        <w:t xml:space="preserve">la significancia inicial de dichas variables </w:t>
      </w:r>
      <w:r w:rsidR="00406D96" w:rsidRPr="00D41553">
        <w:rPr>
          <w:lang w:val="es-ES"/>
        </w:rPr>
        <w:t xml:space="preserve">se relaciona con la importancia </w:t>
      </w:r>
      <w:r w:rsidR="007C4449" w:rsidRPr="00D41553">
        <w:rPr>
          <w:lang w:val="es-ES"/>
        </w:rPr>
        <w:t xml:space="preserve">y la relevancia que tiene el contexto económico por el cual está pasando un país </w:t>
      </w:r>
      <w:r w:rsidR="00DB45F0" w:rsidRPr="00D41553">
        <w:rPr>
          <w:lang w:val="es-ES"/>
        </w:rPr>
        <w:t>al</w:t>
      </w:r>
      <w:r w:rsidR="007C4449" w:rsidRPr="00D41553">
        <w:rPr>
          <w:lang w:val="es-ES"/>
        </w:rPr>
        <w:t xml:space="preserve"> momento de invertir en países en vía de desarrollo</w:t>
      </w:r>
      <w:r w:rsidR="00D51630" w:rsidRPr="00D41553">
        <w:rPr>
          <w:lang w:val="es-ES"/>
        </w:rPr>
        <w:t>,</w:t>
      </w:r>
      <w:r w:rsidR="00F87A4F" w:rsidRPr="00D41553">
        <w:rPr>
          <w:lang w:val="es-ES"/>
        </w:rPr>
        <w:t xml:space="preserve"> </w:t>
      </w:r>
      <w:r w:rsidR="00BD34CA" w:rsidRPr="00D41553">
        <w:rPr>
          <w:lang w:val="es-ES"/>
        </w:rPr>
        <w:t xml:space="preserve">es decir, si el país </w:t>
      </w:r>
      <w:r w:rsidR="007D20A2" w:rsidRPr="00D41553">
        <w:rPr>
          <w:lang w:val="es-ES"/>
        </w:rPr>
        <w:t xml:space="preserve">está </w:t>
      </w:r>
      <w:r w:rsidR="00CC12EB" w:rsidRPr="00D41553">
        <w:rPr>
          <w:lang w:val="es-ES"/>
        </w:rPr>
        <w:t>en un periodo de alto crecimiento</w:t>
      </w:r>
      <w:r w:rsidR="00A516D5" w:rsidRPr="00D41553">
        <w:rPr>
          <w:lang w:val="es-ES"/>
        </w:rPr>
        <w:t xml:space="preserve"> </w:t>
      </w:r>
      <w:r w:rsidR="008423B8" w:rsidRPr="00D41553">
        <w:rPr>
          <w:lang w:val="es-ES"/>
        </w:rPr>
        <w:t>realizará inversiones en los demás países</w:t>
      </w:r>
      <w:r w:rsidR="00A53A1B" w:rsidRPr="00D41553">
        <w:rPr>
          <w:lang w:val="es-ES"/>
        </w:rPr>
        <w:t xml:space="preserve"> para seguir impulsando el </w:t>
      </w:r>
      <w:r w:rsidR="007D20A2" w:rsidRPr="00D41553">
        <w:rPr>
          <w:lang w:val="es-ES"/>
        </w:rPr>
        <w:t xml:space="preserve">crecimiento </w:t>
      </w:r>
      <w:r w:rsidR="008423B8" w:rsidRPr="00D41553">
        <w:rPr>
          <w:lang w:val="es-ES"/>
        </w:rPr>
        <w:t xml:space="preserve">y, en caso contrario, si </w:t>
      </w:r>
      <w:r w:rsidR="0001231C" w:rsidRPr="00D41553">
        <w:rPr>
          <w:lang w:val="es-ES"/>
        </w:rPr>
        <w:t xml:space="preserve">se encuentra en un periodo de </w:t>
      </w:r>
      <w:r w:rsidR="0009384E">
        <w:rPr>
          <w:lang w:val="es-ES"/>
        </w:rPr>
        <w:t>contracción económica</w:t>
      </w:r>
      <w:r w:rsidR="0001231C" w:rsidRPr="00D41553">
        <w:rPr>
          <w:lang w:val="es-ES"/>
        </w:rPr>
        <w:t xml:space="preserve">, optará por </w:t>
      </w:r>
      <w:r w:rsidR="007B495D" w:rsidRPr="00D41553">
        <w:rPr>
          <w:lang w:val="es-ES"/>
        </w:rPr>
        <w:t xml:space="preserve">utilizar sus recursos </w:t>
      </w:r>
      <w:r w:rsidR="00B257B5" w:rsidRPr="00D41553">
        <w:rPr>
          <w:lang w:val="es-ES"/>
        </w:rPr>
        <w:t xml:space="preserve">para </w:t>
      </w:r>
      <w:r w:rsidR="0097072B" w:rsidRPr="00D41553">
        <w:rPr>
          <w:lang w:val="es-ES"/>
        </w:rPr>
        <w:t xml:space="preserve">afrontar </w:t>
      </w:r>
      <w:r w:rsidR="005D52F4">
        <w:rPr>
          <w:lang w:val="es-ES"/>
        </w:rPr>
        <w:t>la desaceleración</w:t>
      </w:r>
      <w:r w:rsidR="0097072B" w:rsidRPr="00D41553">
        <w:rPr>
          <w:lang w:val="es-ES"/>
        </w:rPr>
        <w:t xml:space="preserve">, dejando de lado las inversiones </w:t>
      </w:r>
      <w:r w:rsidR="00C70EDF" w:rsidRPr="00D41553">
        <w:rPr>
          <w:lang w:val="es-ES"/>
        </w:rPr>
        <w:t xml:space="preserve">en los demás países. </w:t>
      </w:r>
      <w:r w:rsidR="00064EC3" w:rsidRPr="00D41553">
        <w:rPr>
          <w:lang w:val="es-ES"/>
        </w:rPr>
        <w:t>E</w:t>
      </w:r>
      <w:r w:rsidR="00861529" w:rsidRPr="00D41553">
        <w:rPr>
          <w:lang w:val="es-ES"/>
        </w:rPr>
        <w:t>n ese sentido, se observa que</w:t>
      </w:r>
      <w:r w:rsidR="00F87A4F" w:rsidRPr="00D41553">
        <w:rPr>
          <w:lang w:val="es-ES"/>
        </w:rPr>
        <w:t xml:space="preserve"> </w:t>
      </w:r>
      <w:r w:rsidR="00D1526D" w:rsidRPr="00D41553">
        <w:rPr>
          <w:lang w:val="es-ES"/>
        </w:rPr>
        <w:t xml:space="preserve">un aumento </w:t>
      </w:r>
      <w:r w:rsidR="008A773E" w:rsidRPr="00D41553">
        <w:rPr>
          <w:lang w:val="es-ES"/>
        </w:rPr>
        <w:t>de un punto porcentual en el crecimiento</w:t>
      </w:r>
      <w:r w:rsidR="00172A40" w:rsidRPr="00D41553">
        <w:rPr>
          <w:lang w:val="es-ES"/>
        </w:rPr>
        <w:t xml:space="preserve"> del</w:t>
      </w:r>
      <w:r w:rsidR="00D1526D" w:rsidRPr="00D41553">
        <w:rPr>
          <w:lang w:val="es-ES"/>
        </w:rPr>
        <w:t xml:space="preserve"> PIB </w:t>
      </w:r>
      <w:r w:rsidR="00D13571" w:rsidRPr="00D41553">
        <w:rPr>
          <w:lang w:val="es-ES"/>
        </w:rPr>
        <w:t xml:space="preserve">en cada país aumenta la entrada de IED en Colombia en </w:t>
      </w:r>
      <w:r w:rsidR="005F7332" w:rsidRPr="00D41553">
        <w:rPr>
          <w:lang w:val="es-ES"/>
        </w:rPr>
        <w:t xml:space="preserve">promedio en </w:t>
      </w:r>
      <w:r w:rsidR="00A26E75" w:rsidRPr="00D41553">
        <w:rPr>
          <w:lang w:val="es-ES"/>
        </w:rPr>
        <w:t>1</w:t>
      </w:r>
      <w:r w:rsidR="007D0040" w:rsidRPr="00D41553">
        <w:rPr>
          <w:lang w:val="es-ES"/>
        </w:rPr>
        <w:t>.3%</w:t>
      </w:r>
      <w:r w:rsidR="005F7332" w:rsidRPr="00D41553">
        <w:rPr>
          <w:lang w:val="es-ES"/>
        </w:rPr>
        <w:t xml:space="preserve"> manteniendo las demás variables constantes.</w:t>
      </w:r>
      <w:r w:rsidR="00097552" w:rsidRPr="00D41553">
        <w:rPr>
          <w:lang w:val="es-ES"/>
        </w:rPr>
        <w:t xml:space="preserve"> </w:t>
      </w:r>
      <w:r w:rsidR="00D768E8" w:rsidRPr="00D41553">
        <w:rPr>
          <w:lang w:val="es-ES"/>
        </w:rPr>
        <w:t>La pérdida de significancia de estas variables l</w:t>
      </w:r>
      <w:r w:rsidR="00B73C7E" w:rsidRPr="00D41553">
        <w:rPr>
          <w:lang w:val="es-ES"/>
        </w:rPr>
        <w:t xml:space="preserve">uego </w:t>
      </w:r>
      <w:r w:rsidR="00D768E8" w:rsidRPr="00D41553">
        <w:rPr>
          <w:lang w:val="es-ES"/>
        </w:rPr>
        <w:t>de la inclusión de l</w:t>
      </w:r>
      <w:r w:rsidR="002958C4" w:rsidRPr="00D41553">
        <w:rPr>
          <w:lang w:val="es-ES"/>
        </w:rPr>
        <w:t xml:space="preserve">os efectos fijos se puede explicar </w:t>
      </w:r>
      <w:r w:rsidR="00A1288D" w:rsidRPr="00D41553">
        <w:rPr>
          <w:lang w:val="es-ES"/>
        </w:rPr>
        <w:t>debido a que</w:t>
      </w:r>
      <w:r w:rsidR="005B401C" w:rsidRPr="00D41553">
        <w:rPr>
          <w:lang w:val="es-ES"/>
        </w:rPr>
        <w:t xml:space="preserve"> </w:t>
      </w:r>
      <w:r w:rsidR="00650C55" w:rsidRPr="00D41553">
        <w:rPr>
          <w:lang w:val="es-ES"/>
        </w:rPr>
        <w:t xml:space="preserve">el </w:t>
      </w:r>
      <w:r w:rsidR="00A1288D" w:rsidRPr="00D41553">
        <w:rPr>
          <w:lang w:val="es-ES"/>
        </w:rPr>
        <w:t xml:space="preserve">impacto </w:t>
      </w:r>
      <w:r w:rsidR="00650C55" w:rsidRPr="00D41553">
        <w:rPr>
          <w:lang w:val="es-ES"/>
        </w:rPr>
        <w:t xml:space="preserve">del contexto económico </w:t>
      </w:r>
      <w:r w:rsidR="00AF78E3" w:rsidRPr="00D41553">
        <w:rPr>
          <w:lang w:val="es-ES"/>
        </w:rPr>
        <w:t xml:space="preserve">es </w:t>
      </w:r>
      <w:r w:rsidR="00A1288D" w:rsidRPr="00D41553">
        <w:rPr>
          <w:lang w:val="es-ES"/>
        </w:rPr>
        <w:t xml:space="preserve">absorbido </w:t>
      </w:r>
      <w:r w:rsidR="00AF78E3" w:rsidRPr="00D41553">
        <w:rPr>
          <w:lang w:val="es-ES"/>
        </w:rPr>
        <w:t xml:space="preserve">por </w:t>
      </w:r>
      <w:r w:rsidR="00AF5123" w:rsidRPr="00D41553">
        <w:rPr>
          <w:lang w:val="es-ES"/>
        </w:rPr>
        <w:t xml:space="preserve">las variables </w:t>
      </w:r>
      <w:r w:rsidR="0088042E" w:rsidRPr="00D41553">
        <w:rPr>
          <w:lang w:val="es-ES"/>
        </w:rPr>
        <w:t xml:space="preserve">económicas mundiales, como lo son el </w:t>
      </w:r>
      <w:r w:rsidR="00AF5123" w:rsidRPr="00D41553">
        <w:rPr>
          <w:lang w:val="es-ES"/>
        </w:rPr>
        <w:t>S&amp;P 500 y los precios del petróleo Brent</w:t>
      </w:r>
      <w:r w:rsidR="00820C92" w:rsidRPr="00D41553">
        <w:rPr>
          <w:lang w:val="es-ES"/>
        </w:rPr>
        <w:t xml:space="preserve">. </w:t>
      </w:r>
    </w:p>
    <w:p w14:paraId="2D2091CE" w14:textId="77777777" w:rsidR="00A94E08" w:rsidRPr="00D41553" w:rsidRDefault="00A94E08" w:rsidP="00D41553">
      <w:pPr>
        <w:tabs>
          <w:tab w:val="center" w:pos="4419"/>
        </w:tabs>
        <w:jc w:val="both"/>
        <w:rPr>
          <w:lang w:val="es-ES"/>
        </w:rPr>
      </w:pPr>
    </w:p>
    <w:p w14:paraId="708E5ACB" w14:textId="77777777" w:rsidR="004304D9" w:rsidRPr="00D41553" w:rsidRDefault="00C41B6B" w:rsidP="00D41553">
      <w:pPr>
        <w:tabs>
          <w:tab w:val="center" w:pos="4419"/>
        </w:tabs>
        <w:jc w:val="both"/>
        <w:rPr>
          <w:lang w:val="es-ES"/>
        </w:rPr>
      </w:pPr>
      <w:r w:rsidRPr="00D41553">
        <w:rPr>
          <w:lang w:val="es-ES"/>
        </w:rPr>
        <w:t xml:space="preserve">Por último, </w:t>
      </w:r>
      <w:r w:rsidR="009B5559" w:rsidRPr="00D41553">
        <w:rPr>
          <w:lang w:val="es-ES"/>
        </w:rPr>
        <w:t xml:space="preserve">es importante mencionar </w:t>
      </w:r>
      <w:r w:rsidR="00E25B74" w:rsidRPr="00D41553">
        <w:rPr>
          <w:lang w:val="es-ES"/>
        </w:rPr>
        <w:t>que las variables con mayor impacto en</w:t>
      </w:r>
      <w:r w:rsidR="007816B5" w:rsidRPr="00D41553">
        <w:rPr>
          <w:lang w:val="es-ES"/>
        </w:rPr>
        <w:t xml:space="preserve"> los tres modelos son </w:t>
      </w:r>
      <w:r w:rsidR="002E2649" w:rsidRPr="00D41553">
        <w:rPr>
          <w:lang w:val="es-ES"/>
        </w:rPr>
        <w:t xml:space="preserve">los acuerdos de protección a la inversión y </w:t>
      </w:r>
      <w:r w:rsidR="00152917" w:rsidRPr="00D41553">
        <w:rPr>
          <w:lang w:val="es-ES"/>
        </w:rPr>
        <w:t>los acuerdos comerciales</w:t>
      </w:r>
      <w:r w:rsidR="00D76070" w:rsidRPr="00D41553">
        <w:rPr>
          <w:lang w:val="es-ES"/>
        </w:rPr>
        <w:t xml:space="preserve">. </w:t>
      </w:r>
    </w:p>
    <w:p w14:paraId="05DF9557" w14:textId="77777777" w:rsidR="004304D9" w:rsidRPr="00D41553" w:rsidRDefault="004304D9" w:rsidP="00D41553">
      <w:pPr>
        <w:tabs>
          <w:tab w:val="center" w:pos="4419"/>
        </w:tabs>
        <w:jc w:val="both"/>
        <w:rPr>
          <w:lang w:val="es-ES"/>
        </w:rPr>
      </w:pPr>
    </w:p>
    <w:p w14:paraId="69B2C042" w14:textId="2F3C408F" w:rsidR="00E83CE5" w:rsidRDefault="00F85581" w:rsidP="00D41553">
      <w:pPr>
        <w:tabs>
          <w:tab w:val="center" w:pos="4419"/>
        </w:tabs>
        <w:jc w:val="both"/>
        <w:rPr>
          <w:lang w:val="es-ES"/>
        </w:rPr>
      </w:pPr>
      <w:r w:rsidRPr="00D41553">
        <w:rPr>
          <w:lang w:val="es-ES"/>
        </w:rPr>
        <w:t>Los coeficientes asociados a los acuerdos de protección a inversión muestran que</w:t>
      </w:r>
      <w:r w:rsidR="00F936BB" w:rsidRPr="00D41553">
        <w:rPr>
          <w:lang w:val="es-ES"/>
        </w:rPr>
        <w:t xml:space="preserve">, </w:t>
      </w:r>
      <w:r w:rsidR="008B6AFC" w:rsidRPr="00D41553">
        <w:rPr>
          <w:lang w:val="es-ES"/>
        </w:rPr>
        <w:t>si</w:t>
      </w:r>
      <w:r w:rsidR="00215A94">
        <w:rPr>
          <w:lang w:val="es-ES"/>
        </w:rPr>
        <w:t xml:space="preserve"> el país de origen</w:t>
      </w:r>
      <w:r w:rsidR="008B6AFC" w:rsidRPr="00D41553">
        <w:rPr>
          <w:lang w:val="es-ES"/>
        </w:rPr>
        <w:t xml:space="preserve"> cuenta con un acuerdo de protección </w:t>
      </w:r>
      <w:r w:rsidR="00F736FB">
        <w:rPr>
          <w:lang w:val="es-ES"/>
        </w:rPr>
        <w:t>de</w:t>
      </w:r>
      <w:r w:rsidR="008B6AFC" w:rsidRPr="00D41553">
        <w:rPr>
          <w:lang w:val="es-ES"/>
        </w:rPr>
        <w:t xml:space="preserve"> inversi</w:t>
      </w:r>
      <w:r w:rsidR="00F736FB">
        <w:rPr>
          <w:lang w:val="es-ES"/>
        </w:rPr>
        <w:t>ones</w:t>
      </w:r>
      <w:r w:rsidR="00215A94">
        <w:rPr>
          <w:lang w:val="es-ES"/>
        </w:rPr>
        <w:t xml:space="preserve"> con Colombia</w:t>
      </w:r>
      <w:r w:rsidR="00A26C7C" w:rsidRPr="00D41553">
        <w:rPr>
          <w:lang w:val="es-ES"/>
        </w:rPr>
        <w:t>,</w:t>
      </w:r>
      <w:r w:rsidR="008B6AFC" w:rsidRPr="00D41553">
        <w:rPr>
          <w:lang w:val="es-ES"/>
        </w:rPr>
        <w:t xml:space="preserve"> </w:t>
      </w:r>
      <w:r w:rsidR="0050654F" w:rsidRPr="00D41553">
        <w:rPr>
          <w:lang w:val="es-ES"/>
        </w:rPr>
        <w:t xml:space="preserve">la IED aumenta en promedio </w:t>
      </w:r>
      <w:r w:rsidR="00C624BF">
        <w:rPr>
          <w:lang w:val="es-ES"/>
        </w:rPr>
        <w:t>un</w:t>
      </w:r>
      <w:r w:rsidR="0050654F" w:rsidRPr="00D41553">
        <w:rPr>
          <w:lang w:val="es-ES"/>
        </w:rPr>
        <w:t xml:space="preserve"> </w:t>
      </w:r>
      <w:r w:rsidR="009A48A6" w:rsidRPr="00D41553">
        <w:rPr>
          <w:lang w:val="es-ES"/>
        </w:rPr>
        <w:t>5</w:t>
      </w:r>
      <w:r w:rsidR="00C624BF">
        <w:rPr>
          <w:lang w:val="es-ES"/>
        </w:rPr>
        <w:t>6</w:t>
      </w:r>
      <w:r w:rsidR="009A48A6" w:rsidRPr="00D41553">
        <w:rPr>
          <w:lang w:val="es-ES"/>
        </w:rPr>
        <w:t>% para los dos primeros modelos,</w:t>
      </w:r>
      <w:r w:rsidR="00495563" w:rsidRPr="00D41553">
        <w:rPr>
          <w:lang w:val="es-ES"/>
        </w:rPr>
        <w:t xml:space="preserve"> manteniendo las demás variables constantes. </w:t>
      </w:r>
      <w:r w:rsidR="00C8298B" w:rsidRPr="00D41553">
        <w:rPr>
          <w:lang w:val="es-ES"/>
        </w:rPr>
        <w:t xml:space="preserve">Así, se evidencia de </w:t>
      </w:r>
      <w:r w:rsidR="00B55C56">
        <w:rPr>
          <w:lang w:val="es-ES"/>
        </w:rPr>
        <w:t>manera</w:t>
      </w:r>
      <w:r w:rsidR="00C8298B" w:rsidRPr="00D41553">
        <w:rPr>
          <w:lang w:val="es-ES"/>
        </w:rPr>
        <w:t xml:space="preserve"> práctica </w:t>
      </w:r>
      <w:r w:rsidR="004F18CE" w:rsidRPr="00D41553">
        <w:rPr>
          <w:lang w:val="es-ES"/>
        </w:rPr>
        <w:t xml:space="preserve">que dichos acuerdos proporcionan </w:t>
      </w:r>
      <w:r w:rsidR="006D319C" w:rsidRPr="00D41553">
        <w:rPr>
          <w:lang w:val="es-ES"/>
        </w:rPr>
        <w:t xml:space="preserve">un </w:t>
      </w:r>
      <w:r w:rsidR="00C624BF">
        <w:rPr>
          <w:lang w:val="es-ES"/>
        </w:rPr>
        <w:t>entorno</w:t>
      </w:r>
      <w:r w:rsidR="006D319C" w:rsidRPr="00D41553">
        <w:rPr>
          <w:lang w:val="es-ES"/>
        </w:rPr>
        <w:t xml:space="preserve"> favorable </w:t>
      </w:r>
      <w:r w:rsidR="00C624BF">
        <w:rPr>
          <w:lang w:val="es-ES"/>
        </w:rPr>
        <w:t>par</w:t>
      </w:r>
      <w:r w:rsidR="006D319C" w:rsidRPr="00D41553">
        <w:rPr>
          <w:lang w:val="es-ES"/>
        </w:rPr>
        <w:t>a la inversión</w:t>
      </w:r>
      <w:r w:rsidR="004F18CE" w:rsidRPr="00D41553">
        <w:rPr>
          <w:lang w:val="es-ES"/>
        </w:rPr>
        <w:t xml:space="preserve">, lo cual </w:t>
      </w:r>
      <w:r w:rsidR="00AC4F37">
        <w:rPr>
          <w:lang w:val="es-ES"/>
        </w:rPr>
        <w:t xml:space="preserve">se puede traducir en la </w:t>
      </w:r>
      <w:r w:rsidR="00D633AB">
        <w:rPr>
          <w:lang w:val="es-ES"/>
        </w:rPr>
        <w:t xml:space="preserve">reducción de </w:t>
      </w:r>
      <w:r w:rsidR="00B55C56">
        <w:rPr>
          <w:lang w:val="es-ES"/>
        </w:rPr>
        <w:t xml:space="preserve">la </w:t>
      </w:r>
      <w:r w:rsidR="006D319C" w:rsidRPr="00D41553">
        <w:rPr>
          <w:lang w:val="es-ES"/>
        </w:rPr>
        <w:lastRenderedPageBreak/>
        <w:t xml:space="preserve">incertidumbre política y jurídica que </w:t>
      </w:r>
      <w:r w:rsidR="00D633AB">
        <w:rPr>
          <w:lang w:val="es-ES"/>
        </w:rPr>
        <w:t>podría</w:t>
      </w:r>
      <w:r w:rsidR="004F18CE" w:rsidRPr="00D41553">
        <w:rPr>
          <w:lang w:val="es-ES"/>
        </w:rPr>
        <w:t xml:space="preserve"> afectar </w:t>
      </w:r>
      <w:r w:rsidR="00B55C56">
        <w:rPr>
          <w:lang w:val="es-ES"/>
        </w:rPr>
        <w:t>e</w:t>
      </w:r>
      <w:r w:rsidR="006D319C" w:rsidRPr="00D41553">
        <w:rPr>
          <w:lang w:val="es-ES"/>
        </w:rPr>
        <w:t>l desarrollo de los proyectos de inversión</w:t>
      </w:r>
      <w:r w:rsidR="00FB615F">
        <w:rPr>
          <w:lang w:val="es-ES"/>
        </w:rPr>
        <w:t xml:space="preserve"> en el extranjero</w:t>
      </w:r>
      <w:r w:rsidR="006D319C" w:rsidRPr="00D41553">
        <w:rPr>
          <w:lang w:val="es-ES"/>
        </w:rPr>
        <w:t xml:space="preserve"> a los que </w:t>
      </w:r>
      <w:r w:rsidR="00FB615F">
        <w:rPr>
          <w:lang w:val="es-ES"/>
        </w:rPr>
        <w:t xml:space="preserve">la empresa </w:t>
      </w:r>
      <w:r w:rsidR="006D319C" w:rsidRPr="00D41553">
        <w:rPr>
          <w:lang w:val="es-ES"/>
        </w:rPr>
        <w:t>suele enfrentar</w:t>
      </w:r>
      <w:r w:rsidR="00FB615F">
        <w:rPr>
          <w:lang w:val="es-ES"/>
        </w:rPr>
        <w:t>se</w:t>
      </w:r>
      <w:r w:rsidR="00AC17A4">
        <w:rPr>
          <w:rStyle w:val="FootnoteReference"/>
          <w:lang w:val="es-ES"/>
        </w:rPr>
        <w:footnoteReference w:id="18"/>
      </w:r>
      <w:r w:rsidR="00D450F8" w:rsidRPr="00D41553">
        <w:rPr>
          <w:lang w:val="es-ES"/>
        </w:rPr>
        <w:t xml:space="preserve"> </w:t>
      </w:r>
    </w:p>
    <w:p w14:paraId="7EAC22B5" w14:textId="77777777" w:rsidR="00F736FB" w:rsidRDefault="00F736FB" w:rsidP="00D41553">
      <w:pPr>
        <w:tabs>
          <w:tab w:val="center" w:pos="4419"/>
        </w:tabs>
        <w:jc w:val="both"/>
        <w:rPr>
          <w:lang w:val="es-ES"/>
        </w:rPr>
      </w:pPr>
    </w:p>
    <w:p w14:paraId="777C140E" w14:textId="4852F11F" w:rsidR="00AC5BED" w:rsidRPr="003812DB" w:rsidRDefault="009A0F18" w:rsidP="003812DB">
      <w:pPr>
        <w:tabs>
          <w:tab w:val="center" w:pos="4419"/>
        </w:tabs>
        <w:jc w:val="both"/>
        <w:rPr>
          <w:lang w:val="es-ES"/>
        </w:rPr>
      </w:pPr>
      <w:r>
        <w:rPr>
          <w:lang w:val="es-ES"/>
        </w:rPr>
        <w:t>En el caso de</w:t>
      </w:r>
      <w:r w:rsidR="004E0720" w:rsidRPr="00D41553">
        <w:rPr>
          <w:lang w:val="es-ES"/>
        </w:rPr>
        <w:t xml:space="preserve"> </w:t>
      </w:r>
      <w:r w:rsidR="00505690" w:rsidRPr="00D41553">
        <w:rPr>
          <w:lang w:val="es-ES"/>
        </w:rPr>
        <w:t>los</w:t>
      </w:r>
      <w:r w:rsidR="00501413" w:rsidRPr="00D41553">
        <w:rPr>
          <w:lang w:val="es-ES"/>
        </w:rPr>
        <w:t xml:space="preserve"> acuerdos comerciales, </w:t>
      </w:r>
      <w:r w:rsidR="006A2E0C" w:rsidRPr="00D41553">
        <w:rPr>
          <w:lang w:val="es-ES"/>
        </w:rPr>
        <w:t xml:space="preserve">se observa </w:t>
      </w:r>
      <w:r w:rsidR="00042AD0" w:rsidRPr="00D41553">
        <w:rPr>
          <w:lang w:val="es-ES"/>
        </w:rPr>
        <w:t>que la</w:t>
      </w:r>
      <w:r w:rsidR="00771B75" w:rsidRPr="00D41553">
        <w:rPr>
          <w:lang w:val="es-ES"/>
        </w:rPr>
        <w:t xml:space="preserve"> IED </w:t>
      </w:r>
      <w:r w:rsidR="00005497" w:rsidRPr="00D41553">
        <w:rPr>
          <w:lang w:val="es-ES"/>
        </w:rPr>
        <w:t>que recibe Colombia es</w:t>
      </w:r>
      <w:r w:rsidR="001906A7">
        <w:rPr>
          <w:lang w:val="es-ES"/>
        </w:rPr>
        <w:t xml:space="preserve"> un</w:t>
      </w:r>
      <w:r w:rsidR="00005497" w:rsidRPr="00D41553">
        <w:rPr>
          <w:lang w:val="es-ES"/>
        </w:rPr>
        <w:t xml:space="preserve"> 60% mayor para </w:t>
      </w:r>
      <w:r w:rsidR="00042AD0" w:rsidRPr="00D41553">
        <w:rPr>
          <w:lang w:val="es-ES"/>
        </w:rPr>
        <w:t>los países con los que</w:t>
      </w:r>
      <w:r w:rsidR="004C1CAD">
        <w:rPr>
          <w:lang w:val="es-ES"/>
        </w:rPr>
        <w:t xml:space="preserve"> se</w:t>
      </w:r>
      <w:r w:rsidR="00042AD0" w:rsidRPr="00D41553">
        <w:rPr>
          <w:lang w:val="es-ES"/>
        </w:rPr>
        <w:t xml:space="preserve"> tiene acuerdos comerciales</w:t>
      </w:r>
      <w:r w:rsidR="004C1CAD">
        <w:rPr>
          <w:lang w:val="es-ES"/>
        </w:rPr>
        <w:t xml:space="preserve"> vigentes</w:t>
      </w:r>
      <w:r w:rsidR="00E75C6A" w:rsidRPr="00D41553">
        <w:rPr>
          <w:lang w:val="es-ES"/>
        </w:rPr>
        <w:t>, manteniendo las demás variables constantes</w:t>
      </w:r>
      <w:r w:rsidR="00DB5779" w:rsidRPr="00D41553">
        <w:rPr>
          <w:lang w:val="es-ES"/>
        </w:rPr>
        <w:t xml:space="preserve">. </w:t>
      </w:r>
      <w:r w:rsidR="00973948">
        <w:rPr>
          <w:lang w:val="es-ES"/>
        </w:rPr>
        <w:t xml:space="preserve">Este resultado </w:t>
      </w:r>
      <w:r w:rsidR="00DB5779" w:rsidRPr="00D41553">
        <w:rPr>
          <w:lang w:val="es-ES"/>
        </w:rPr>
        <w:t>puede explicar</w:t>
      </w:r>
      <w:r w:rsidR="00973948">
        <w:rPr>
          <w:lang w:val="es-ES"/>
        </w:rPr>
        <w:t>se por varias razones.</w:t>
      </w:r>
      <w:r w:rsidR="00390642" w:rsidRPr="00D41553">
        <w:rPr>
          <w:lang w:val="es-ES"/>
        </w:rPr>
        <w:t xml:space="preserve"> </w:t>
      </w:r>
      <w:r w:rsidR="00973948">
        <w:rPr>
          <w:lang w:val="es-ES"/>
        </w:rPr>
        <w:t>E</w:t>
      </w:r>
      <w:r w:rsidR="00390642" w:rsidRPr="00D41553">
        <w:rPr>
          <w:lang w:val="es-ES"/>
        </w:rPr>
        <w:t xml:space="preserve">n primer lugar, </w:t>
      </w:r>
      <w:r w:rsidR="00DB5779" w:rsidRPr="00D41553">
        <w:rPr>
          <w:lang w:val="es-ES"/>
        </w:rPr>
        <w:t xml:space="preserve">los países con los que se suscriben </w:t>
      </w:r>
      <w:r w:rsidR="004E3C52" w:rsidRPr="00D41553">
        <w:rPr>
          <w:lang w:val="es-ES"/>
        </w:rPr>
        <w:t>este tipo de</w:t>
      </w:r>
      <w:r w:rsidR="00DB5779" w:rsidRPr="00D41553">
        <w:rPr>
          <w:lang w:val="es-ES"/>
        </w:rPr>
        <w:t xml:space="preserve"> acuerdos </w:t>
      </w:r>
      <w:r w:rsidR="00223B06" w:rsidRPr="00D41553">
        <w:rPr>
          <w:lang w:val="es-ES"/>
        </w:rPr>
        <w:t xml:space="preserve">suelen </w:t>
      </w:r>
      <w:r w:rsidR="00FD5294" w:rsidRPr="00D41553">
        <w:rPr>
          <w:lang w:val="es-ES"/>
        </w:rPr>
        <w:t xml:space="preserve">ser economías desarrolladas </w:t>
      </w:r>
      <w:r w:rsidR="004E3C52" w:rsidRPr="00D41553">
        <w:rPr>
          <w:lang w:val="es-ES"/>
        </w:rPr>
        <w:t xml:space="preserve">que impulsan </w:t>
      </w:r>
      <w:r w:rsidR="000D54BB" w:rsidRPr="00D41553">
        <w:rPr>
          <w:lang w:val="es-ES"/>
        </w:rPr>
        <w:t>el comercio internacional</w:t>
      </w:r>
      <w:r w:rsidR="004E3C52" w:rsidRPr="00D41553">
        <w:rPr>
          <w:lang w:val="es-ES"/>
        </w:rPr>
        <w:t xml:space="preserve"> y</w:t>
      </w:r>
      <w:r w:rsidR="00FE3525" w:rsidRPr="00D41553">
        <w:rPr>
          <w:lang w:val="es-ES"/>
        </w:rPr>
        <w:t xml:space="preserve"> que tienen</w:t>
      </w:r>
      <w:r w:rsidR="00CC7122" w:rsidRPr="00D41553">
        <w:rPr>
          <w:lang w:val="es-ES"/>
        </w:rPr>
        <w:t>,</w:t>
      </w:r>
      <w:r w:rsidR="00FE3525" w:rsidRPr="00D41553">
        <w:rPr>
          <w:lang w:val="es-ES"/>
        </w:rPr>
        <w:t xml:space="preserve"> por lo tanto, un</w:t>
      </w:r>
      <w:r w:rsidR="008F333F" w:rsidRPr="00D41553">
        <w:rPr>
          <w:lang w:val="es-ES"/>
        </w:rPr>
        <w:t xml:space="preserve"> mayor nivel de inversiones en </w:t>
      </w:r>
      <w:r w:rsidR="00586C71" w:rsidRPr="00D41553">
        <w:rPr>
          <w:lang w:val="es-ES"/>
        </w:rPr>
        <w:t>países como Colombia</w:t>
      </w:r>
      <w:r w:rsidR="00631A04" w:rsidRPr="00D41553">
        <w:rPr>
          <w:lang w:val="es-ES"/>
        </w:rPr>
        <w:t>.</w:t>
      </w:r>
      <w:r w:rsidR="00EB5758">
        <w:rPr>
          <w:lang w:val="es-ES"/>
        </w:rPr>
        <w:t xml:space="preserve"> </w:t>
      </w:r>
      <w:r w:rsidR="00390642" w:rsidRPr="00D41553">
        <w:rPr>
          <w:lang w:val="es-ES"/>
        </w:rPr>
        <w:t xml:space="preserve">En segundo </w:t>
      </w:r>
      <w:r w:rsidR="00D50C73" w:rsidRPr="00D41553">
        <w:rPr>
          <w:lang w:val="es-ES"/>
        </w:rPr>
        <w:t>lugar</w:t>
      </w:r>
      <w:r w:rsidR="00390642" w:rsidRPr="00D41553">
        <w:rPr>
          <w:lang w:val="es-ES"/>
        </w:rPr>
        <w:t>,</w:t>
      </w:r>
      <w:r w:rsidR="00EB5758">
        <w:rPr>
          <w:lang w:val="es-ES"/>
        </w:rPr>
        <w:t xml:space="preserve"> </w:t>
      </w:r>
      <w:r w:rsidR="00E805FF" w:rsidRPr="00D41553">
        <w:rPr>
          <w:lang w:val="es-ES"/>
        </w:rPr>
        <w:t xml:space="preserve">estos acuerdos </w:t>
      </w:r>
      <w:r w:rsidR="00F12F46">
        <w:rPr>
          <w:lang w:val="es-ES"/>
        </w:rPr>
        <w:t>brindan</w:t>
      </w:r>
      <w:r w:rsidR="00E805FF" w:rsidRPr="00D41553">
        <w:rPr>
          <w:lang w:val="es-ES"/>
        </w:rPr>
        <w:t xml:space="preserve"> </w:t>
      </w:r>
      <w:r w:rsidR="00A07CC0" w:rsidRPr="00D41553">
        <w:rPr>
          <w:lang w:val="es-ES"/>
        </w:rPr>
        <w:t xml:space="preserve">reglas claras y predecibles para el comercio </w:t>
      </w:r>
      <w:r w:rsidR="00791668">
        <w:rPr>
          <w:lang w:val="es-ES"/>
        </w:rPr>
        <w:t xml:space="preserve">internacional </w:t>
      </w:r>
      <w:r w:rsidR="00A07CC0" w:rsidRPr="00D41553">
        <w:rPr>
          <w:lang w:val="es-ES"/>
        </w:rPr>
        <w:t xml:space="preserve">y la inversión, lo que reduce la incertidumbre y el riesgo asociado con las transacciones internacionales. Al </w:t>
      </w:r>
      <w:r w:rsidR="00F12F46">
        <w:rPr>
          <w:lang w:val="es-ES"/>
        </w:rPr>
        <w:t>proporcionar</w:t>
      </w:r>
      <w:r w:rsidR="00A07CC0" w:rsidRPr="00D41553">
        <w:rPr>
          <w:lang w:val="es-ES"/>
        </w:rPr>
        <w:t xml:space="preserve"> un marco jurídico y regulatorio estable, los acuerdos comerciales generan un entorno propicio para que las empresas extranjeras inviertan en el país receptor.</w:t>
      </w:r>
      <w:r w:rsidR="00101D43" w:rsidRPr="00D41553">
        <w:rPr>
          <w:lang w:val="es-ES"/>
        </w:rPr>
        <w:t xml:space="preserve"> </w:t>
      </w:r>
      <w:r w:rsidR="00390642" w:rsidRPr="00D41553">
        <w:rPr>
          <w:lang w:val="es-ES"/>
        </w:rPr>
        <w:t>En tercer lugar,</w:t>
      </w:r>
      <w:r w:rsidR="00BB40F4" w:rsidRPr="00D41553">
        <w:rPr>
          <w:lang w:val="es-ES"/>
        </w:rPr>
        <w:t xml:space="preserve"> </w:t>
      </w:r>
      <w:r w:rsidR="00A07CC0" w:rsidRPr="00D41553">
        <w:rPr>
          <w:lang w:val="es-ES"/>
        </w:rPr>
        <w:t xml:space="preserve">los beneficios económicos </w:t>
      </w:r>
      <w:r w:rsidR="00656274">
        <w:rPr>
          <w:lang w:val="es-ES"/>
        </w:rPr>
        <w:t>derivados</w:t>
      </w:r>
      <w:r w:rsidR="00A07CC0" w:rsidRPr="00D41553">
        <w:rPr>
          <w:lang w:val="es-ES"/>
        </w:rPr>
        <w:t xml:space="preserve"> de la liberalización del comercio</w:t>
      </w:r>
      <w:r w:rsidR="0049645F">
        <w:rPr>
          <w:lang w:val="es-ES"/>
        </w:rPr>
        <w:t xml:space="preserve"> también contribuyen a este resultado</w:t>
      </w:r>
      <w:r w:rsidR="00A07CC0" w:rsidRPr="00D41553">
        <w:rPr>
          <w:lang w:val="es-ES"/>
        </w:rPr>
        <w:t xml:space="preserve">. Al reducir las barreras arancelarias y no arancelarias, los acuerdos comerciales facilitan el acceso a nuevos mercados para las empresas extranjeras. Esto les permite expandir su alcance y aprovechar economías de escala, lo que a su vez puede aumentar su competitividad y rentabilidad. </w:t>
      </w:r>
    </w:p>
    <w:p w14:paraId="1C6A304A" w14:textId="77777777" w:rsidR="003A7FE3" w:rsidRPr="00000A8A" w:rsidRDefault="003A7FE3" w:rsidP="00155715">
      <w:pPr>
        <w:jc w:val="both"/>
        <w:rPr>
          <w:lang w:val="es-ES"/>
        </w:rPr>
      </w:pPr>
    </w:p>
    <w:p w14:paraId="1A87CEF6" w14:textId="77777777" w:rsidR="002E6940" w:rsidRPr="00000A8A" w:rsidRDefault="002E6940" w:rsidP="00155715">
      <w:pPr>
        <w:pStyle w:val="Heading2"/>
        <w:jc w:val="both"/>
        <w:rPr>
          <w:w w:val="105"/>
          <w:szCs w:val="24"/>
          <w:lang w:val="es-ES"/>
        </w:rPr>
      </w:pPr>
      <w:r w:rsidRPr="00000A8A">
        <w:rPr>
          <w:w w:val="105"/>
          <w:szCs w:val="24"/>
          <w:lang w:val="es-ES"/>
        </w:rPr>
        <w:t>Alcance y limitaciones</w:t>
      </w:r>
    </w:p>
    <w:p w14:paraId="4340CDC5" w14:textId="77777777" w:rsidR="00550BDD" w:rsidRPr="00000A8A" w:rsidRDefault="00550BDD" w:rsidP="00155715">
      <w:pPr>
        <w:jc w:val="both"/>
        <w:rPr>
          <w:w w:val="105"/>
          <w:lang w:val="es-ES"/>
        </w:rPr>
      </w:pPr>
    </w:p>
    <w:p w14:paraId="5632FA91" w14:textId="4B8A663C" w:rsidR="0011312C" w:rsidRPr="00000A8A" w:rsidRDefault="0011312C" w:rsidP="00155715">
      <w:pPr>
        <w:jc w:val="both"/>
        <w:rPr>
          <w:w w:val="105"/>
          <w:lang w:val="es-ES"/>
        </w:rPr>
      </w:pPr>
      <w:r w:rsidRPr="00000A8A">
        <w:rPr>
          <w:w w:val="105"/>
          <w:lang w:val="es-ES"/>
        </w:rPr>
        <w:t>Este estudio proporciona una comprensión más profunda sobre</w:t>
      </w:r>
      <w:r w:rsidR="00201BAA">
        <w:rPr>
          <w:w w:val="105"/>
          <w:lang w:val="es-ES"/>
        </w:rPr>
        <w:t xml:space="preserve"> cómo la Inversión Extranjera Directa en Colombia podría verse impactada por l</w:t>
      </w:r>
      <w:r w:rsidRPr="00000A8A">
        <w:rPr>
          <w:w w:val="105"/>
          <w:lang w:val="es-ES"/>
        </w:rPr>
        <w:t xml:space="preserve">os </w:t>
      </w:r>
      <w:proofErr w:type="spellStart"/>
      <w:r w:rsidRPr="00000A8A">
        <w:rPr>
          <w:w w:val="105"/>
          <w:lang w:val="es-ES"/>
        </w:rPr>
        <w:t>ADT</w:t>
      </w:r>
      <w:r w:rsidR="00FA1165" w:rsidRPr="00000A8A">
        <w:rPr>
          <w:w w:val="105"/>
          <w:lang w:val="es-ES"/>
        </w:rPr>
        <w:t>’</w:t>
      </w:r>
      <w:r w:rsidRPr="00000A8A">
        <w:rPr>
          <w:w w:val="105"/>
          <w:lang w:val="es-ES"/>
        </w:rPr>
        <w:t>s</w:t>
      </w:r>
      <w:proofErr w:type="spellEnd"/>
      <w:r w:rsidRPr="00000A8A">
        <w:rPr>
          <w:w w:val="105"/>
          <w:lang w:val="es-ES"/>
        </w:rPr>
        <w:t>,</w:t>
      </w:r>
      <w:r w:rsidR="0058328B">
        <w:rPr>
          <w:w w:val="105"/>
          <w:lang w:val="es-ES"/>
        </w:rPr>
        <w:t xml:space="preserve"> basado en un</w:t>
      </w:r>
      <w:r w:rsidR="00611DA4">
        <w:rPr>
          <w:w w:val="105"/>
          <w:lang w:val="es-ES"/>
        </w:rPr>
        <w:t>a evidencia empírica,</w:t>
      </w:r>
      <w:r w:rsidRPr="00000A8A">
        <w:rPr>
          <w:w w:val="105"/>
          <w:lang w:val="es-ES"/>
        </w:rPr>
        <w:t xml:space="preserve"> lo cual </w:t>
      </w:r>
      <w:r w:rsidR="00611DA4">
        <w:rPr>
          <w:w w:val="105"/>
          <w:lang w:val="es-ES"/>
        </w:rPr>
        <w:t>contribuye</w:t>
      </w:r>
      <w:r w:rsidR="00B17D1E" w:rsidRPr="00000A8A">
        <w:rPr>
          <w:w w:val="105"/>
          <w:lang w:val="es-ES"/>
        </w:rPr>
        <w:t xml:space="preserve"> </w:t>
      </w:r>
      <w:r w:rsidR="00611DA4">
        <w:rPr>
          <w:w w:val="105"/>
          <w:lang w:val="es-ES"/>
        </w:rPr>
        <w:t>a la compresión de las est</w:t>
      </w:r>
      <w:r w:rsidR="006B2516">
        <w:rPr>
          <w:w w:val="105"/>
          <w:lang w:val="es-ES"/>
        </w:rPr>
        <w:t xml:space="preserve">rategias de </w:t>
      </w:r>
      <w:r w:rsidRPr="00000A8A">
        <w:rPr>
          <w:w w:val="105"/>
          <w:lang w:val="es-ES"/>
        </w:rPr>
        <w:t>política tributaria</w:t>
      </w:r>
      <w:r w:rsidR="006B2516">
        <w:rPr>
          <w:w w:val="105"/>
          <w:lang w:val="es-ES"/>
        </w:rPr>
        <w:t xml:space="preserve"> sobre mecanismos de inversión</w:t>
      </w:r>
      <w:r w:rsidR="003458FC">
        <w:rPr>
          <w:w w:val="105"/>
          <w:lang w:val="es-ES"/>
        </w:rPr>
        <w:t xml:space="preserve"> en el país.</w:t>
      </w:r>
    </w:p>
    <w:p w14:paraId="31CC62C1" w14:textId="77777777" w:rsidR="0011312C" w:rsidRPr="00000A8A" w:rsidRDefault="0011312C" w:rsidP="00155715">
      <w:pPr>
        <w:jc w:val="both"/>
        <w:rPr>
          <w:w w:val="105"/>
          <w:lang w:val="es-ES"/>
        </w:rPr>
      </w:pPr>
    </w:p>
    <w:p w14:paraId="7CC37D4A" w14:textId="420F90E7" w:rsidR="0011312C" w:rsidRPr="00000A8A" w:rsidRDefault="00786B03" w:rsidP="00155715">
      <w:pPr>
        <w:jc w:val="both"/>
        <w:rPr>
          <w:w w:val="105"/>
          <w:lang w:val="es-ES"/>
        </w:rPr>
      </w:pPr>
      <w:r w:rsidRPr="00000A8A">
        <w:rPr>
          <w:w w:val="105"/>
          <w:lang w:val="es-ES"/>
        </w:rPr>
        <w:t xml:space="preserve">Además, </w:t>
      </w:r>
      <w:r w:rsidR="00B17D1E" w:rsidRPr="00000A8A">
        <w:rPr>
          <w:w w:val="105"/>
          <w:lang w:val="es-ES"/>
        </w:rPr>
        <w:t xml:space="preserve">presenta información </w:t>
      </w:r>
      <w:r w:rsidR="005B4AE7">
        <w:rPr>
          <w:w w:val="105"/>
          <w:lang w:val="es-ES"/>
        </w:rPr>
        <w:t>crítica</w:t>
      </w:r>
      <w:r w:rsidR="00B17D1E" w:rsidRPr="00000A8A">
        <w:rPr>
          <w:w w:val="105"/>
          <w:lang w:val="es-ES"/>
        </w:rPr>
        <w:t xml:space="preserve"> </w:t>
      </w:r>
      <w:r w:rsidR="0011312C" w:rsidRPr="00000A8A">
        <w:rPr>
          <w:w w:val="105"/>
          <w:lang w:val="es-ES"/>
        </w:rPr>
        <w:t xml:space="preserve">para </w:t>
      </w:r>
      <w:r w:rsidR="00FC1E73">
        <w:rPr>
          <w:w w:val="105"/>
          <w:lang w:val="es-ES"/>
        </w:rPr>
        <w:t>los responsables de formular políticas</w:t>
      </w:r>
      <w:r w:rsidR="008515C7">
        <w:rPr>
          <w:w w:val="105"/>
          <w:lang w:val="es-ES"/>
        </w:rPr>
        <w:t>, ya que estos resultados pueden orientar</w:t>
      </w:r>
      <w:r w:rsidR="00FC1E73">
        <w:rPr>
          <w:w w:val="105"/>
          <w:lang w:val="es-ES"/>
        </w:rPr>
        <w:t xml:space="preserve"> </w:t>
      </w:r>
      <w:r w:rsidR="0011312C" w:rsidRPr="00000A8A">
        <w:rPr>
          <w:w w:val="105"/>
          <w:lang w:val="es-ES"/>
        </w:rPr>
        <w:t>la toma de decisiones</w:t>
      </w:r>
      <w:r w:rsidR="00353EEF">
        <w:rPr>
          <w:w w:val="105"/>
          <w:lang w:val="es-ES"/>
        </w:rPr>
        <w:t xml:space="preserve"> y la formulación de políticas más efectivas para la promoción de inversión</w:t>
      </w:r>
      <w:r w:rsidR="00181C7F">
        <w:rPr>
          <w:w w:val="105"/>
          <w:lang w:val="es-ES"/>
        </w:rPr>
        <w:t>, y en consecuencia reva</w:t>
      </w:r>
      <w:r w:rsidR="007B6609">
        <w:rPr>
          <w:w w:val="105"/>
          <w:lang w:val="es-ES"/>
        </w:rPr>
        <w:t xml:space="preserve">luar el objeto de </w:t>
      </w:r>
      <w:r w:rsidR="005A14AF">
        <w:rPr>
          <w:w w:val="105"/>
          <w:lang w:val="es-ES"/>
        </w:rPr>
        <w:t>los acuerdos de doble tributación</w:t>
      </w:r>
      <w:r w:rsidR="00C42C4E">
        <w:rPr>
          <w:w w:val="105"/>
          <w:lang w:val="es-ES"/>
        </w:rPr>
        <w:t xml:space="preserve"> en el contexto de la atracción de inversión extranjera directa</w:t>
      </w:r>
      <w:r w:rsidR="007A5715">
        <w:rPr>
          <w:w w:val="105"/>
          <w:lang w:val="es-ES"/>
        </w:rPr>
        <w:t>.</w:t>
      </w:r>
    </w:p>
    <w:p w14:paraId="67F8BFD9" w14:textId="77777777" w:rsidR="0011312C" w:rsidRDefault="0011312C" w:rsidP="00155715">
      <w:pPr>
        <w:jc w:val="both"/>
        <w:rPr>
          <w:w w:val="105"/>
          <w:lang w:val="es-ES"/>
        </w:rPr>
      </w:pPr>
    </w:p>
    <w:p w14:paraId="4829904A" w14:textId="40183B0F" w:rsidR="0011312C" w:rsidRPr="00000A8A" w:rsidRDefault="00255109" w:rsidP="00155715">
      <w:pPr>
        <w:jc w:val="both"/>
        <w:rPr>
          <w:w w:val="105"/>
          <w:lang w:val="es-ES"/>
        </w:rPr>
      </w:pPr>
      <w:r w:rsidRPr="00000A8A">
        <w:rPr>
          <w:w w:val="105"/>
          <w:lang w:val="es-ES"/>
        </w:rPr>
        <w:t xml:space="preserve">Respecto </w:t>
      </w:r>
      <w:r w:rsidR="0028439C">
        <w:rPr>
          <w:w w:val="105"/>
          <w:lang w:val="es-ES"/>
        </w:rPr>
        <w:t>de</w:t>
      </w:r>
      <w:r w:rsidRPr="00000A8A">
        <w:rPr>
          <w:w w:val="105"/>
          <w:lang w:val="es-ES"/>
        </w:rPr>
        <w:t xml:space="preserve"> las limitaciones, es importante mencionar que e</w:t>
      </w:r>
      <w:r w:rsidR="0011312C" w:rsidRPr="00000A8A">
        <w:rPr>
          <w:w w:val="105"/>
          <w:lang w:val="es-ES"/>
        </w:rPr>
        <w:t xml:space="preserve">stablecer una relación causal directa entre los </w:t>
      </w:r>
      <w:proofErr w:type="spellStart"/>
      <w:r w:rsidR="0011312C" w:rsidRPr="00000A8A">
        <w:rPr>
          <w:w w:val="105"/>
          <w:lang w:val="es-ES"/>
        </w:rPr>
        <w:t>ADT</w:t>
      </w:r>
      <w:r w:rsidR="00FA1165" w:rsidRPr="00000A8A">
        <w:rPr>
          <w:w w:val="105"/>
          <w:lang w:val="es-ES"/>
        </w:rPr>
        <w:t>’</w:t>
      </w:r>
      <w:r w:rsidR="0011312C" w:rsidRPr="00000A8A">
        <w:rPr>
          <w:w w:val="105"/>
          <w:lang w:val="es-ES"/>
        </w:rPr>
        <w:t>s</w:t>
      </w:r>
      <w:proofErr w:type="spellEnd"/>
      <w:r w:rsidR="0011312C" w:rsidRPr="00000A8A">
        <w:rPr>
          <w:w w:val="105"/>
          <w:lang w:val="es-ES"/>
        </w:rPr>
        <w:t xml:space="preserve"> y la IED puede ser desafiante debido a la presencia de otros factores que también influyen en la IED, como las condiciones políticas y regulatorias</w:t>
      </w:r>
      <w:r w:rsidR="009444D3" w:rsidRPr="00000A8A">
        <w:rPr>
          <w:w w:val="105"/>
          <w:lang w:val="es-ES"/>
        </w:rPr>
        <w:t xml:space="preserve"> de cada país</w:t>
      </w:r>
      <w:r w:rsidR="007B1C1C" w:rsidRPr="00000A8A">
        <w:rPr>
          <w:w w:val="105"/>
          <w:lang w:val="es-ES"/>
        </w:rPr>
        <w:t>;</w:t>
      </w:r>
      <w:r w:rsidR="0011312C" w:rsidRPr="00000A8A">
        <w:rPr>
          <w:w w:val="105"/>
          <w:lang w:val="es-ES"/>
        </w:rPr>
        <w:t xml:space="preserve"> </w:t>
      </w:r>
      <w:r w:rsidR="007B1C1C" w:rsidRPr="00000A8A">
        <w:rPr>
          <w:w w:val="105"/>
          <w:lang w:val="es-ES"/>
        </w:rPr>
        <w:t>e</w:t>
      </w:r>
      <w:r w:rsidR="0011312C" w:rsidRPr="00000A8A">
        <w:rPr>
          <w:w w:val="105"/>
          <w:lang w:val="es-ES"/>
        </w:rPr>
        <w:t xml:space="preserve">l estudio podría enfrentar dificultades para aislar el efecto específico de los </w:t>
      </w:r>
      <w:proofErr w:type="spellStart"/>
      <w:r w:rsidR="0011312C" w:rsidRPr="00000A8A">
        <w:rPr>
          <w:w w:val="105"/>
          <w:lang w:val="es-ES"/>
        </w:rPr>
        <w:t>ADT</w:t>
      </w:r>
      <w:r w:rsidR="00FA1165" w:rsidRPr="00000A8A">
        <w:rPr>
          <w:w w:val="105"/>
          <w:lang w:val="es-ES"/>
        </w:rPr>
        <w:t>’</w:t>
      </w:r>
      <w:r w:rsidR="0011312C" w:rsidRPr="00000A8A">
        <w:rPr>
          <w:w w:val="105"/>
          <w:lang w:val="es-ES"/>
        </w:rPr>
        <w:t>s</w:t>
      </w:r>
      <w:proofErr w:type="spellEnd"/>
      <w:r w:rsidR="0011312C" w:rsidRPr="00000A8A">
        <w:rPr>
          <w:w w:val="105"/>
          <w:lang w:val="es-ES"/>
        </w:rPr>
        <w:t>.</w:t>
      </w:r>
    </w:p>
    <w:p w14:paraId="31E1DFDE" w14:textId="77777777" w:rsidR="007D7036" w:rsidRPr="00000A8A" w:rsidRDefault="007D7036" w:rsidP="00155715">
      <w:pPr>
        <w:jc w:val="both"/>
        <w:rPr>
          <w:w w:val="105"/>
          <w:lang w:val="es-ES"/>
        </w:rPr>
      </w:pPr>
    </w:p>
    <w:p w14:paraId="5B7EA355" w14:textId="39649255" w:rsidR="00550BDD" w:rsidRPr="00000A8A" w:rsidRDefault="00CB766D" w:rsidP="00155715">
      <w:pPr>
        <w:jc w:val="both"/>
        <w:rPr>
          <w:w w:val="105"/>
          <w:lang w:val="es-ES"/>
        </w:rPr>
      </w:pPr>
      <w:r w:rsidRPr="00000A8A">
        <w:rPr>
          <w:w w:val="105"/>
          <w:lang w:val="es-ES"/>
        </w:rPr>
        <w:t>Adicionalmente, se destaca que l</w:t>
      </w:r>
      <w:r w:rsidR="00E7040D" w:rsidRPr="00000A8A">
        <w:rPr>
          <w:w w:val="105"/>
          <w:lang w:val="es-ES"/>
        </w:rPr>
        <w:t xml:space="preserve">os resultados </w:t>
      </w:r>
      <w:r w:rsidR="002B678A">
        <w:rPr>
          <w:w w:val="105"/>
          <w:lang w:val="es-ES"/>
        </w:rPr>
        <w:t>d</w:t>
      </w:r>
      <w:r w:rsidR="00E7040D" w:rsidRPr="00000A8A">
        <w:rPr>
          <w:w w:val="105"/>
          <w:lang w:val="es-ES"/>
        </w:rPr>
        <w:t xml:space="preserve">el presente </w:t>
      </w:r>
      <w:r w:rsidR="002B678A">
        <w:rPr>
          <w:w w:val="105"/>
          <w:lang w:val="es-ES"/>
        </w:rPr>
        <w:t>estudio</w:t>
      </w:r>
      <w:r w:rsidR="00E7040D" w:rsidRPr="00000A8A">
        <w:rPr>
          <w:w w:val="105"/>
          <w:lang w:val="es-ES"/>
        </w:rPr>
        <w:t xml:space="preserve"> no son generalizados para el resto de </w:t>
      </w:r>
      <w:r w:rsidR="00685995" w:rsidRPr="00000A8A">
        <w:rPr>
          <w:w w:val="105"/>
          <w:lang w:val="es-ES"/>
        </w:rPr>
        <w:t>los países</w:t>
      </w:r>
      <w:r w:rsidR="00E7040D" w:rsidRPr="00000A8A">
        <w:rPr>
          <w:w w:val="105"/>
          <w:lang w:val="es-ES"/>
        </w:rPr>
        <w:t>,</w:t>
      </w:r>
      <w:r w:rsidR="00FA1165" w:rsidRPr="00000A8A">
        <w:rPr>
          <w:w w:val="105"/>
          <w:lang w:val="es-ES"/>
        </w:rPr>
        <w:t xml:space="preserve"> </w:t>
      </w:r>
      <w:r w:rsidR="00006D95" w:rsidRPr="00000A8A">
        <w:rPr>
          <w:w w:val="105"/>
          <w:lang w:val="es-ES"/>
        </w:rPr>
        <w:t xml:space="preserve">pues son específicos para el caso colombiano </w:t>
      </w:r>
      <w:r w:rsidR="00685995" w:rsidRPr="00000A8A">
        <w:rPr>
          <w:w w:val="105"/>
          <w:lang w:val="es-ES"/>
        </w:rPr>
        <w:t>en el periodo comprendido entre el 2007 y el 2022</w:t>
      </w:r>
      <w:r w:rsidR="00D70346" w:rsidRPr="00000A8A">
        <w:rPr>
          <w:w w:val="105"/>
          <w:lang w:val="es-ES"/>
        </w:rPr>
        <w:t>,</w:t>
      </w:r>
      <w:r w:rsidR="00C9147F" w:rsidRPr="00000A8A">
        <w:rPr>
          <w:w w:val="105"/>
          <w:lang w:val="es-ES"/>
        </w:rPr>
        <w:t xml:space="preserve"> por lo que no es posible </w:t>
      </w:r>
      <w:r w:rsidR="000E4580">
        <w:rPr>
          <w:w w:val="105"/>
          <w:lang w:val="es-ES"/>
        </w:rPr>
        <w:t>extender</w:t>
      </w:r>
      <w:r w:rsidR="0011312C" w:rsidRPr="00000A8A">
        <w:rPr>
          <w:w w:val="105"/>
          <w:lang w:val="es-ES"/>
        </w:rPr>
        <w:t xml:space="preserve"> los hallazgos a otros contextos. </w:t>
      </w:r>
    </w:p>
    <w:p w14:paraId="6627FBAE" w14:textId="77777777" w:rsidR="00C9147F" w:rsidRPr="00000A8A" w:rsidRDefault="00C9147F" w:rsidP="00155715">
      <w:pPr>
        <w:jc w:val="both"/>
        <w:rPr>
          <w:w w:val="105"/>
          <w:lang w:val="es-ES"/>
        </w:rPr>
      </w:pPr>
    </w:p>
    <w:p w14:paraId="34AD31DD" w14:textId="747A4A1F" w:rsidR="00BA1223" w:rsidRPr="00000A8A" w:rsidRDefault="00C9147F" w:rsidP="00155715">
      <w:pPr>
        <w:jc w:val="both"/>
        <w:rPr>
          <w:w w:val="105"/>
          <w:lang w:val="es-ES"/>
        </w:rPr>
      </w:pPr>
      <w:r w:rsidRPr="00000A8A">
        <w:rPr>
          <w:w w:val="105"/>
          <w:lang w:val="es-ES"/>
        </w:rPr>
        <w:t>Por último</w:t>
      </w:r>
      <w:r w:rsidR="00AC15F8" w:rsidRPr="00000A8A">
        <w:rPr>
          <w:w w:val="105"/>
          <w:lang w:val="es-ES"/>
        </w:rPr>
        <w:t xml:space="preserve">, respecto a la </w:t>
      </w:r>
      <w:r w:rsidR="00BA1223" w:rsidRPr="00000A8A">
        <w:rPr>
          <w:w w:val="105"/>
          <w:lang w:val="es-ES"/>
        </w:rPr>
        <w:t>endogeneidad por simultaneidad</w:t>
      </w:r>
      <w:r w:rsidR="00AC15F8" w:rsidRPr="00000A8A">
        <w:rPr>
          <w:w w:val="105"/>
          <w:lang w:val="es-ES"/>
        </w:rPr>
        <w:t>, d</w:t>
      </w:r>
      <w:r w:rsidR="001468AD" w:rsidRPr="00000A8A">
        <w:rPr>
          <w:rFonts w:cstheme="minorHAnsi"/>
          <w:lang w:val="es-ES"/>
        </w:rPr>
        <w:t>efiniendo</w:t>
      </w:r>
      <w:r w:rsidR="00BA1223" w:rsidRPr="00000A8A">
        <w:rPr>
          <w:rFonts w:cstheme="minorHAnsi"/>
          <w:lang w:val="es-ES"/>
        </w:rPr>
        <w:t xml:space="preserve"> la simultaneidad como el caso en el que la variable dependiente está influenciada por la variable independiente </w:t>
      </w:r>
      <w:r w:rsidR="00BA1223" w:rsidRPr="00000A8A">
        <w:rPr>
          <w:rFonts w:cstheme="minorHAnsi"/>
          <w:lang w:val="es-ES"/>
        </w:rPr>
        <w:lastRenderedPageBreak/>
        <w:t xml:space="preserve">y, a su vez, la variable independiente está influenciada por la variable dependiente; se debe recalcar que las variables macroeconómicas tomadas aquí, tales como PIB, PIB per e IPC son variables macroeconómicas propias de los países que, en efecto, pueden impactar sobre los flujos de IED que entran en Colombia; por su parte, la variable IED son los flujos unidireccionales, </w:t>
      </w:r>
      <w:r w:rsidR="000E4580">
        <w:rPr>
          <w:rFonts w:cstheme="minorHAnsi"/>
          <w:lang w:val="es-ES"/>
        </w:rPr>
        <w:t xml:space="preserve">que </w:t>
      </w:r>
      <w:r w:rsidR="00BA1223" w:rsidRPr="00000A8A">
        <w:rPr>
          <w:rFonts w:cstheme="minorHAnsi"/>
          <w:lang w:val="es-ES"/>
        </w:rPr>
        <w:t>hacen referencia a la cantidad de flujos que los países envían a Colombia y, por lo tanto, no influyen en las variables macroeconómicas de dichos países ya que presentan un porcentaje muy pequeño de sus flujos y son flujos salientes de estos países.</w:t>
      </w:r>
    </w:p>
    <w:p w14:paraId="735EC50C" w14:textId="77777777" w:rsidR="00BA1223" w:rsidRPr="00000A8A" w:rsidRDefault="00BA1223" w:rsidP="00155715">
      <w:pPr>
        <w:jc w:val="both"/>
        <w:rPr>
          <w:rFonts w:cstheme="minorHAnsi"/>
          <w:lang w:val="es-ES"/>
        </w:rPr>
      </w:pPr>
    </w:p>
    <w:p w14:paraId="15BA4E6E" w14:textId="34CA0872" w:rsidR="00BA1223" w:rsidRPr="00000A8A" w:rsidRDefault="00BA1223" w:rsidP="00155715">
      <w:pPr>
        <w:jc w:val="both"/>
        <w:rPr>
          <w:rFonts w:cstheme="minorHAnsi"/>
          <w:lang w:val="es-ES"/>
        </w:rPr>
      </w:pPr>
      <w:r w:rsidRPr="00000A8A">
        <w:rPr>
          <w:rFonts w:cstheme="minorHAnsi"/>
          <w:lang w:val="es-ES"/>
        </w:rPr>
        <w:t xml:space="preserve">Para la variable de interés ADT, aunque puede verse influenciada por los flujos de IED, es decir, países con mayores flujos en Colombia firmarán </w:t>
      </w:r>
      <w:proofErr w:type="spellStart"/>
      <w:r w:rsidRPr="00000A8A">
        <w:rPr>
          <w:rFonts w:cstheme="minorHAnsi"/>
          <w:lang w:val="es-ES"/>
        </w:rPr>
        <w:t>ADTs</w:t>
      </w:r>
      <w:proofErr w:type="spellEnd"/>
      <w:r w:rsidRPr="00000A8A">
        <w:rPr>
          <w:rFonts w:cstheme="minorHAnsi"/>
          <w:lang w:val="es-ES"/>
        </w:rPr>
        <w:t xml:space="preserve"> con el país, en los análisis descriptivos iniciales se puede evidenciar que hay países con grandes flujos de inversión que tienen </w:t>
      </w:r>
      <w:proofErr w:type="spellStart"/>
      <w:r w:rsidRPr="00000A8A">
        <w:rPr>
          <w:rFonts w:cstheme="minorHAnsi"/>
          <w:lang w:val="es-ES"/>
        </w:rPr>
        <w:t>ADTs</w:t>
      </w:r>
      <w:proofErr w:type="spellEnd"/>
      <w:r w:rsidRPr="00000A8A">
        <w:rPr>
          <w:rFonts w:cstheme="minorHAnsi"/>
          <w:lang w:val="es-ES"/>
        </w:rPr>
        <w:t xml:space="preserve"> y países que no los tienen. Este es el caso de Estados Unidos y España, ambos son países con grandes flujos de IED hacia Colombia; sin embargo, en el primer caso no se cuenta con </w:t>
      </w:r>
      <w:proofErr w:type="spellStart"/>
      <w:r w:rsidRPr="00000A8A">
        <w:rPr>
          <w:rFonts w:cstheme="minorHAnsi"/>
          <w:lang w:val="es-ES"/>
        </w:rPr>
        <w:t>ADTs</w:t>
      </w:r>
      <w:proofErr w:type="spellEnd"/>
      <w:r w:rsidRPr="00000A8A">
        <w:rPr>
          <w:rFonts w:cstheme="minorHAnsi"/>
          <w:lang w:val="es-ES"/>
        </w:rPr>
        <w:t xml:space="preserve"> y en el segundo caso sí; del mismo modo Panamá y Reino Unido; países que representan, junto con chile, el 54% del total acumulado de IED hacia Colombia entre 2007 y 2022.</w:t>
      </w:r>
    </w:p>
    <w:p w14:paraId="21145591" w14:textId="77777777" w:rsidR="003C1783" w:rsidRPr="00000A8A" w:rsidRDefault="003C1783" w:rsidP="00155715">
      <w:pPr>
        <w:jc w:val="both"/>
        <w:rPr>
          <w:rFonts w:cstheme="minorHAnsi"/>
          <w:lang w:val="es-ES"/>
        </w:rPr>
      </w:pPr>
    </w:p>
    <w:p w14:paraId="5C5B433A" w14:textId="77777777" w:rsidR="003C1783" w:rsidRPr="00000A8A" w:rsidRDefault="003C1783" w:rsidP="00155715">
      <w:pPr>
        <w:pStyle w:val="Heading2"/>
        <w:jc w:val="both"/>
        <w:rPr>
          <w:w w:val="105"/>
          <w:szCs w:val="24"/>
          <w:lang w:val="es-ES"/>
        </w:rPr>
      </w:pPr>
      <w:r w:rsidRPr="00000A8A">
        <w:rPr>
          <w:w w:val="105"/>
          <w:szCs w:val="24"/>
          <w:lang w:val="es-ES"/>
        </w:rPr>
        <w:t>Conclusiones</w:t>
      </w:r>
    </w:p>
    <w:p w14:paraId="342EE668" w14:textId="77777777" w:rsidR="003C1783" w:rsidRPr="00000A8A" w:rsidRDefault="003C1783" w:rsidP="00155715">
      <w:pPr>
        <w:jc w:val="both"/>
        <w:rPr>
          <w:lang w:val="es-ES"/>
        </w:rPr>
      </w:pPr>
    </w:p>
    <w:p w14:paraId="0649F190" w14:textId="12C4B59D" w:rsidR="003C1783" w:rsidRDefault="000A3FF0" w:rsidP="00155715">
      <w:pPr>
        <w:jc w:val="both"/>
        <w:rPr>
          <w:lang w:val="es-ES"/>
        </w:rPr>
      </w:pPr>
      <w:r w:rsidRPr="00000A8A">
        <w:rPr>
          <w:lang w:val="es-ES"/>
        </w:rPr>
        <w:t>Como se mencionó anteriormente, este documento busca evaluar los Acuerdos de Doble Tributación como herramientas de competitividad fiscal de cara a la atracción de inversión.</w:t>
      </w:r>
      <w:r w:rsidR="001B2B39" w:rsidRPr="00000A8A">
        <w:rPr>
          <w:lang w:val="es-ES"/>
        </w:rPr>
        <w:t xml:space="preserve"> Esto, considerando los tres métodos que son inherentes a los acuerdos a la hora de evitar la doble imposición</w:t>
      </w:r>
      <w:r w:rsidR="00075FA7" w:rsidRPr="00000A8A">
        <w:rPr>
          <w:lang w:val="es-ES"/>
        </w:rPr>
        <w:t xml:space="preserve"> en materia tributaria y para el caso de Colombia, para el impuesto sobre la renta</w:t>
      </w:r>
      <w:r w:rsidR="002659C6" w:rsidRPr="00000A8A">
        <w:rPr>
          <w:lang w:val="es-ES"/>
        </w:rPr>
        <w:t xml:space="preserve">: Crédito fiscal, deducción y exención.  </w:t>
      </w:r>
    </w:p>
    <w:p w14:paraId="56E4C671" w14:textId="77777777" w:rsidR="00387F9A" w:rsidRDefault="00387F9A" w:rsidP="00155715">
      <w:pPr>
        <w:jc w:val="both"/>
        <w:rPr>
          <w:lang w:val="es-ES"/>
        </w:rPr>
      </w:pPr>
    </w:p>
    <w:p w14:paraId="473F9511" w14:textId="227E92D4" w:rsidR="00387F9A" w:rsidRDefault="00387F9A" w:rsidP="00387F9A">
      <w:pPr>
        <w:jc w:val="both"/>
        <w:rPr>
          <w:lang w:val="es-ES"/>
        </w:rPr>
      </w:pPr>
      <w:r w:rsidRPr="00000A8A">
        <w:rPr>
          <w:lang w:val="es-ES"/>
        </w:rPr>
        <w:t>En un mundo globalizado y para Colombia, en un escenario de postconflicto</w:t>
      </w:r>
      <w:r w:rsidR="00BD6AAE">
        <w:rPr>
          <w:lang w:val="es-ES"/>
        </w:rPr>
        <w:t xml:space="preserve"> </w:t>
      </w:r>
      <w:r w:rsidRPr="00000A8A">
        <w:rPr>
          <w:lang w:val="es-ES"/>
        </w:rPr>
        <w:t>y</w:t>
      </w:r>
      <w:r w:rsidR="00BD6AAE">
        <w:rPr>
          <w:lang w:val="es-ES"/>
        </w:rPr>
        <w:t xml:space="preserve"> de</w:t>
      </w:r>
      <w:r w:rsidRPr="00000A8A">
        <w:rPr>
          <w:lang w:val="es-ES"/>
        </w:rPr>
        <w:t xml:space="preserve"> posicionamiento internacional tras su inserción a la OCDE y </w:t>
      </w:r>
      <w:r w:rsidR="002856F7">
        <w:rPr>
          <w:lang w:val="es-ES"/>
        </w:rPr>
        <w:t xml:space="preserve">de </w:t>
      </w:r>
      <w:r w:rsidR="00AB6839">
        <w:rPr>
          <w:lang w:val="es-ES"/>
        </w:rPr>
        <w:t xml:space="preserve">ser aliado </w:t>
      </w:r>
      <w:r w:rsidR="00BD6AAE">
        <w:rPr>
          <w:lang w:val="es-ES"/>
        </w:rPr>
        <w:t xml:space="preserve">preferencial </w:t>
      </w:r>
      <w:r w:rsidR="00AB6839">
        <w:rPr>
          <w:lang w:val="es-ES"/>
        </w:rPr>
        <w:t>estratégico</w:t>
      </w:r>
      <w:r w:rsidR="00BD6AAE">
        <w:rPr>
          <w:lang w:val="es-ES"/>
        </w:rPr>
        <w:t xml:space="preserve"> de</w:t>
      </w:r>
      <w:r w:rsidR="00AB6839">
        <w:rPr>
          <w:lang w:val="es-ES"/>
        </w:rPr>
        <w:t xml:space="preserve"> </w:t>
      </w:r>
      <w:r w:rsidRPr="00000A8A">
        <w:rPr>
          <w:lang w:val="es-ES"/>
        </w:rPr>
        <w:t xml:space="preserve">la OTAN, el país ha implementado una política de atracción de inversión para lograr el aterrizaje de distintas multinacionales que generen empleo y transferencia de conocimiento y además, un aumento de las exportaciones con la inserción de la economía local en las cadenas de suministro y cadenas globales de valor (CGV). </w:t>
      </w:r>
      <w:r>
        <w:rPr>
          <w:lang w:val="es-ES"/>
        </w:rPr>
        <w:t xml:space="preserve">Esto, se puede evidenciar a través de las campañas adelantadas por entidades como ProColombia y documentos del Ministerio de Comercio, Industria y Turismo (MinCIT).  </w:t>
      </w:r>
    </w:p>
    <w:p w14:paraId="557BBC6B" w14:textId="77777777" w:rsidR="00B7752A" w:rsidRDefault="00B7752A" w:rsidP="00387F9A">
      <w:pPr>
        <w:jc w:val="both"/>
        <w:rPr>
          <w:lang w:val="es-ES"/>
        </w:rPr>
      </w:pPr>
    </w:p>
    <w:p w14:paraId="691DCD4D" w14:textId="28CBB0FE" w:rsidR="00B7752A" w:rsidRDefault="00B7752A" w:rsidP="00B7752A">
      <w:pPr>
        <w:jc w:val="both"/>
        <w:rPr>
          <w:lang w:val="es-ES"/>
        </w:rPr>
      </w:pPr>
      <w:r w:rsidRPr="00000A8A">
        <w:rPr>
          <w:lang w:val="es-ES"/>
        </w:rPr>
        <w:t xml:space="preserve">En ese sentido, los </w:t>
      </w:r>
      <w:proofErr w:type="spellStart"/>
      <w:r w:rsidRPr="00000A8A">
        <w:rPr>
          <w:lang w:val="es-ES"/>
        </w:rPr>
        <w:t>ADTs</w:t>
      </w:r>
      <w:proofErr w:type="spellEnd"/>
      <w:r w:rsidRPr="00000A8A">
        <w:rPr>
          <w:lang w:val="es-ES"/>
        </w:rPr>
        <w:t xml:space="preserve"> se evaluaron como herramientas que hacen parte de la política de atracción de inversión de Colombia hacia el mundo, en un contexto de globalización, apertura económica y por supuesto postconflicto. Esto, en el entendido que los Acuerdos son herramientas que permiten a los inversionistas evitar la doble imposición, generar eficiencias a p</w:t>
      </w:r>
      <w:r w:rsidR="00410CEA">
        <w:rPr>
          <w:lang w:val="es-ES"/>
        </w:rPr>
        <w:t>artir de esto,</w:t>
      </w:r>
      <w:r w:rsidRPr="00000A8A">
        <w:rPr>
          <w:lang w:val="es-ES"/>
        </w:rPr>
        <w:t xml:space="preserve"> </w:t>
      </w:r>
      <w:proofErr w:type="gramStart"/>
      <w:r w:rsidRPr="00000A8A">
        <w:rPr>
          <w:lang w:val="es-ES"/>
        </w:rPr>
        <w:t>y</w:t>
      </w:r>
      <w:proofErr w:type="gramEnd"/>
      <w:r w:rsidRPr="00000A8A">
        <w:rPr>
          <w:lang w:val="es-ES"/>
        </w:rPr>
        <w:t xml:space="preserve"> además, un ahorro tributario. </w:t>
      </w:r>
    </w:p>
    <w:p w14:paraId="6436C914" w14:textId="77777777" w:rsidR="00410CEA" w:rsidRDefault="00410CEA" w:rsidP="00B7752A">
      <w:pPr>
        <w:jc w:val="both"/>
        <w:rPr>
          <w:lang w:val="es-ES"/>
        </w:rPr>
      </w:pPr>
    </w:p>
    <w:p w14:paraId="1D7FCFDB" w14:textId="146B813F" w:rsidR="00410CEA" w:rsidRDefault="00410CEA" w:rsidP="00410CEA">
      <w:pPr>
        <w:jc w:val="both"/>
        <w:rPr>
          <w:lang w:val="es-ES"/>
        </w:rPr>
      </w:pPr>
      <w:r w:rsidRPr="00000A8A">
        <w:rPr>
          <w:lang w:val="es-ES"/>
        </w:rPr>
        <w:t xml:space="preserve">Sin embargo, </w:t>
      </w:r>
      <w:r w:rsidR="004F60D6">
        <w:rPr>
          <w:lang w:val="es-ES"/>
        </w:rPr>
        <w:t xml:space="preserve">los resultados permiten </w:t>
      </w:r>
      <w:r w:rsidRPr="00000A8A">
        <w:rPr>
          <w:lang w:val="es-ES"/>
        </w:rPr>
        <w:t>identific</w:t>
      </w:r>
      <w:r w:rsidR="004F60D6">
        <w:rPr>
          <w:lang w:val="es-ES"/>
        </w:rPr>
        <w:t>ar</w:t>
      </w:r>
      <w:r w:rsidRPr="00000A8A">
        <w:rPr>
          <w:lang w:val="es-ES"/>
        </w:rPr>
        <w:t xml:space="preserve"> que el impacto de los </w:t>
      </w:r>
      <w:proofErr w:type="spellStart"/>
      <w:r w:rsidRPr="00000A8A">
        <w:rPr>
          <w:lang w:val="es-ES"/>
        </w:rPr>
        <w:t>ADTs</w:t>
      </w:r>
      <w:proofErr w:type="spellEnd"/>
      <w:r w:rsidRPr="00000A8A">
        <w:rPr>
          <w:lang w:val="es-ES"/>
        </w:rPr>
        <w:t xml:space="preserve"> sobre la entrada de flujos de inversión del mundo hacia </w:t>
      </w:r>
      <w:r w:rsidR="008F25A1" w:rsidRPr="00000A8A">
        <w:rPr>
          <w:lang w:val="es-ES"/>
        </w:rPr>
        <w:t>Colombia</w:t>
      </w:r>
      <w:r w:rsidRPr="00000A8A">
        <w:rPr>
          <w:lang w:val="es-ES"/>
        </w:rPr>
        <w:t xml:space="preserve"> pierde significancia estadística en el análisis</w:t>
      </w:r>
      <w:r w:rsidR="0080590D">
        <w:rPr>
          <w:lang w:val="es-ES"/>
        </w:rPr>
        <w:t>,</w:t>
      </w:r>
      <w:r w:rsidRPr="00000A8A">
        <w:rPr>
          <w:lang w:val="es-ES"/>
        </w:rPr>
        <w:t xml:space="preserve"> una vez se </w:t>
      </w:r>
      <w:r w:rsidR="00C602B8">
        <w:rPr>
          <w:lang w:val="es-ES"/>
        </w:rPr>
        <w:t>empiezan</w:t>
      </w:r>
      <w:r w:rsidRPr="00000A8A">
        <w:rPr>
          <w:lang w:val="es-ES"/>
        </w:rPr>
        <w:t xml:space="preserve"> a incluir variables que proporcionan un contexto económico de los países en observación (países inversionistas) </w:t>
      </w:r>
      <w:proofErr w:type="gramStart"/>
      <w:r w:rsidRPr="00000A8A">
        <w:rPr>
          <w:lang w:val="es-ES"/>
        </w:rPr>
        <w:t>y</w:t>
      </w:r>
      <w:proofErr w:type="gramEnd"/>
      <w:r w:rsidRPr="00000A8A">
        <w:rPr>
          <w:lang w:val="es-ES"/>
        </w:rPr>
        <w:t xml:space="preserve"> además, otras variables relativas a la diferencia en el impuesto sobre la renta, la tenencia o no de un acuerdo comercial y/o de protección de inversión, entre otras. Este resultado, es consistente en los tres modelos y </w:t>
      </w:r>
      <w:r w:rsidRPr="00000A8A">
        <w:rPr>
          <w:lang w:val="es-ES"/>
        </w:rPr>
        <w:lastRenderedPageBreak/>
        <w:t xml:space="preserve">muestra que, si únicamente se evalúan los flujos de inversión a partir de la </w:t>
      </w:r>
      <w:proofErr w:type="gramStart"/>
      <w:r w:rsidRPr="00000A8A">
        <w:rPr>
          <w:lang w:val="es-ES"/>
        </w:rPr>
        <w:t>entrada en vigencia</w:t>
      </w:r>
      <w:proofErr w:type="gramEnd"/>
      <w:r w:rsidRPr="00000A8A">
        <w:rPr>
          <w:lang w:val="es-ES"/>
        </w:rPr>
        <w:t xml:space="preserve"> de los acuerdos, el modelo y sus resultados son sesgados. </w:t>
      </w:r>
    </w:p>
    <w:p w14:paraId="293B26C3" w14:textId="77777777" w:rsidR="00EC3B03" w:rsidRDefault="00EC3B03" w:rsidP="00410CEA">
      <w:pPr>
        <w:jc w:val="both"/>
        <w:rPr>
          <w:lang w:val="es-ES"/>
        </w:rPr>
      </w:pPr>
    </w:p>
    <w:p w14:paraId="4FCA0D41" w14:textId="35B8C4F0" w:rsidR="00EC3B03" w:rsidRPr="00000A8A" w:rsidRDefault="00EC3B03" w:rsidP="00EC3B03">
      <w:pPr>
        <w:jc w:val="both"/>
        <w:rPr>
          <w:lang w:val="es-ES"/>
        </w:rPr>
      </w:pPr>
      <w:r w:rsidRPr="00000A8A">
        <w:rPr>
          <w:lang w:val="es-ES"/>
        </w:rPr>
        <w:t xml:space="preserve">Lo anterior, permite concluir que los acuerdos de doble tributación no juegan un papel significativo como herramienta de atracción de inversión en Colombia. Esto, considerando que los resultados del análisis muestran un peso considerable a otras herramientas </w:t>
      </w:r>
      <w:r w:rsidR="00E668E7" w:rsidRPr="00000A8A">
        <w:rPr>
          <w:lang w:val="es-ES"/>
        </w:rPr>
        <w:t>similares,</w:t>
      </w:r>
      <w:r w:rsidRPr="00000A8A">
        <w:rPr>
          <w:lang w:val="es-ES"/>
        </w:rPr>
        <w:t xml:space="preserve"> pero con propósitos distintos como lo son los acuerdos que propenden por la liberalización de comercio y la protección de inversión entre las partes, -en ambos casos, para todos los modelos, un impacto superior al 50%, dejando las demás variables constantes-.</w:t>
      </w:r>
    </w:p>
    <w:p w14:paraId="1BCE2E11" w14:textId="77777777" w:rsidR="00EC3B03" w:rsidRPr="00000A8A" w:rsidRDefault="00EC3B03" w:rsidP="00410CEA">
      <w:pPr>
        <w:jc w:val="both"/>
        <w:rPr>
          <w:lang w:val="es-ES"/>
        </w:rPr>
      </w:pPr>
    </w:p>
    <w:p w14:paraId="0FC98E0D" w14:textId="288973A3" w:rsidR="00E472D9" w:rsidRDefault="00E668E7" w:rsidP="00E668E7">
      <w:pPr>
        <w:jc w:val="both"/>
        <w:rPr>
          <w:lang w:val="es-ES"/>
        </w:rPr>
      </w:pPr>
      <w:r w:rsidRPr="00000A8A">
        <w:rPr>
          <w:lang w:val="es-ES"/>
        </w:rPr>
        <w:t xml:space="preserve">De esta manera, se podría pensar que los </w:t>
      </w:r>
      <w:proofErr w:type="spellStart"/>
      <w:r w:rsidRPr="00000A8A">
        <w:rPr>
          <w:lang w:val="es-ES"/>
        </w:rPr>
        <w:t>ADTs</w:t>
      </w:r>
      <w:proofErr w:type="spellEnd"/>
      <w:r w:rsidRPr="00000A8A">
        <w:rPr>
          <w:lang w:val="es-ES"/>
        </w:rPr>
        <w:t xml:space="preserve"> no son una herramienta efectiva para la atracción de inversión. No obstante, vale la pena resaltar, que quizás, el propósito por el que se negocian y suscriben este tipo de acuerdos, no sea relativo a la atracción de inversión sino</w:t>
      </w:r>
      <w:r w:rsidR="00DD072B">
        <w:rPr>
          <w:lang w:val="es-ES"/>
        </w:rPr>
        <w:t xml:space="preserve"> más bien</w:t>
      </w:r>
      <w:r w:rsidRPr="00000A8A">
        <w:rPr>
          <w:lang w:val="es-ES"/>
        </w:rPr>
        <w:t xml:space="preserve">, una herramienta de cooperación fiscal entre las entidades tributarias y administradoras de impuestos de los países. </w:t>
      </w:r>
    </w:p>
    <w:p w14:paraId="41BF5B16" w14:textId="77777777" w:rsidR="00E472D9" w:rsidRDefault="00E472D9" w:rsidP="00E668E7">
      <w:pPr>
        <w:jc w:val="both"/>
        <w:rPr>
          <w:lang w:val="es-ES"/>
        </w:rPr>
      </w:pPr>
    </w:p>
    <w:p w14:paraId="168D9B9A" w14:textId="1A6010C3" w:rsidR="00B432BE" w:rsidRDefault="00622786" w:rsidP="00155715">
      <w:pPr>
        <w:jc w:val="both"/>
        <w:rPr>
          <w:lang w:val="es-ES"/>
        </w:rPr>
      </w:pPr>
      <w:r w:rsidRPr="00000A8A">
        <w:rPr>
          <w:lang w:val="es-ES"/>
        </w:rPr>
        <w:t>Esto, podría inferirse, para el caso colombiano</w:t>
      </w:r>
      <w:r w:rsidR="00B432BE" w:rsidRPr="00000A8A">
        <w:rPr>
          <w:lang w:val="es-ES"/>
        </w:rPr>
        <w:t xml:space="preserve">, a partir del hecho de </w:t>
      </w:r>
      <w:r w:rsidR="00A57316" w:rsidRPr="00000A8A">
        <w:rPr>
          <w:lang w:val="es-ES"/>
        </w:rPr>
        <w:t>que,</w:t>
      </w:r>
      <w:r w:rsidR="00B432BE" w:rsidRPr="00000A8A">
        <w:rPr>
          <w:lang w:val="es-ES"/>
        </w:rPr>
        <w:t xml:space="preserve"> a diferencia de los acuerdos de libre comercio y los acuerdos de protección de inversión</w:t>
      </w:r>
      <w:r w:rsidR="00A174EF" w:rsidRPr="00000A8A">
        <w:rPr>
          <w:lang w:val="es-ES"/>
        </w:rPr>
        <w:t xml:space="preserve">, los </w:t>
      </w:r>
      <w:proofErr w:type="spellStart"/>
      <w:r w:rsidR="00A174EF" w:rsidRPr="00000A8A">
        <w:rPr>
          <w:lang w:val="es-ES"/>
        </w:rPr>
        <w:t>ADTs</w:t>
      </w:r>
      <w:proofErr w:type="spellEnd"/>
      <w:r w:rsidR="00B432BE" w:rsidRPr="00000A8A">
        <w:rPr>
          <w:lang w:val="es-ES"/>
        </w:rPr>
        <w:t xml:space="preserve"> no están </w:t>
      </w:r>
      <w:r w:rsidR="00A174EF" w:rsidRPr="00000A8A">
        <w:rPr>
          <w:lang w:val="es-ES"/>
        </w:rPr>
        <w:t>publicados</w:t>
      </w:r>
      <w:r w:rsidR="00B432BE" w:rsidRPr="00000A8A">
        <w:rPr>
          <w:lang w:val="es-ES"/>
        </w:rPr>
        <w:t xml:space="preserve"> en la página del Ministerio de Comercio, Industria y Turismo (MinCIT) sino en la página de la Dirección de Impuestos y Aduanas Nacionales (DIAN). Por tanto</w:t>
      </w:r>
      <w:r w:rsidR="001E704F" w:rsidRPr="00000A8A">
        <w:rPr>
          <w:lang w:val="es-ES"/>
        </w:rPr>
        <w:t xml:space="preserve">, </w:t>
      </w:r>
      <w:r w:rsidR="00B432BE" w:rsidRPr="00000A8A">
        <w:rPr>
          <w:lang w:val="es-ES"/>
        </w:rPr>
        <w:t xml:space="preserve">la naturaleza y </w:t>
      </w:r>
      <w:r w:rsidR="000221E4">
        <w:rPr>
          <w:lang w:val="es-ES"/>
        </w:rPr>
        <w:t xml:space="preserve">la razón </w:t>
      </w:r>
      <w:r w:rsidR="00B432BE" w:rsidRPr="00000A8A">
        <w:rPr>
          <w:lang w:val="es-ES"/>
        </w:rPr>
        <w:t xml:space="preserve">de ser de estos acuerdos </w:t>
      </w:r>
      <w:r w:rsidR="0039718C">
        <w:rPr>
          <w:lang w:val="es-ES"/>
        </w:rPr>
        <w:t xml:space="preserve">se relaciona más con </w:t>
      </w:r>
      <w:r w:rsidR="00B432BE" w:rsidRPr="00000A8A">
        <w:rPr>
          <w:lang w:val="es-ES"/>
        </w:rPr>
        <w:t>la generación de</w:t>
      </w:r>
      <w:r w:rsidR="001E704F" w:rsidRPr="00000A8A">
        <w:rPr>
          <w:lang w:val="es-ES"/>
        </w:rPr>
        <w:t xml:space="preserve"> eficiencia fiscal y tributaria y cooperación entre países</w:t>
      </w:r>
      <w:r w:rsidR="009D2648">
        <w:rPr>
          <w:lang w:val="es-ES"/>
        </w:rPr>
        <w:t>,</w:t>
      </w:r>
      <w:r w:rsidR="001E704F" w:rsidRPr="00000A8A">
        <w:rPr>
          <w:lang w:val="es-ES"/>
        </w:rPr>
        <w:t xml:space="preserve"> </w:t>
      </w:r>
      <w:r w:rsidR="00AF0D8B">
        <w:rPr>
          <w:lang w:val="es-ES"/>
        </w:rPr>
        <w:t>en lugar de estar orientados a</w:t>
      </w:r>
      <w:r w:rsidR="001E704F" w:rsidRPr="00000A8A">
        <w:rPr>
          <w:lang w:val="es-ES"/>
        </w:rPr>
        <w:t xml:space="preserve"> la atracción de inversión.</w:t>
      </w:r>
    </w:p>
    <w:p w14:paraId="2BFA50EB" w14:textId="77777777" w:rsidR="00BF759B" w:rsidRDefault="00BF759B" w:rsidP="00155715">
      <w:pPr>
        <w:jc w:val="both"/>
        <w:rPr>
          <w:lang w:val="es-ES"/>
        </w:rPr>
      </w:pPr>
    </w:p>
    <w:p w14:paraId="5DA441D3" w14:textId="343AE37B" w:rsidR="00BF759B" w:rsidRPr="00000A8A" w:rsidRDefault="00697912" w:rsidP="00BF759B">
      <w:pPr>
        <w:jc w:val="both"/>
        <w:rPr>
          <w:lang w:val="es-ES"/>
        </w:rPr>
      </w:pPr>
      <w:r>
        <w:rPr>
          <w:lang w:val="es-ES"/>
        </w:rPr>
        <w:t>En consecuencia</w:t>
      </w:r>
      <w:r w:rsidR="00BF759B">
        <w:rPr>
          <w:lang w:val="es-ES"/>
        </w:rPr>
        <w:t xml:space="preserve">, los resultados de este estudio desafían la noción convencional de que los acuerdos de doble tributación son altamente beneficiosos para </w:t>
      </w:r>
      <w:r w:rsidR="00654798">
        <w:rPr>
          <w:lang w:val="es-ES"/>
        </w:rPr>
        <w:t>promover</w:t>
      </w:r>
      <w:r w:rsidR="00BF759B">
        <w:rPr>
          <w:lang w:val="es-ES"/>
        </w:rPr>
        <w:t xml:space="preserve"> la inversión extranjera directa</w:t>
      </w:r>
      <w:r w:rsidR="00654798">
        <w:rPr>
          <w:lang w:val="es-ES"/>
        </w:rPr>
        <w:t xml:space="preserve">. Sugieren la posibilidad de que </w:t>
      </w:r>
      <w:r w:rsidR="00BF759B">
        <w:rPr>
          <w:lang w:val="es-ES"/>
        </w:rPr>
        <w:t xml:space="preserve">su impacto en la inversión esté disminuyendo con el tiempo, </w:t>
      </w:r>
      <w:r w:rsidR="00640DC5">
        <w:rPr>
          <w:lang w:val="es-ES"/>
        </w:rPr>
        <w:t xml:space="preserve">a pesar de la creciente </w:t>
      </w:r>
      <w:r w:rsidR="00BF759B">
        <w:rPr>
          <w:lang w:val="es-ES"/>
        </w:rPr>
        <w:t xml:space="preserve">tendencia </w:t>
      </w:r>
      <w:r w:rsidR="00640DC5">
        <w:rPr>
          <w:lang w:val="es-ES"/>
        </w:rPr>
        <w:t>en la</w:t>
      </w:r>
      <w:r w:rsidR="00BF759B">
        <w:rPr>
          <w:lang w:val="es-ES"/>
        </w:rPr>
        <w:t xml:space="preserve"> suscripción de </w:t>
      </w:r>
      <w:r w:rsidR="00640DC5">
        <w:rPr>
          <w:lang w:val="es-ES"/>
        </w:rPr>
        <w:t xml:space="preserve">este tipo de </w:t>
      </w:r>
      <w:r w:rsidR="00BF759B">
        <w:rPr>
          <w:lang w:val="es-ES"/>
        </w:rPr>
        <w:t xml:space="preserve">acuerdos </w:t>
      </w:r>
      <w:r w:rsidR="00DB09E8">
        <w:rPr>
          <w:lang w:val="es-ES"/>
        </w:rPr>
        <w:t xml:space="preserve">en </w:t>
      </w:r>
      <w:r w:rsidR="00BF759B">
        <w:rPr>
          <w:lang w:val="es-ES"/>
        </w:rPr>
        <w:t>l</w:t>
      </w:r>
      <w:r w:rsidR="00DB09E8">
        <w:rPr>
          <w:lang w:val="es-ES"/>
        </w:rPr>
        <w:t>a</w:t>
      </w:r>
      <w:r w:rsidR="00BF759B">
        <w:rPr>
          <w:lang w:val="es-ES"/>
        </w:rPr>
        <w:t>s últim</w:t>
      </w:r>
      <w:r w:rsidR="00DB09E8">
        <w:rPr>
          <w:lang w:val="es-ES"/>
        </w:rPr>
        <w:t>a</w:t>
      </w:r>
      <w:r w:rsidR="00BF759B">
        <w:rPr>
          <w:lang w:val="es-ES"/>
        </w:rPr>
        <w:t xml:space="preserve">s </w:t>
      </w:r>
      <w:r w:rsidR="00DB09E8">
        <w:rPr>
          <w:lang w:val="es-ES"/>
        </w:rPr>
        <w:t>dos décadas</w:t>
      </w:r>
      <w:r w:rsidR="00BF759B">
        <w:rPr>
          <w:lang w:val="es-ES"/>
        </w:rPr>
        <w:t xml:space="preserve">. </w:t>
      </w:r>
      <w:r w:rsidR="00D540CF">
        <w:rPr>
          <w:lang w:val="es-ES"/>
        </w:rPr>
        <w:t xml:space="preserve">Estos hallazgos se enmarcan en el contexto de una </w:t>
      </w:r>
      <w:r w:rsidR="00314250">
        <w:rPr>
          <w:lang w:val="es-ES"/>
        </w:rPr>
        <w:t>creciente</w:t>
      </w:r>
      <w:r w:rsidR="00BF759B">
        <w:rPr>
          <w:lang w:val="es-ES"/>
        </w:rPr>
        <w:t xml:space="preserve"> interdependencia entre países, y </w:t>
      </w:r>
      <w:r w:rsidR="00314250">
        <w:rPr>
          <w:lang w:val="es-ES"/>
        </w:rPr>
        <w:t xml:space="preserve">una mayor </w:t>
      </w:r>
      <w:r w:rsidR="00BF759B">
        <w:rPr>
          <w:lang w:val="es-ES"/>
        </w:rPr>
        <w:t>dependencia de las cadenas de suministro globales en el entorno de globalización</w:t>
      </w:r>
      <w:r w:rsidR="00D75121">
        <w:rPr>
          <w:lang w:val="es-ES"/>
        </w:rPr>
        <w:t>.</w:t>
      </w:r>
    </w:p>
    <w:p w14:paraId="1FD586E2" w14:textId="77777777" w:rsidR="00BF759B" w:rsidRDefault="00BF759B" w:rsidP="00155715">
      <w:pPr>
        <w:jc w:val="both"/>
        <w:rPr>
          <w:lang w:val="es-ES"/>
        </w:rPr>
      </w:pPr>
    </w:p>
    <w:p w14:paraId="19D5D3B3" w14:textId="6335C84B" w:rsidR="00082B8F" w:rsidRPr="00000A8A" w:rsidRDefault="00082B8F" w:rsidP="00082B8F">
      <w:pPr>
        <w:jc w:val="both"/>
        <w:rPr>
          <w:lang w:val="es-ES"/>
        </w:rPr>
      </w:pPr>
      <w:r w:rsidRPr="00000A8A">
        <w:rPr>
          <w:lang w:val="es-ES"/>
        </w:rPr>
        <w:t xml:space="preserve">Finalmente, vale la pena recalcar que este impacto en materia fiscal de los </w:t>
      </w:r>
      <w:proofErr w:type="spellStart"/>
      <w:r w:rsidRPr="00000A8A">
        <w:rPr>
          <w:lang w:val="es-ES"/>
        </w:rPr>
        <w:t>ADTs</w:t>
      </w:r>
      <w:proofErr w:type="spellEnd"/>
      <w:r w:rsidRPr="00000A8A">
        <w:rPr>
          <w:lang w:val="es-ES"/>
        </w:rPr>
        <w:t xml:space="preserve"> aún no se ha realizado para el caso colombiano y es importante, esto en la medida de que las autoridades diplomáticas, de comercio y política fiscal realizan esfuerzos considerables a la hora de negociar y suscribir este tipo de acuerdos. Pues, como ya se </w:t>
      </w:r>
      <w:r>
        <w:rPr>
          <w:lang w:val="es-ES"/>
        </w:rPr>
        <w:t>identificó en los resultados</w:t>
      </w:r>
      <w:r w:rsidRPr="00000A8A">
        <w:rPr>
          <w:lang w:val="es-ES"/>
        </w:rPr>
        <w:t>,</w:t>
      </w:r>
      <w:r>
        <w:rPr>
          <w:lang w:val="es-ES"/>
        </w:rPr>
        <w:t xml:space="preserve"> los </w:t>
      </w:r>
      <w:proofErr w:type="spellStart"/>
      <w:r>
        <w:rPr>
          <w:lang w:val="es-ES"/>
        </w:rPr>
        <w:t>ADTs</w:t>
      </w:r>
      <w:proofErr w:type="spellEnd"/>
      <w:r w:rsidRPr="00000A8A">
        <w:rPr>
          <w:lang w:val="es-ES"/>
        </w:rPr>
        <w:t xml:space="preserve"> no tienen efecto sobre la atracción de inversión y no generan aumentos significativos en comparación a instrumentos </w:t>
      </w:r>
      <w:r w:rsidR="00807E54">
        <w:rPr>
          <w:lang w:val="es-ES"/>
        </w:rPr>
        <w:t>de promoción de inversión</w:t>
      </w:r>
      <w:r w:rsidRPr="00000A8A">
        <w:rPr>
          <w:lang w:val="es-ES"/>
        </w:rPr>
        <w:t xml:space="preserve"> como lo son los acuerdos de libre comercio o a la protección de inversión. </w:t>
      </w:r>
    </w:p>
    <w:p w14:paraId="6AC753E1" w14:textId="77777777" w:rsidR="000E4B89" w:rsidRPr="00000A8A" w:rsidRDefault="000E4B89" w:rsidP="00155715">
      <w:pPr>
        <w:jc w:val="both"/>
        <w:rPr>
          <w:lang w:val="es-ES"/>
        </w:rPr>
      </w:pPr>
    </w:p>
    <w:sdt>
      <w:sdtPr>
        <w:id w:val="-1602028738"/>
        <w:docPartObj>
          <w:docPartGallery w:val="Bibliographies"/>
          <w:docPartUnique/>
        </w:docPartObj>
      </w:sdtPr>
      <w:sdtEndPr>
        <w:rPr>
          <w:rFonts w:ascii="Times New Roman" w:eastAsia="Times New Roman" w:hAnsi="Times New Roman" w:cs="Times New Roman"/>
          <w:color w:val="auto"/>
          <w:kern w:val="0"/>
          <w:sz w:val="24"/>
          <w:szCs w:val="24"/>
          <w:lang w:val="en-US"/>
          <w14:ligatures w14:val="none"/>
        </w:rPr>
      </w:sdtEndPr>
      <w:sdtContent>
        <w:p w14:paraId="0267FE80" w14:textId="31FE1B7B" w:rsidR="00235FBB" w:rsidRPr="00235FBB" w:rsidRDefault="000047F8" w:rsidP="00235FBB">
          <w:pPr>
            <w:pStyle w:val="Heading1"/>
            <w:rPr>
              <w:rFonts w:ascii="Times New Roman" w:hAnsi="Times New Roman"/>
              <w:b/>
              <w:w w:val="105"/>
              <w:kern w:val="0"/>
              <w:sz w:val="24"/>
              <w:szCs w:val="24"/>
              <w:lang w:val="es-ES"/>
              <w14:ligatures w14:val="none"/>
            </w:rPr>
          </w:pPr>
          <w:r w:rsidRPr="00235FBB">
            <w:rPr>
              <w:rFonts w:ascii="Times New Roman" w:hAnsi="Times New Roman"/>
              <w:b/>
              <w:w w:val="105"/>
              <w:kern w:val="0"/>
              <w:sz w:val="24"/>
              <w:szCs w:val="24"/>
              <w:lang w:val="es-ES"/>
              <w14:ligatures w14:val="none"/>
            </w:rPr>
            <w:t>Bibliogra</w:t>
          </w:r>
          <w:r w:rsidR="00AC02AC" w:rsidRPr="00235FBB">
            <w:rPr>
              <w:rFonts w:ascii="Times New Roman" w:hAnsi="Times New Roman"/>
              <w:b/>
              <w:w w:val="105"/>
              <w:kern w:val="0"/>
              <w:sz w:val="24"/>
              <w:szCs w:val="24"/>
              <w:lang w:val="es-ES"/>
              <w14:ligatures w14:val="none"/>
            </w:rPr>
            <w:t>fía</w:t>
          </w:r>
        </w:p>
        <w:sdt>
          <w:sdtPr>
            <w:id w:val="111145805"/>
            <w:bibliography/>
          </w:sdtPr>
          <w:sdtContent>
            <w:p w14:paraId="23031881" w14:textId="77777777" w:rsidR="00AC02AC" w:rsidRDefault="000047F8" w:rsidP="00AC02AC">
              <w:pPr>
                <w:pStyle w:val="Bibliography"/>
                <w:ind w:left="720" w:hanging="720"/>
                <w:rPr>
                  <w:noProof/>
                </w:rPr>
              </w:pPr>
              <w:r>
                <w:fldChar w:fldCharType="begin"/>
              </w:r>
              <w:r>
                <w:instrText xml:space="preserve"> BIBLIOGRAPHY </w:instrText>
              </w:r>
              <w:r>
                <w:fldChar w:fldCharType="separate"/>
              </w:r>
              <w:r w:rsidR="00AC02AC">
                <w:rPr>
                  <w:noProof/>
                </w:rPr>
                <w:t xml:space="preserve">Lee, S., &amp; Kim, D. (2021). The Impact of Tax Treaties on Foreign Direct Investment: the Evidence Reconsidered. </w:t>
              </w:r>
              <w:r w:rsidR="00AC02AC">
                <w:rPr>
                  <w:i/>
                  <w:iCs/>
                  <w:noProof/>
                </w:rPr>
                <w:t>SSRN</w:t>
              </w:r>
              <w:r w:rsidR="00AC02AC">
                <w:rPr>
                  <w:noProof/>
                </w:rPr>
                <w:t>.</w:t>
              </w:r>
            </w:p>
            <w:p w14:paraId="48CFD9AA" w14:textId="77777777" w:rsidR="00AC02AC" w:rsidRDefault="00AC02AC" w:rsidP="00AC02AC">
              <w:pPr>
                <w:pStyle w:val="Bibliography"/>
                <w:ind w:left="720" w:hanging="720"/>
                <w:rPr>
                  <w:noProof/>
                </w:rPr>
              </w:pPr>
              <w:r>
                <w:rPr>
                  <w:noProof/>
                </w:rPr>
                <w:t xml:space="preserve">Barthel, F., Busse, M., Krever, R., &amp; Neumayer, E. (2010). The Relationship between Double Taxation Treaties and Foreign Direct Investment. </w:t>
              </w:r>
              <w:r>
                <w:rPr>
                  <w:i/>
                  <w:iCs/>
                  <w:noProof/>
                </w:rPr>
                <w:t>SSRN</w:t>
              </w:r>
              <w:r>
                <w:rPr>
                  <w:noProof/>
                </w:rPr>
                <w:t>.</w:t>
              </w:r>
            </w:p>
            <w:p w14:paraId="1BB92550" w14:textId="77777777" w:rsidR="00235FBB" w:rsidRDefault="000047F8" w:rsidP="006A05A1">
              <w:r>
                <w:rPr>
                  <w:b/>
                  <w:bCs/>
                  <w:noProof/>
                </w:rPr>
                <w:lastRenderedPageBreak/>
                <w:fldChar w:fldCharType="end"/>
              </w:r>
            </w:p>
          </w:sdtContent>
        </w:sdt>
      </w:sdtContent>
    </w:sdt>
    <w:p w14:paraId="1F179197" w14:textId="4462C1FF" w:rsidR="005B14BF" w:rsidRPr="005F00D2" w:rsidRDefault="002E6940" w:rsidP="005F00D2">
      <w:pPr>
        <w:pStyle w:val="Heading1"/>
        <w:jc w:val="center"/>
        <w:rPr>
          <w:rFonts w:ascii="Times New Roman" w:hAnsi="Times New Roman" w:cs="Times New Roman"/>
          <w:b/>
          <w:bCs/>
          <w:w w:val="105"/>
          <w:sz w:val="24"/>
          <w:szCs w:val="24"/>
        </w:rPr>
      </w:pPr>
      <w:r w:rsidRPr="005F00D2">
        <w:rPr>
          <w:rFonts w:ascii="Times New Roman" w:hAnsi="Times New Roman" w:cs="Times New Roman"/>
          <w:b/>
          <w:bCs/>
          <w:w w:val="105"/>
          <w:sz w:val="24"/>
          <w:szCs w:val="24"/>
        </w:rPr>
        <w:t>Anexos</w:t>
      </w:r>
    </w:p>
    <w:p w14:paraId="173434F0" w14:textId="77777777" w:rsidR="00235FBB" w:rsidRDefault="00235FBB" w:rsidP="00235FBB">
      <w:pPr>
        <w:pStyle w:val="Caption"/>
        <w:rPr>
          <w:rFonts w:ascii="Garamond" w:hAnsi="Garamond"/>
          <w:b/>
          <w:i w:val="0"/>
          <w:color w:val="000000" w:themeColor="text1"/>
          <w:sz w:val="24"/>
          <w:szCs w:val="24"/>
          <w:lang w:val="es-CO"/>
        </w:rPr>
      </w:pPr>
    </w:p>
    <w:p w14:paraId="38F6F1DF" w14:textId="59071982" w:rsidR="00DC405A" w:rsidRPr="00540F24" w:rsidRDefault="00DC405A" w:rsidP="00AC711D">
      <w:pPr>
        <w:pStyle w:val="Heading2"/>
        <w:rPr>
          <w:lang w:val="es-CO"/>
        </w:rPr>
      </w:pPr>
      <w:r w:rsidRPr="00540F24">
        <w:rPr>
          <w:lang w:val="es-CO"/>
        </w:rPr>
        <w:t xml:space="preserve">Anexo </w:t>
      </w:r>
      <w:r w:rsidRPr="00540F24">
        <w:fldChar w:fldCharType="begin"/>
      </w:r>
      <w:r w:rsidRPr="00540F24">
        <w:rPr>
          <w:lang w:val="es-ES"/>
        </w:rPr>
        <w:instrText xml:space="preserve"> SEQ Anexo \* ARABIC </w:instrText>
      </w:r>
      <w:r w:rsidRPr="00540F24">
        <w:fldChar w:fldCharType="separate"/>
      </w:r>
      <w:r w:rsidRPr="00540F24">
        <w:rPr>
          <w:lang w:val="es-CO"/>
        </w:rPr>
        <w:t>1</w:t>
      </w:r>
      <w:r w:rsidRPr="00540F24">
        <w:fldChar w:fldCharType="end"/>
      </w:r>
      <w:r w:rsidR="00F203FC" w:rsidRPr="00540F24">
        <w:rPr>
          <w:lang w:val="es-CO"/>
        </w:rPr>
        <w:t xml:space="preserve">: Acuerdos de doble tributación </w:t>
      </w:r>
      <w:r w:rsidR="00235FBB" w:rsidRPr="00540F24">
        <w:rPr>
          <w:lang w:val="es-CO"/>
        </w:rPr>
        <w:t>suscritos</w:t>
      </w:r>
      <w:r w:rsidR="00AC711D" w:rsidRPr="00540F24">
        <w:rPr>
          <w:lang w:val="es-CO"/>
        </w:rPr>
        <w:t xml:space="preserve"> entre </w:t>
      </w:r>
      <w:r w:rsidR="00F203FC" w:rsidRPr="00540F24">
        <w:rPr>
          <w:lang w:val="es-CO"/>
        </w:rPr>
        <w:t>Colombia</w:t>
      </w:r>
      <w:r w:rsidR="00AC711D" w:rsidRPr="00540F24">
        <w:rPr>
          <w:lang w:val="es-CO"/>
        </w:rPr>
        <w:t xml:space="preserve"> y otros países</w:t>
      </w:r>
    </w:p>
    <w:p w14:paraId="74A9D4D8" w14:textId="77777777" w:rsidR="00DC405A" w:rsidRPr="005513D8" w:rsidRDefault="00DC405A" w:rsidP="00155715">
      <w:pPr>
        <w:pStyle w:val="BodyText"/>
        <w:spacing w:before="201"/>
        <w:jc w:val="both"/>
        <w:rPr>
          <w:rFonts w:ascii="Garamond" w:hAnsi="Garamond" w:cstheme="minorBidi"/>
          <w:b/>
          <w:bCs/>
        </w:rPr>
      </w:pPr>
    </w:p>
    <w:tbl>
      <w:tblPr>
        <w:tblStyle w:val="TableGrid"/>
        <w:tblW w:w="9004" w:type="dxa"/>
        <w:tblLook w:val="04A0" w:firstRow="1" w:lastRow="0" w:firstColumn="1" w:lastColumn="0" w:noHBand="0" w:noVBand="1"/>
      </w:tblPr>
      <w:tblGrid>
        <w:gridCol w:w="3465"/>
        <w:gridCol w:w="2603"/>
        <w:gridCol w:w="2936"/>
      </w:tblGrid>
      <w:tr w:rsidR="00DC405A" w:rsidRPr="00AC711D" w14:paraId="3055D238" w14:textId="77777777" w:rsidTr="005F00D2">
        <w:trPr>
          <w:trHeight w:val="426"/>
        </w:trPr>
        <w:tc>
          <w:tcPr>
            <w:tcW w:w="3465" w:type="dxa"/>
            <w:shd w:val="clear" w:color="auto" w:fill="000000" w:themeFill="text1"/>
            <w:vAlign w:val="center"/>
          </w:tcPr>
          <w:p w14:paraId="325764B2" w14:textId="77777777" w:rsidR="00DC405A" w:rsidRPr="00AC711D" w:rsidRDefault="00DC405A" w:rsidP="00AC711D">
            <w:pPr>
              <w:spacing w:after="200" w:line="253" w:lineRule="atLeast"/>
              <w:jc w:val="center"/>
              <w:rPr>
                <w:b/>
                <w:bCs/>
                <w:color w:val="FFFFFF" w:themeColor="background1"/>
                <w:sz w:val="20"/>
                <w:szCs w:val="20"/>
              </w:rPr>
            </w:pPr>
            <w:r w:rsidRPr="00AC711D">
              <w:rPr>
                <w:b/>
                <w:bCs/>
                <w:color w:val="FFFFFF" w:themeColor="background1"/>
                <w:sz w:val="20"/>
                <w:szCs w:val="20"/>
              </w:rPr>
              <w:t>País</w:t>
            </w:r>
          </w:p>
        </w:tc>
        <w:tc>
          <w:tcPr>
            <w:tcW w:w="2603" w:type="dxa"/>
            <w:shd w:val="clear" w:color="auto" w:fill="000000" w:themeFill="text1"/>
            <w:vAlign w:val="center"/>
          </w:tcPr>
          <w:p w14:paraId="5DBECED0" w14:textId="77777777" w:rsidR="00DC405A" w:rsidRPr="00AC711D" w:rsidRDefault="00DC405A" w:rsidP="00AC711D">
            <w:pPr>
              <w:spacing w:after="200" w:line="253" w:lineRule="atLeast"/>
              <w:jc w:val="center"/>
              <w:rPr>
                <w:b/>
                <w:bCs/>
                <w:color w:val="FFFFFF" w:themeColor="background1"/>
                <w:sz w:val="20"/>
                <w:szCs w:val="20"/>
                <w:lang w:val="es-ES"/>
              </w:rPr>
            </w:pPr>
            <w:r w:rsidRPr="00AC711D">
              <w:rPr>
                <w:b/>
                <w:bCs/>
                <w:color w:val="FFFFFF" w:themeColor="background1"/>
                <w:sz w:val="20"/>
                <w:szCs w:val="20"/>
                <w:lang w:val="es-ES"/>
              </w:rPr>
              <w:t>Fecha de entrada en vigor</w:t>
            </w:r>
          </w:p>
        </w:tc>
        <w:tc>
          <w:tcPr>
            <w:tcW w:w="2936" w:type="dxa"/>
            <w:shd w:val="clear" w:color="auto" w:fill="000000" w:themeFill="text1"/>
            <w:vAlign w:val="center"/>
          </w:tcPr>
          <w:p w14:paraId="7C10ECB5" w14:textId="77777777" w:rsidR="00DC405A" w:rsidRPr="00AC711D" w:rsidRDefault="00DC405A" w:rsidP="00AC711D">
            <w:pPr>
              <w:spacing w:after="200" w:line="253" w:lineRule="atLeast"/>
              <w:jc w:val="center"/>
              <w:rPr>
                <w:b/>
                <w:bCs/>
                <w:color w:val="FFFFFF" w:themeColor="background1"/>
                <w:sz w:val="20"/>
                <w:szCs w:val="20"/>
                <w:lang w:val="es-ES"/>
              </w:rPr>
            </w:pPr>
            <w:r w:rsidRPr="00AC711D">
              <w:rPr>
                <w:b/>
                <w:bCs/>
                <w:color w:val="FFFFFF" w:themeColor="background1"/>
                <w:sz w:val="20"/>
                <w:szCs w:val="20"/>
                <w:lang w:val="es-ES"/>
              </w:rPr>
              <w:t>Ley que reglamenta el ADT</w:t>
            </w:r>
          </w:p>
        </w:tc>
      </w:tr>
      <w:tr w:rsidR="00DC405A" w:rsidRPr="00AC711D" w14:paraId="38AB66F4" w14:textId="77777777" w:rsidTr="005F00D2">
        <w:trPr>
          <w:trHeight w:val="426"/>
        </w:trPr>
        <w:tc>
          <w:tcPr>
            <w:tcW w:w="3465" w:type="dxa"/>
          </w:tcPr>
          <w:p w14:paraId="676E6890" w14:textId="77777777" w:rsidR="00DC405A" w:rsidRPr="00AC711D" w:rsidRDefault="00DC405A" w:rsidP="00155715">
            <w:pPr>
              <w:spacing w:after="200" w:line="253" w:lineRule="atLeast"/>
              <w:jc w:val="both"/>
              <w:rPr>
                <w:color w:val="000000"/>
                <w:sz w:val="20"/>
                <w:szCs w:val="20"/>
              </w:rPr>
            </w:pPr>
            <w:proofErr w:type="spellStart"/>
            <w:r w:rsidRPr="00AC711D">
              <w:rPr>
                <w:color w:val="000000"/>
                <w:sz w:val="20"/>
                <w:szCs w:val="20"/>
              </w:rPr>
              <w:t>Japón</w:t>
            </w:r>
            <w:proofErr w:type="spellEnd"/>
          </w:p>
        </w:tc>
        <w:tc>
          <w:tcPr>
            <w:tcW w:w="2603" w:type="dxa"/>
          </w:tcPr>
          <w:p w14:paraId="11AE3B53" w14:textId="77777777" w:rsidR="00DC405A" w:rsidRPr="00AC711D" w:rsidRDefault="00DC405A" w:rsidP="00155715">
            <w:pPr>
              <w:spacing w:after="200" w:line="253" w:lineRule="atLeast"/>
              <w:jc w:val="both"/>
              <w:rPr>
                <w:color w:val="000000"/>
                <w:sz w:val="20"/>
                <w:szCs w:val="20"/>
              </w:rPr>
            </w:pPr>
            <w:r w:rsidRPr="00AC711D">
              <w:rPr>
                <w:color w:val="000000"/>
                <w:sz w:val="20"/>
                <w:szCs w:val="20"/>
              </w:rPr>
              <w:t xml:space="preserve">4 de </w:t>
            </w:r>
            <w:proofErr w:type="spellStart"/>
            <w:r w:rsidRPr="00AC711D">
              <w:rPr>
                <w:color w:val="000000"/>
                <w:sz w:val="20"/>
                <w:szCs w:val="20"/>
              </w:rPr>
              <w:t>septiembre</w:t>
            </w:r>
            <w:proofErr w:type="spellEnd"/>
            <w:r w:rsidRPr="00AC711D">
              <w:rPr>
                <w:color w:val="000000"/>
                <w:sz w:val="20"/>
                <w:szCs w:val="20"/>
              </w:rPr>
              <w:t xml:space="preserve"> de 2022</w:t>
            </w:r>
          </w:p>
        </w:tc>
        <w:tc>
          <w:tcPr>
            <w:tcW w:w="2936" w:type="dxa"/>
          </w:tcPr>
          <w:p w14:paraId="64269EEA" w14:textId="77777777" w:rsidR="00DC405A" w:rsidRPr="00AC711D" w:rsidRDefault="00DC405A" w:rsidP="00155715">
            <w:pPr>
              <w:spacing w:after="200" w:line="253" w:lineRule="atLeast"/>
              <w:jc w:val="both"/>
              <w:rPr>
                <w:color w:val="000000"/>
                <w:sz w:val="20"/>
                <w:szCs w:val="20"/>
              </w:rPr>
            </w:pPr>
            <w:r w:rsidRPr="00AC711D">
              <w:rPr>
                <w:color w:val="000000"/>
                <w:sz w:val="20"/>
                <w:szCs w:val="20"/>
              </w:rPr>
              <w:t>Ley 2095 de 2021</w:t>
            </w:r>
          </w:p>
        </w:tc>
      </w:tr>
      <w:tr w:rsidR="00DC405A" w:rsidRPr="00AC711D" w14:paraId="54B0CCC9" w14:textId="77777777" w:rsidTr="005F00D2">
        <w:trPr>
          <w:trHeight w:val="426"/>
        </w:trPr>
        <w:tc>
          <w:tcPr>
            <w:tcW w:w="3465" w:type="dxa"/>
          </w:tcPr>
          <w:p w14:paraId="2299605B" w14:textId="77777777" w:rsidR="00DC405A" w:rsidRPr="00AC711D" w:rsidRDefault="00DC405A" w:rsidP="00155715">
            <w:pPr>
              <w:spacing w:after="200" w:line="253" w:lineRule="atLeast"/>
              <w:jc w:val="both"/>
              <w:rPr>
                <w:color w:val="000000"/>
                <w:sz w:val="20"/>
                <w:szCs w:val="20"/>
              </w:rPr>
            </w:pPr>
            <w:r w:rsidRPr="00AC711D">
              <w:rPr>
                <w:color w:val="000000"/>
                <w:sz w:val="20"/>
                <w:szCs w:val="20"/>
              </w:rPr>
              <w:t>Francia</w:t>
            </w:r>
          </w:p>
        </w:tc>
        <w:tc>
          <w:tcPr>
            <w:tcW w:w="2603" w:type="dxa"/>
          </w:tcPr>
          <w:p w14:paraId="711241FF" w14:textId="77777777" w:rsidR="00DC405A" w:rsidRPr="00AC711D" w:rsidRDefault="00DC405A" w:rsidP="00155715">
            <w:pPr>
              <w:spacing w:after="200" w:line="253" w:lineRule="atLeast"/>
              <w:jc w:val="both"/>
              <w:rPr>
                <w:color w:val="000000"/>
                <w:sz w:val="20"/>
                <w:szCs w:val="20"/>
              </w:rPr>
            </w:pPr>
            <w:r w:rsidRPr="00AC711D">
              <w:rPr>
                <w:color w:val="000000"/>
                <w:sz w:val="20"/>
                <w:szCs w:val="20"/>
              </w:rPr>
              <w:t xml:space="preserve">1 de </w:t>
            </w:r>
            <w:proofErr w:type="spellStart"/>
            <w:r w:rsidRPr="00AC711D">
              <w:rPr>
                <w:color w:val="000000"/>
                <w:sz w:val="20"/>
                <w:szCs w:val="20"/>
              </w:rPr>
              <w:t>enero</w:t>
            </w:r>
            <w:proofErr w:type="spellEnd"/>
            <w:r w:rsidRPr="00AC711D">
              <w:rPr>
                <w:color w:val="000000"/>
                <w:sz w:val="20"/>
                <w:szCs w:val="20"/>
              </w:rPr>
              <w:t xml:space="preserve"> de 2022</w:t>
            </w:r>
          </w:p>
        </w:tc>
        <w:tc>
          <w:tcPr>
            <w:tcW w:w="2936" w:type="dxa"/>
          </w:tcPr>
          <w:p w14:paraId="647AC3A7" w14:textId="77777777" w:rsidR="00DC405A" w:rsidRPr="00AC711D" w:rsidRDefault="00DC405A" w:rsidP="00155715">
            <w:pPr>
              <w:spacing w:after="200" w:line="253" w:lineRule="atLeast"/>
              <w:jc w:val="both"/>
              <w:rPr>
                <w:color w:val="000000"/>
                <w:sz w:val="20"/>
                <w:szCs w:val="20"/>
              </w:rPr>
            </w:pPr>
            <w:r w:rsidRPr="00AC711D">
              <w:rPr>
                <w:color w:val="000000"/>
                <w:sz w:val="20"/>
                <w:szCs w:val="20"/>
              </w:rPr>
              <w:t>Ley 2061 de 2020</w:t>
            </w:r>
          </w:p>
        </w:tc>
      </w:tr>
      <w:tr w:rsidR="00DC405A" w:rsidRPr="00AC711D" w14:paraId="1A1E5AA1" w14:textId="77777777" w:rsidTr="005F00D2">
        <w:trPr>
          <w:trHeight w:val="426"/>
        </w:trPr>
        <w:tc>
          <w:tcPr>
            <w:tcW w:w="3465" w:type="dxa"/>
          </w:tcPr>
          <w:p w14:paraId="1DAD232C" w14:textId="77777777" w:rsidR="00DC405A" w:rsidRPr="00AC711D" w:rsidRDefault="00DC405A" w:rsidP="00155715">
            <w:pPr>
              <w:spacing w:after="200" w:line="253" w:lineRule="atLeast"/>
              <w:jc w:val="both"/>
              <w:rPr>
                <w:color w:val="000000"/>
                <w:sz w:val="20"/>
                <w:szCs w:val="20"/>
              </w:rPr>
            </w:pPr>
            <w:r w:rsidRPr="00AC711D">
              <w:rPr>
                <w:color w:val="000000"/>
                <w:sz w:val="20"/>
                <w:szCs w:val="20"/>
              </w:rPr>
              <w:t>Italia</w:t>
            </w:r>
          </w:p>
        </w:tc>
        <w:tc>
          <w:tcPr>
            <w:tcW w:w="2603" w:type="dxa"/>
          </w:tcPr>
          <w:p w14:paraId="162B14E5" w14:textId="77777777" w:rsidR="00DC405A" w:rsidRPr="00AC711D" w:rsidRDefault="00DC405A" w:rsidP="00155715">
            <w:pPr>
              <w:spacing w:after="200" w:line="253" w:lineRule="atLeast"/>
              <w:jc w:val="both"/>
              <w:rPr>
                <w:color w:val="000000"/>
                <w:sz w:val="20"/>
                <w:szCs w:val="20"/>
              </w:rPr>
            </w:pPr>
            <w:r w:rsidRPr="00AC711D">
              <w:rPr>
                <w:color w:val="000000"/>
                <w:sz w:val="20"/>
                <w:szCs w:val="20"/>
              </w:rPr>
              <w:t xml:space="preserve">7 de </w:t>
            </w:r>
            <w:proofErr w:type="spellStart"/>
            <w:r w:rsidRPr="00AC711D">
              <w:rPr>
                <w:color w:val="000000"/>
                <w:sz w:val="20"/>
                <w:szCs w:val="20"/>
              </w:rPr>
              <w:t>octubre</w:t>
            </w:r>
            <w:proofErr w:type="spellEnd"/>
            <w:r w:rsidRPr="00AC711D">
              <w:rPr>
                <w:color w:val="000000"/>
                <w:sz w:val="20"/>
                <w:szCs w:val="20"/>
              </w:rPr>
              <w:t xml:space="preserve"> de 2021</w:t>
            </w:r>
          </w:p>
        </w:tc>
        <w:tc>
          <w:tcPr>
            <w:tcW w:w="2936" w:type="dxa"/>
          </w:tcPr>
          <w:p w14:paraId="0DCD5ABA" w14:textId="77777777" w:rsidR="00DC405A" w:rsidRPr="00AC711D" w:rsidRDefault="00DC405A" w:rsidP="00155715">
            <w:pPr>
              <w:spacing w:after="200" w:line="253" w:lineRule="atLeast"/>
              <w:jc w:val="both"/>
              <w:rPr>
                <w:color w:val="000000"/>
                <w:sz w:val="20"/>
                <w:szCs w:val="20"/>
              </w:rPr>
            </w:pPr>
            <w:r w:rsidRPr="00AC711D">
              <w:rPr>
                <w:color w:val="000000"/>
                <w:sz w:val="20"/>
                <w:szCs w:val="20"/>
              </w:rPr>
              <w:t>Ley 2004 de 2019</w:t>
            </w:r>
          </w:p>
        </w:tc>
      </w:tr>
      <w:tr w:rsidR="00DC405A" w:rsidRPr="00AC711D" w14:paraId="5D44CBC4" w14:textId="77777777" w:rsidTr="005F00D2">
        <w:trPr>
          <w:trHeight w:val="426"/>
        </w:trPr>
        <w:tc>
          <w:tcPr>
            <w:tcW w:w="3465" w:type="dxa"/>
          </w:tcPr>
          <w:p w14:paraId="198789CA" w14:textId="77777777" w:rsidR="00DC405A" w:rsidRPr="00AC711D" w:rsidRDefault="00DC405A" w:rsidP="00155715">
            <w:pPr>
              <w:spacing w:after="200" w:line="253" w:lineRule="atLeast"/>
              <w:jc w:val="both"/>
              <w:rPr>
                <w:color w:val="000000"/>
                <w:sz w:val="20"/>
                <w:szCs w:val="20"/>
              </w:rPr>
            </w:pPr>
            <w:r w:rsidRPr="00AC711D">
              <w:rPr>
                <w:color w:val="000000"/>
                <w:sz w:val="20"/>
                <w:szCs w:val="20"/>
              </w:rPr>
              <w:t>Reino Unido</w:t>
            </w:r>
          </w:p>
        </w:tc>
        <w:tc>
          <w:tcPr>
            <w:tcW w:w="2603" w:type="dxa"/>
          </w:tcPr>
          <w:p w14:paraId="7FBDBFCE" w14:textId="77777777" w:rsidR="00DC405A" w:rsidRPr="00AC711D" w:rsidRDefault="00DC405A" w:rsidP="00155715">
            <w:pPr>
              <w:spacing w:after="200" w:line="253" w:lineRule="atLeast"/>
              <w:jc w:val="both"/>
              <w:rPr>
                <w:color w:val="000000"/>
                <w:sz w:val="20"/>
                <w:szCs w:val="20"/>
              </w:rPr>
            </w:pPr>
            <w:r w:rsidRPr="00AC711D">
              <w:rPr>
                <w:color w:val="000000"/>
                <w:sz w:val="20"/>
                <w:szCs w:val="20"/>
              </w:rPr>
              <w:t>13 de diciembre de 2019</w:t>
            </w:r>
          </w:p>
        </w:tc>
        <w:tc>
          <w:tcPr>
            <w:tcW w:w="2936" w:type="dxa"/>
          </w:tcPr>
          <w:p w14:paraId="2D742F3C" w14:textId="77777777" w:rsidR="00DC405A" w:rsidRPr="00AC711D" w:rsidRDefault="00DC405A" w:rsidP="00155715">
            <w:pPr>
              <w:spacing w:after="200" w:line="253" w:lineRule="atLeast"/>
              <w:jc w:val="both"/>
              <w:rPr>
                <w:color w:val="000000"/>
                <w:sz w:val="20"/>
                <w:szCs w:val="20"/>
              </w:rPr>
            </w:pPr>
            <w:r w:rsidRPr="00AC711D">
              <w:rPr>
                <w:color w:val="000000"/>
                <w:sz w:val="20"/>
                <w:szCs w:val="20"/>
              </w:rPr>
              <w:t>Ley 1939 de 2018</w:t>
            </w:r>
          </w:p>
        </w:tc>
      </w:tr>
      <w:tr w:rsidR="00DC405A" w:rsidRPr="00AC711D" w14:paraId="4304D6BF" w14:textId="77777777" w:rsidTr="005F00D2">
        <w:trPr>
          <w:trHeight w:val="426"/>
        </w:trPr>
        <w:tc>
          <w:tcPr>
            <w:tcW w:w="3465" w:type="dxa"/>
          </w:tcPr>
          <w:p w14:paraId="3349F62C" w14:textId="77777777" w:rsidR="00DC405A" w:rsidRPr="00AC711D" w:rsidRDefault="00DC405A" w:rsidP="00155715">
            <w:pPr>
              <w:spacing w:after="200" w:line="253" w:lineRule="atLeast"/>
              <w:jc w:val="both"/>
              <w:rPr>
                <w:color w:val="000000"/>
                <w:sz w:val="20"/>
                <w:szCs w:val="20"/>
              </w:rPr>
            </w:pPr>
            <w:r w:rsidRPr="00AC711D">
              <w:rPr>
                <w:color w:val="000000"/>
                <w:sz w:val="20"/>
                <w:szCs w:val="20"/>
              </w:rPr>
              <w:t>República Checa</w:t>
            </w:r>
          </w:p>
        </w:tc>
        <w:tc>
          <w:tcPr>
            <w:tcW w:w="2603" w:type="dxa"/>
          </w:tcPr>
          <w:p w14:paraId="3775B2E7" w14:textId="77777777" w:rsidR="00DC405A" w:rsidRPr="00AC711D" w:rsidRDefault="00DC405A" w:rsidP="00155715">
            <w:pPr>
              <w:spacing w:after="200" w:line="253" w:lineRule="atLeast"/>
              <w:jc w:val="both"/>
              <w:rPr>
                <w:color w:val="000000"/>
                <w:sz w:val="20"/>
                <w:szCs w:val="20"/>
              </w:rPr>
            </w:pPr>
            <w:r w:rsidRPr="00AC711D">
              <w:rPr>
                <w:color w:val="000000"/>
                <w:sz w:val="20"/>
                <w:szCs w:val="20"/>
              </w:rPr>
              <w:t>6 de mayo de 2015</w:t>
            </w:r>
          </w:p>
        </w:tc>
        <w:tc>
          <w:tcPr>
            <w:tcW w:w="2936" w:type="dxa"/>
          </w:tcPr>
          <w:p w14:paraId="395D153F" w14:textId="77777777" w:rsidR="00DC405A" w:rsidRPr="00AC711D" w:rsidRDefault="00DC405A" w:rsidP="00155715">
            <w:pPr>
              <w:spacing w:after="200" w:line="253" w:lineRule="atLeast"/>
              <w:jc w:val="both"/>
              <w:rPr>
                <w:color w:val="000000"/>
                <w:sz w:val="20"/>
                <w:szCs w:val="20"/>
              </w:rPr>
            </w:pPr>
            <w:r w:rsidRPr="00AC711D">
              <w:rPr>
                <w:color w:val="000000"/>
                <w:sz w:val="20"/>
                <w:szCs w:val="20"/>
              </w:rPr>
              <w:t>Ley 1690 de 2013</w:t>
            </w:r>
          </w:p>
        </w:tc>
      </w:tr>
      <w:tr w:rsidR="00DC405A" w:rsidRPr="00AC711D" w14:paraId="5685083B" w14:textId="77777777" w:rsidTr="005F00D2">
        <w:trPr>
          <w:trHeight w:val="426"/>
        </w:trPr>
        <w:tc>
          <w:tcPr>
            <w:tcW w:w="3465" w:type="dxa"/>
          </w:tcPr>
          <w:p w14:paraId="2BAF3474" w14:textId="77777777" w:rsidR="00DC405A" w:rsidRPr="00AC711D" w:rsidRDefault="00DC405A" w:rsidP="00155715">
            <w:pPr>
              <w:spacing w:after="200" w:line="253" w:lineRule="atLeast"/>
              <w:jc w:val="both"/>
              <w:rPr>
                <w:color w:val="000000"/>
                <w:sz w:val="20"/>
                <w:szCs w:val="20"/>
              </w:rPr>
            </w:pPr>
            <w:r w:rsidRPr="00AC711D">
              <w:rPr>
                <w:color w:val="000000"/>
                <w:sz w:val="20"/>
                <w:szCs w:val="20"/>
              </w:rPr>
              <w:t>Portugal</w:t>
            </w:r>
          </w:p>
        </w:tc>
        <w:tc>
          <w:tcPr>
            <w:tcW w:w="2603" w:type="dxa"/>
          </w:tcPr>
          <w:p w14:paraId="7B7C2286" w14:textId="77777777" w:rsidR="00DC405A" w:rsidRPr="00AC711D" w:rsidRDefault="00DC405A" w:rsidP="00155715">
            <w:pPr>
              <w:spacing w:after="200" w:line="253" w:lineRule="atLeast"/>
              <w:jc w:val="both"/>
              <w:rPr>
                <w:color w:val="000000"/>
                <w:sz w:val="20"/>
                <w:szCs w:val="20"/>
              </w:rPr>
            </w:pPr>
            <w:r w:rsidRPr="00AC711D">
              <w:rPr>
                <w:color w:val="000000"/>
                <w:sz w:val="20"/>
                <w:szCs w:val="20"/>
              </w:rPr>
              <w:t xml:space="preserve">30 de enero de 2015 </w:t>
            </w:r>
          </w:p>
        </w:tc>
        <w:tc>
          <w:tcPr>
            <w:tcW w:w="2936" w:type="dxa"/>
          </w:tcPr>
          <w:p w14:paraId="64456D75" w14:textId="77777777" w:rsidR="00DC405A" w:rsidRPr="00AC711D" w:rsidRDefault="00DC405A" w:rsidP="00155715">
            <w:pPr>
              <w:spacing w:after="200" w:line="253" w:lineRule="atLeast"/>
              <w:jc w:val="both"/>
              <w:rPr>
                <w:color w:val="000000"/>
                <w:sz w:val="20"/>
                <w:szCs w:val="20"/>
              </w:rPr>
            </w:pPr>
            <w:r w:rsidRPr="00AC711D">
              <w:rPr>
                <w:color w:val="000000"/>
                <w:sz w:val="20"/>
                <w:szCs w:val="20"/>
              </w:rPr>
              <w:t>Ley 1692 de 2013</w:t>
            </w:r>
          </w:p>
        </w:tc>
      </w:tr>
      <w:tr w:rsidR="00DC405A" w:rsidRPr="00AC711D" w14:paraId="0F169D03" w14:textId="77777777" w:rsidTr="005F00D2">
        <w:trPr>
          <w:trHeight w:val="426"/>
        </w:trPr>
        <w:tc>
          <w:tcPr>
            <w:tcW w:w="3465" w:type="dxa"/>
          </w:tcPr>
          <w:p w14:paraId="48999A65" w14:textId="77777777" w:rsidR="00DC405A" w:rsidRPr="00AC711D" w:rsidRDefault="00DC405A" w:rsidP="00155715">
            <w:pPr>
              <w:spacing w:after="200" w:line="253" w:lineRule="atLeast"/>
              <w:jc w:val="both"/>
              <w:rPr>
                <w:color w:val="000000"/>
                <w:sz w:val="20"/>
                <w:szCs w:val="20"/>
              </w:rPr>
            </w:pPr>
            <w:r w:rsidRPr="00AC711D">
              <w:rPr>
                <w:color w:val="000000"/>
                <w:sz w:val="20"/>
                <w:szCs w:val="20"/>
              </w:rPr>
              <w:t>India</w:t>
            </w:r>
          </w:p>
        </w:tc>
        <w:tc>
          <w:tcPr>
            <w:tcW w:w="2603" w:type="dxa"/>
          </w:tcPr>
          <w:p w14:paraId="47C50229" w14:textId="77777777" w:rsidR="00DC405A" w:rsidRPr="00AC711D" w:rsidRDefault="00DC405A" w:rsidP="00155715">
            <w:pPr>
              <w:spacing w:after="200" w:line="253" w:lineRule="atLeast"/>
              <w:jc w:val="both"/>
              <w:rPr>
                <w:color w:val="000000"/>
                <w:sz w:val="20"/>
                <w:szCs w:val="20"/>
              </w:rPr>
            </w:pPr>
            <w:r w:rsidRPr="00AC711D">
              <w:rPr>
                <w:color w:val="000000"/>
                <w:sz w:val="20"/>
                <w:szCs w:val="20"/>
              </w:rPr>
              <w:t>7 de julio de 2014</w:t>
            </w:r>
          </w:p>
        </w:tc>
        <w:tc>
          <w:tcPr>
            <w:tcW w:w="2936" w:type="dxa"/>
          </w:tcPr>
          <w:p w14:paraId="6BF0C731" w14:textId="77777777" w:rsidR="00DC405A" w:rsidRPr="00AC711D" w:rsidRDefault="00DC405A" w:rsidP="00155715">
            <w:pPr>
              <w:spacing w:after="200" w:line="253" w:lineRule="atLeast"/>
              <w:jc w:val="both"/>
              <w:rPr>
                <w:color w:val="000000"/>
                <w:sz w:val="20"/>
                <w:szCs w:val="20"/>
              </w:rPr>
            </w:pPr>
            <w:r w:rsidRPr="00AC711D">
              <w:rPr>
                <w:color w:val="000000"/>
                <w:sz w:val="20"/>
                <w:szCs w:val="20"/>
              </w:rPr>
              <w:t>Ley 1668 de 2013</w:t>
            </w:r>
          </w:p>
        </w:tc>
      </w:tr>
      <w:tr w:rsidR="00DC405A" w:rsidRPr="00AC711D" w14:paraId="77138BF0" w14:textId="77777777" w:rsidTr="005F00D2">
        <w:trPr>
          <w:trHeight w:val="426"/>
        </w:trPr>
        <w:tc>
          <w:tcPr>
            <w:tcW w:w="3465" w:type="dxa"/>
          </w:tcPr>
          <w:p w14:paraId="71923974" w14:textId="77777777" w:rsidR="00DC405A" w:rsidRPr="00AC711D" w:rsidRDefault="00DC405A" w:rsidP="00155715">
            <w:pPr>
              <w:spacing w:after="200" w:line="253" w:lineRule="atLeast"/>
              <w:jc w:val="both"/>
              <w:rPr>
                <w:color w:val="000000"/>
                <w:sz w:val="20"/>
                <w:szCs w:val="20"/>
              </w:rPr>
            </w:pPr>
            <w:r w:rsidRPr="00AC711D">
              <w:rPr>
                <w:color w:val="000000"/>
                <w:sz w:val="20"/>
                <w:szCs w:val="20"/>
              </w:rPr>
              <w:t>Corea del Sur</w:t>
            </w:r>
          </w:p>
        </w:tc>
        <w:tc>
          <w:tcPr>
            <w:tcW w:w="2603" w:type="dxa"/>
          </w:tcPr>
          <w:p w14:paraId="11B30E48" w14:textId="77777777" w:rsidR="00DC405A" w:rsidRPr="00AC711D" w:rsidRDefault="00DC405A" w:rsidP="00155715">
            <w:pPr>
              <w:spacing w:after="200" w:line="253" w:lineRule="atLeast"/>
              <w:jc w:val="both"/>
              <w:rPr>
                <w:color w:val="000000"/>
                <w:sz w:val="20"/>
                <w:szCs w:val="20"/>
              </w:rPr>
            </w:pPr>
            <w:r w:rsidRPr="00AC711D">
              <w:rPr>
                <w:color w:val="000000"/>
                <w:sz w:val="20"/>
                <w:szCs w:val="20"/>
              </w:rPr>
              <w:t>3 de julio de 2014</w:t>
            </w:r>
          </w:p>
        </w:tc>
        <w:tc>
          <w:tcPr>
            <w:tcW w:w="2936" w:type="dxa"/>
          </w:tcPr>
          <w:p w14:paraId="1D378C71" w14:textId="77777777" w:rsidR="00DC405A" w:rsidRPr="00AC711D" w:rsidRDefault="00DC405A" w:rsidP="00155715">
            <w:pPr>
              <w:spacing w:after="200" w:line="253" w:lineRule="atLeast"/>
              <w:jc w:val="both"/>
              <w:rPr>
                <w:color w:val="000000"/>
                <w:sz w:val="20"/>
                <w:szCs w:val="20"/>
              </w:rPr>
            </w:pPr>
            <w:r w:rsidRPr="00AC711D">
              <w:rPr>
                <w:color w:val="000000"/>
                <w:sz w:val="20"/>
                <w:szCs w:val="20"/>
              </w:rPr>
              <w:t>Ley 1667 de 2013</w:t>
            </w:r>
          </w:p>
        </w:tc>
      </w:tr>
      <w:tr w:rsidR="00DC405A" w:rsidRPr="00AC711D" w14:paraId="7C43ECDA" w14:textId="77777777" w:rsidTr="005F00D2">
        <w:trPr>
          <w:trHeight w:val="426"/>
        </w:trPr>
        <w:tc>
          <w:tcPr>
            <w:tcW w:w="3465" w:type="dxa"/>
          </w:tcPr>
          <w:p w14:paraId="43EC5B91" w14:textId="77777777" w:rsidR="00DC405A" w:rsidRPr="00AC711D" w:rsidRDefault="00DC405A" w:rsidP="00155715">
            <w:pPr>
              <w:spacing w:after="200" w:line="253" w:lineRule="atLeast"/>
              <w:jc w:val="both"/>
              <w:rPr>
                <w:color w:val="000000"/>
                <w:sz w:val="20"/>
                <w:szCs w:val="20"/>
              </w:rPr>
            </w:pPr>
            <w:r w:rsidRPr="00AC711D">
              <w:rPr>
                <w:color w:val="000000"/>
                <w:sz w:val="20"/>
                <w:szCs w:val="20"/>
              </w:rPr>
              <w:t>México</w:t>
            </w:r>
          </w:p>
        </w:tc>
        <w:tc>
          <w:tcPr>
            <w:tcW w:w="2603" w:type="dxa"/>
          </w:tcPr>
          <w:p w14:paraId="5D819A5F" w14:textId="77777777" w:rsidR="00DC405A" w:rsidRPr="00AC711D" w:rsidRDefault="00DC405A" w:rsidP="00155715">
            <w:pPr>
              <w:spacing w:after="200" w:line="253" w:lineRule="atLeast"/>
              <w:jc w:val="both"/>
              <w:rPr>
                <w:color w:val="000000"/>
                <w:sz w:val="20"/>
                <w:szCs w:val="20"/>
              </w:rPr>
            </w:pPr>
            <w:r w:rsidRPr="00AC711D">
              <w:rPr>
                <w:color w:val="000000"/>
                <w:sz w:val="20"/>
                <w:szCs w:val="20"/>
              </w:rPr>
              <w:t>11 de julio de 2013</w:t>
            </w:r>
          </w:p>
        </w:tc>
        <w:tc>
          <w:tcPr>
            <w:tcW w:w="2936" w:type="dxa"/>
          </w:tcPr>
          <w:p w14:paraId="500C2067" w14:textId="77777777" w:rsidR="00DC405A" w:rsidRPr="00AC711D" w:rsidRDefault="00DC405A" w:rsidP="00155715">
            <w:pPr>
              <w:spacing w:after="200" w:line="253" w:lineRule="atLeast"/>
              <w:jc w:val="both"/>
              <w:rPr>
                <w:color w:val="000000"/>
                <w:sz w:val="20"/>
                <w:szCs w:val="20"/>
              </w:rPr>
            </w:pPr>
            <w:r w:rsidRPr="00AC711D">
              <w:rPr>
                <w:color w:val="000000"/>
                <w:sz w:val="20"/>
                <w:szCs w:val="20"/>
              </w:rPr>
              <w:t>Ley 1578 de 2013</w:t>
            </w:r>
          </w:p>
        </w:tc>
      </w:tr>
      <w:tr w:rsidR="00DC405A" w:rsidRPr="00AC711D" w14:paraId="7A948112" w14:textId="77777777" w:rsidTr="005F00D2">
        <w:trPr>
          <w:trHeight w:val="426"/>
        </w:trPr>
        <w:tc>
          <w:tcPr>
            <w:tcW w:w="3465" w:type="dxa"/>
          </w:tcPr>
          <w:p w14:paraId="54E25471" w14:textId="77777777" w:rsidR="00DC405A" w:rsidRPr="00AC711D" w:rsidRDefault="00DC405A" w:rsidP="00155715">
            <w:pPr>
              <w:spacing w:after="200" w:line="253" w:lineRule="atLeast"/>
              <w:jc w:val="both"/>
              <w:rPr>
                <w:color w:val="000000"/>
                <w:sz w:val="20"/>
                <w:szCs w:val="20"/>
              </w:rPr>
            </w:pPr>
            <w:r w:rsidRPr="00AC711D">
              <w:rPr>
                <w:color w:val="000000"/>
                <w:sz w:val="20"/>
                <w:szCs w:val="20"/>
              </w:rPr>
              <w:t>Canadá</w:t>
            </w:r>
          </w:p>
        </w:tc>
        <w:tc>
          <w:tcPr>
            <w:tcW w:w="2603" w:type="dxa"/>
          </w:tcPr>
          <w:p w14:paraId="09CE4699" w14:textId="77777777" w:rsidR="00DC405A" w:rsidRPr="00AC711D" w:rsidRDefault="00DC405A" w:rsidP="00155715">
            <w:pPr>
              <w:spacing w:after="200" w:line="253" w:lineRule="atLeast"/>
              <w:jc w:val="both"/>
              <w:rPr>
                <w:color w:val="000000"/>
                <w:sz w:val="20"/>
                <w:szCs w:val="20"/>
              </w:rPr>
            </w:pPr>
            <w:r w:rsidRPr="00AC711D">
              <w:rPr>
                <w:color w:val="000000"/>
                <w:sz w:val="20"/>
                <w:szCs w:val="20"/>
              </w:rPr>
              <w:t>12 de junio de 2012</w:t>
            </w:r>
          </w:p>
        </w:tc>
        <w:tc>
          <w:tcPr>
            <w:tcW w:w="2936" w:type="dxa"/>
          </w:tcPr>
          <w:p w14:paraId="4977235D" w14:textId="77777777" w:rsidR="00DC405A" w:rsidRPr="00AC711D" w:rsidRDefault="00DC405A" w:rsidP="00155715">
            <w:pPr>
              <w:spacing w:after="200" w:line="253" w:lineRule="atLeast"/>
              <w:jc w:val="both"/>
              <w:rPr>
                <w:color w:val="000000"/>
                <w:sz w:val="20"/>
                <w:szCs w:val="20"/>
              </w:rPr>
            </w:pPr>
            <w:r w:rsidRPr="00AC711D">
              <w:rPr>
                <w:color w:val="000000"/>
                <w:sz w:val="20"/>
                <w:szCs w:val="20"/>
              </w:rPr>
              <w:t>Ley 1459 de 2011</w:t>
            </w:r>
          </w:p>
        </w:tc>
      </w:tr>
      <w:tr w:rsidR="00DC405A" w:rsidRPr="00AC711D" w14:paraId="7F16BD89" w14:textId="77777777" w:rsidTr="005F00D2">
        <w:trPr>
          <w:trHeight w:val="426"/>
        </w:trPr>
        <w:tc>
          <w:tcPr>
            <w:tcW w:w="3465" w:type="dxa"/>
          </w:tcPr>
          <w:p w14:paraId="2E288B06" w14:textId="77777777" w:rsidR="00DC405A" w:rsidRPr="00AC711D" w:rsidRDefault="00DC405A" w:rsidP="00155715">
            <w:pPr>
              <w:spacing w:after="200" w:line="253" w:lineRule="atLeast"/>
              <w:jc w:val="both"/>
              <w:rPr>
                <w:color w:val="000000"/>
                <w:sz w:val="20"/>
                <w:szCs w:val="20"/>
              </w:rPr>
            </w:pPr>
            <w:r w:rsidRPr="00AC711D">
              <w:rPr>
                <w:color w:val="000000"/>
                <w:sz w:val="20"/>
                <w:szCs w:val="20"/>
              </w:rPr>
              <w:t>Suiza</w:t>
            </w:r>
          </w:p>
        </w:tc>
        <w:tc>
          <w:tcPr>
            <w:tcW w:w="2603" w:type="dxa"/>
          </w:tcPr>
          <w:p w14:paraId="646A25D7" w14:textId="77777777" w:rsidR="00DC405A" w:rsidRPr="00AC711D" w:rsidRDefault="00DC405A" w:rsidP="00155715">
            <w:pPr>
              <w:spacing w:after="200" w:line="253" w:lineRule="atLeast"/>
              <w:jc w:val="both"/>
              <w:rPr>
                <w:color w:val="000000"/>
                <w:sz w:val="20"/>
                <w:szCs w:val="20"/>
              </w:rPr>
            </w:pPr>
            <w:r w:rsidRPr="00AC711D">
              <w:rPr>
                <w:color w:val="000000"/>
                <w:sz w:val="20"/>
                <w:szCs w:val="20"/>
              </w:rPr>
              <w:t>1 de enero del 2013</w:t>
            </w:r>
          </w:p>
        </w:tc>
        <w:tc>
          <w:tcPr>
            <w:tcW w:w="2936" w:type="dxa"/>
          </w:tcPr>
          <w:p w14:paraId="573A9FF1" w14:textId="77777777" w:rsidR="00DC405A" w:rsidRPr="00AC711D" w:rsidRDefault="00DC405A" w:rsidP="00155715">
            <w:pPr>
              <w:spacing w:after="200" w:line="253" w:lineRule="atLeast"/>
              <w:jc w:val="both"/>
              <w:rPr>
                <w:color w:val="000000"/>
                <w:sz w:val="20"/>
                <w:szCs w:val="20"/>
              </w:rPr>
            </w:pPr>
            <w:r w:rsidRPr="00AC711D">
              <w:rPr>
                <w:color w:val="000000"/>
                <w:sz w:val="20"/>
                <w:szCs w:val="20"/>
              </w:rPr>
              <w:t>Ley 1344 de 2009</w:t>
            </w:r>
          </w:p>
        </w:tc>
      </w:tr>
      <w:tr w:rsidR="00DC405A" w:rsidRPr="00AC711D" w14:paraId="7BC40BD6" w14:textId="77777777" w:rsidTr="005F00D2">
        <w:trPr>
          <w:trHeight w:val="426"/>
        </w:trPr>
        <w:tc>
          <w:tcPr>
            <w:tcW w:w="3465" w:type="dxa"/>
          </w:tcPr>
          <w:p w14:paraId="26721A92" w14:textId="77777777" w:rsidR="00DC405A" w:rsidRPr="00AC711D" w:rsidRDefault="00DC405A" w:rsidP="00155715">
            <w:pPr>
              <w:spacing w:after="200" w:line="253" w:lineRule="atLeast"/>
              <w:jc w:val="both"/>
              <w:rPr>
                <w:color w:val="000000"/>
                <w:sz w:val="20"/>
                <w:szCs w:val="20"/>
              </w:rPr>
            </w:pPr>
            <w:r w:rsidRPr="00AC711D">
              <w:rPr>
                <w:color w:val="000000"/>
                <w:sz w:val="20"/>
                <w:szCs w:val="20"/>
              </w:rPr>
              <w:t>Chile</w:t>
            </w:r>
          </w:p>
        </w:tc>
        <w:tc>
          <w:tcPr>
            <w:tcW w:w="2603" w:type="dxa"/>
          </w:tcPr>
          <w:p w14:paraId="027218CD" w14:textId="77777777" w:rsidR="00DC405A" w:rsidRPr="00AC711D" w:rsidRDefault="00DC405A" w:rsidP="00155715">
            <w:pPr>
              <w:spacing w:after="200" w:line="253" w:lineRule="atLeast"/>
              <w:jc w:val="both"/>
              <w:rPr>
                <w:color w:val="000000"/>
                <w:sz w:val="20"/>
                <w:szCs w:val="20"/>
              </w:rPr>
            </w:pPr>
            <w:r w:rsidRPr="00AC711D">
              <w:rPr>
                <w:color w:val="000000"/>
                <w:sz w:val="20"/>
                <w:szCs w:val="20"/>
              </w:rPr>
              <w:t>22 de diciembre de 2009</w:t>
            </w:r>
          </w:p>
        </w:tc>
        <w:tc>
          <w:tcPr>
            <w:tcW w:w="2936" w:type="dxa"/>
          </w:tcPr>
          <w:p w14:paraId="6E2E2811" w14:textId="77777777" w:rsidR="00DC405A" w:rsidRPr="00AC711D" w:rsidRDefault="00DC405A" w:rsidP="00155715">
            <w:pPr>
              <w:spacing w:after="200" w:line="253" w:lineRule="atLeast"/>
              <w:jc w:val="both"/>
              <w:rPr>
                <w:color w:val="000000"/>
                <w:sz w:val="20"/>
                <w:szCs w:val="20"/>
              </w:rPr>
            </w:pPr>
            <w:r w:rsidRPr="00AC711D">
              <w:rPr>
                <w:color w:val="000000"/>
                <w:sz w:val="20"/>
                <w:szCs w:val="20"/>
              </w:rPr>
              <w:t>Ley 1261 de 2008</w:t>
            </w:r>
          </w:p>
        </w:tc>
      </w:tr>
      <w:tr w:rsidR="00DC405A" w:rsidRPr="00AC711D" w14:paraId="5366A8F6" w14:textId="77777777" w:rsidTr="005F00D2">
        <w:trPr>
          <w:trHeight w:val="426"/>
        </w:trPr>
        <w:tc>
          <w:tcPr>
            <w:tcW w:w="3465" w:type="dxa"/>
          </w:tcPr>
          <w:p w14:paraId="2B0704A8" w14:textId="77777777" w:rsidR="00DC405A" w:rsidRPr="00AC711D" w:rsidRDefault="00DC405A" w:rsidP="00155715">
            <w:pPr>
              <w:spacing w:after="200" w:line="253" w:lineRule="atLeast"/>
              <w:jc w:val="both"/>
              <w:rPr>
                <w:color w:val="000000"/>
                <w:sz w:val="20"/>
                <w:szCs w:val="20"/>
              </w:rPr>
            </w:pPr>
            <w:r w:rsidRPr="00AC711D">
              <w:rPr>
                <w:color w:val="000000"/>
                <w:sz w:val="20"/>
                <w:szCs w:val="20"/>
              </w:rPr>
              <w:t>España</w:t>
            </w:r>
          </w:p>
        </w:tc>
        <w:tc>
          <w:tcPr>
            <w:tcW w:w="2603" w:type="dxa"/>
          </w:tcPr>
          <w:p w14:paraId="474A7ADF" w14:textId="77777777" w:rsidR="00DC405A" w:rsidRPr="00AC711D" w:rsidRDefault="00DC405A" w:rsidP="00155715">
            <w:pPr>
              <w:spacing w:after="200" w:line="253" w:lineRule="atLeast"/>
              <w:jc w:val="both"/>
              <w:rPr>
                <w:color w:val="000000"/>
                <w:sz w:val="20"/>
                <w:szCs w:val="20"/>
              </w:rPr>
            </w:pPr>
            <w:r w:rsidRPr="00AC711D">
              <w:rPr>
                <w:color w:val="000000"/>
                <w:sz w:val="20"/>
                <w:szCs w:val="20"/>
              </w:rPr>
              <w:t>23 de octubre de 2008</w:t>
            </w:r>
          </w:p>
        </w:tc>
        <w:tc>
          <w:tcPr>
            <w:tcW w:w="2936" w:type="dxa"/>
          </w:tcPr>
          <w:p w14:paraId="0F588EB0" w14:textId="77777777" w:rsidR="00DC405A" w:rsidRPr="00AC711D" w:rsidRDefault="00DC405A" w:rsidP="00155715">
            <w:pPr>
              <w:spacing w:after="200" w:line="253" w:lineRule="atLeast"/>
              <w:jc w:val="both"/>
              <w:rPr>
                <w:color w:val="000000"/>
                <w:sz w:val="20"/>
                <w:szCs w:val="20"/>
              </w:rPr>
            </w:pPr>
            <w:r w:rsidRPr="00AC711D">
              <w:rPr>
                <w:color w:val="000000"/>
                <w:sz w:val="20"/>
                <w:szCs w:val="20"/>
              </w:rPr>
              <w:t>Ley 1082 de 2006</w:t>
            </w:r>
          </w:p>
        </w:tc>
      </w:tr>
      <w:tr w:rsidR="00DC405A" w:rsidRPr="00AC711D" w14:paraId="2FC9382D" w14:textId="77777777" w:rsidTr="005F00D2">
        <w:trPr>
          <w:trHeight w:val="426"/>
        </w:trPr>
        <w:tc>
          <w:tcPr>
            <w:tcW w:w="3465" w:type="dxa"/>
          </w:tcPr>
          <w:p w14:paraId="246CD9F5" w14:textId="77777777" w:rsidR="00DC405A" w:rsidRPr="00AC711D" w:rsidRDefault="00DC405A" w:rsidP="00155715">
            <w:pPr>
              <w:spacing w:after="200" w:line="253" w:lineRule="atLeast"/>
              <w:jc w:val="both"/>
              <w:rPr>
                <w:color w:val="000000"/>
                <w:sz w:val="20"/>
                <w:szCs w:val="20"/>
                <w:lang w:val="es-ES"/>
              </w:rPr>
            </w:pPr>
            <w:r w:rsidRPr="00AC711D">
              <w:rPr>
                <w:color w:val="000000"/>
                <w:sz w:val="20"/>
                <w:szCs w:val="20"/>
                <w:lang w:val="es-ES"/>
              </w:rPr>
              <w:t>Comunidad Andina de Naciones (CAN)</w:t>
            </w:r>
          </w:p>
        </w:tc>
        <w:tc>
          <w:tcPr>
            <w:tcW w:w="2603" w:type="dxa"/>
          </w:tcPr>
          <w:p w14:paraId="7EF257C1" w14:textId="77777777" w:rsidR="00DC405A" w:rsidRPr="00AC711D" w:rsidRDefault="00DC405A" w:rsidP="00155715">
            <w:pPr>
              <w:spacing w:after="200" w:line="253" w:lineRule="atLeast"/>
              <w:jc w:val="both"/>
              <w:rPr>
                <w:color w:val="000000"/>
                <w:sz w:val="20"/>
                <w:szCs w:val="20"/>
              </w:rPr>
            </w:pPr>
            <w:r w:rsidRPr="00AC711D">
              <w:rPr>
                <w:color w:val="000000"/>
                <w:sz w:val="20"/>
                <w:szCs w:val="20"/>
              </w:rPr>
              <w:t xml:space="preserve">1 de </w:t>
            </w:r>
            <w:proofErr w:type="spellStart"/>
            <w:r w:rsidRPr="00AC711D">
              <w:rPr>
                <w:color w:val="000000"/>
                <w:sz w:val="20"/>
                <w:szCs w:val="20"/>
              </w:rPr>
              <w:t>enero</w:t>
            </w:r>
            <w:proofErr w:type="spellEnd"/>
            <w:r w:rsidRPr="00AC711D">
              <w:rPr>
                <w:color w:val="000000"/>
                <w:sz w:val="20"/>
                <w:szCs w:val="20"/>
              </w:rPr>
              <w:t xml:space="preserve"> de 2005</w:t>
            </w:r>
          </w:p>
        </w:tc>
        <w:tc>
          <w:tcPr>
            <w:tcW w:w="2936" w:type="dxa"/>
          </w:tcPr>
          <w:p w14:paraId="321D7974" w14:textId="77777777" w:rsidR="00DC405A" w:rsidRPr="00AC711D" w:rsidRDefault="00DC405A" w:rsidP="00155715">
            <w:pPr>
              <w:keepNext/>
              <w:spacing w:after="200" w:line="253" w:lineRule="atLeast"/>
              <w:jc w:val="both"/>
              <w:rPr>
                <w:color w:val="000000"/>
                <w:sz w:val="20"/>
                <w:szCs w:val="20"/>
              </w:rPr>
            </w:pPr>
            <w:r w:rsidRPr="00AC711D">
              <w:rPr>
                <w:color w:val="000000"/>
                <w:sz w:val="20"/>
                <w:szCs w:val="20"/>
              </w:rPr>
              <w:t>Decisión 578 de 2004</w:t>
            </w:r>
          </w:p>
        </w:tc>
      </w:tr>
    </w:tbl>
    <w:p w14:paraId="251FBC08" w14:textId="77777777" w:rsidR="00CC46A8" w:rsidRPr="005513D8" w:rsidRDefault="00CC46A8" w:rsidP="00155715">
      <w:pPr>
        <w:pStyle w:val="BodyText"/>
        <w:spacing w:before="201"/>
        <w:jc w:val="both"/>
        <w:rPr>
          <w:rFonts w:ascii="Garamond" w:hAnsi="Garamond" w:cstheme="minorHAnsi"/>
        </w:rPr>
      </w:pPr>
    </w:p>
    <w:p w14:paraId="41E8754D" w14:textId="6C1D4CF7" w:rsidR="006A05A1" w:rsidRPr="006A05A1" w:rsidRDefault="00351551" w:rsidP="006A05A1">
      <w:pPr>
        <w:pStyle w:val="Heading2"/>
        <w:rPr>
          <w:i/>
          <w:iCs/>
          <w:lang w:val="es-CO"/>
        </w:rPr>
      </w:pPr>
      <w:r w:rsidRPr="006A05A1">
        <w:rPr>
          <w:lang w:val="es-CO"/>
        </w:rPr>
        <w:t>Anexo 2</w:t>
      </w:r>
      <w:r w:rsidR="00F203FC" w:rsidRPr="006A05A1">
        <w:rPr>
          <w:lang w:val="es-CO"/>
        </w:rPr>
        <w:t xml:space="preserve">: Modelo POLS </w:t>
      </w:r>
    </w:p>
    <w:p w14:paraId="545FFAD7" w14:textId="77777777" w:rsidR="006A05A1" w:rsidRDefault="006A05A1" w:rsidP="00155715">
      <w:pPr>
        <w:pStyle w:val="Caption"/>
        <w:jc w:val="both"/>
        <w:rPr>
          <w:rFonts w:ascii="Times New Roman" w:hAnsi="Times New Roman"/>
          <w:bCs/>
          <w:i w:val="0"/>
          <w:iCs w:val="0"/>
          <w:color w:val="000000" w:themeColor="text1"/>
          <w:sz w:val="24"/>
          <w:szCs w:val="24"/>
          <w:lang w:val="es-CO"/>
        </w:rPr>
      </w:pPr>
    </w:p>
    <w:p w14:paraId="4E88FABF" w14:textId="41907D84" w:rsidR="006A05A1" w:rsidRPr="005F00D2" w:rsidRDefault="006A05A1" w:rsidP="005F00D2">
      <w:pPr>
        <w:pStyle w:val="Caption"/>
        <w:jc w:val="both"/>
        <w:rPr>
          <w:rFonts w:ascii="Times New Roman" w:hAnsi="Times New Roman"/>
          <w:bCs/>
          <w:i w:val="0"/>
          <w:iCs w:val="0"/>
          <w:color w:val="000000" w:themeColor="text1"/>
          <w:sz w:val="24"/>
          <w:szCs w:val="24"/>
          <w:lang w:val="es-CO"/>
        </w:rPr>
      </w:pPr>
      <w:r w:rsidRPr="006A05A1">
        <w:rPr>
          <w:rFonts w:ascii="Times New Roman" w:hAnsi="Times New Roman"/>
          <w:bCs/>
          <w:i w:val="0"/>
          <w:iCs w:val="0"/>
          <w:color w:val="000000" w:themeColor="text1"/>
          <w:sz w:val="24"/>
          <w:szCs w:val="24"/>
          <w:lang w:val="es-CO"/>
        </w:rPr>
        <w:t xml:space="preserve">Se realizan 4 estimaciones </w:t>
      </w:r>
      <w:r w:rsidR="00F203FC" w:rsidRPr="006A05A1">
        <w:rPr>
          <w:rFonts w:ascii="Times New Roman" w:hAnsi="Times New Roman"/>
          <w:bCs/>
          <w:i w:val="0"/>
          <w:iCs w:val="0"/>
          <w:color w:val="000000" w:themeColor="text1"/>
          <w:sz w:val="24"/>
          <w:szCs w:val="24"/>
          <w:lang w:val="es-CO"/>
        </w:rPr>
        <w:t xml:space="preserve">con variable de interés (1), variables macroeconómicas (2), variables </w:t>
      </w:r>
      <w:r w:rsidR="009A1080" w:rsidRPr="006A05A1">
        <w:rPr>
          <w:rFonts w:ascii="Times New Roman" w:hAnsi="Times New Roman"/>
          <w:bCs/>
          <w:i w:val="0"/>
          <w:iCs w:val="0"/>
          <w:color w:val="000000" w:themeColor="text1"/>
          <w:sz w:val="24"/>
          <w:szCs w:val="24"/>
          <w:lang w:val="es-CO"/>
        </w:rPr>
        <w:t xml:space="preserve">relativas al comercio y la inversión (3) y </w:t>
      </w:r>
      <w:r w:rsidR="003F07EF" w:rsidRPr="006A05A1">
        <w:rPr>
          <w:rFonts w:ascii="Times New Roman" w:hAnsi="Times New Roman"/>
          <w:bCs/>
          <w:i w:val="0"/>
          <w:iCs w:val="0"/>
          <w:color w:val="000000" w:themeColor="text1"/>
          <w:sz w:val="24"/>
          <w:szCs w:val="24"/>
          <w:lang w:val="es-CO"/>
        </w:rPr>
        <w:t>variables</w:t>
      </w:r>
      <w:r w:rsidR="00F203FC" w:rsidRPr="006A05A1">
        <w:rPr>
          <w:rFonts w:ascii="Times New Roman" w:hAnsi="Times New Roman"/>
          <w:bCs/>
          <w:i w:val="0"/>
          <w:iCs w:val="0"/>
          <w:color w:val="000000" w:themeColor="text1"/>
          <w:sz w:val="24"/>
          <w:szCs w:val="24"/>
          <w:lang w:val="es-CO"/>
        </w:rPr>
        <w:t xml:space="preserve"> </w:t>
      </w:r>
      <w:r w:rsidR="004274B3" w:rsidRPr="006A05A1">
        <w:rPr>
          <w:rFonts w:ascii="Times New Roman" w:hAnsi="Times New Roman"/>
          <w:bCs/>
          <w:i w:val="0"/>
          <w:iCs w:val="0"/>
          <w:color w:val="000000" w:themeColor="text1"/>
          <w:sz w:val="24"/>
          <w:szCs w:val="24"/>
          <w:lang w:val="es-CO"/>
        </w:rPr>
        <w:t xml:space="preserve">que capturan el contexto de la economía mundial y efecto fijo de tiempo. </w:t>
      </w:r>
      <w:r w:rsidR="00F203FC" w:rsidRPr="006A05A1">
        <w:rPr>
          <w:rFonts w:ascii="Times New Roman" w:hAnsi="Times New Roman"/>
          <w:bCs/>
          <w:i w:val="0"/>
          <w:iCs w:val="0"/>
          <w:color w:val="000000" w:themeColor="text1"/>
          <w:sz w:val="24"/>
          <w:szCs w:val="24"/>
          <w:lang w:val="es-CO"/>
        </w:rPr>
        <w:t xml:space="preserve"> </w:t>
      </w:r>
    </w:p>
    <w:p w14:paraId="71999D79" w14:textId="77777777" w:rsidR="006A05A1" w:rsidRPr="006A05A1" w:rsidRDefault="006A05A1" w:rsidP="006A05A1">
      <w:pPr>
        <w:rPr>
          <w:lang w:val="es-CO"/>
        </w:rPr>
      </w:pPr>
    </w:p>
    <w:tbl>
      <w:tblPr>
        <w:tblW w:w="5000" w:type="pct"/>
        <w:jc w:val="center"/>
        <w:tblCellMar>
          <w:left w:w="75" w:type="dxa"/>
          <w:right w:w="75" w:type="dxa"/>
        </w:tblCellMar>
        <w:tblLook w:val="0000" w:firstRow="0" w:lastRow="0" w:firstColumn="0" w:lastColumn="0" w:noHBand="0" w:noVBand="0"/>
      </w:tblPr>
      <w:tblGrid>
        <w:gridCol w:w="2990"/>
        <w:gridCol w:w="1340"/>
        <w:gridCol w:w="1462"/>
        <w:gridCol w:w="1462"/>
        <w:gridCol w:w="1584"/>
      </w:tblGrid>
      <w:tr w:rsidR="00CC46A8" w:rsidRPr="006A05A1" w14:paraId="38A7EEBD" w14:textId="77777777" w:rsidTr="006A05A1">
        <w:trPr>
          <w:trHeight w:val="20"/>
          <w:jc w:val="center"/>
        </w:trPr>
        <w:tc>
          <w:tcPr>
            <w:tcW w:w="1692" w:type="pct"/>
            <w:tcBorders>
              <w:top w:val="single" w:sz="6" w:space="0" w:color="auto"/>
              <w:left w:val="nil"/>
              <w:bottom w:val="nil"/>
              <w:right w:val="nil"/>
            </w:tcBorders>
          </w:tcPr>
          <w:p w14:paraId="4D7D34C7" w14:textId="77777777" w:rsidR="00CC46A8" w:rsidRPr="006A05A1" w:rsidRDefault="00CC46A8" w:rsidP="00155715">
            <w:pPr>
              <w:widowControl w:val="0"/>
              <w:autoSpaceDE w:val="0"/>
              <w:autoSpaceDN w:val="0"/>
              <w:adjustRightInd w:val="0"/>
              <w:jc w:val="both"/>
              <w:rPr>
                <w:rFonts w:ascii="Garamond" w:hAnsi="Garamond"/>
                <w:sz w:val="20"/>
                <w:szCs w:val="20"/>
                <w:lang w:val="es-ES"/>
              </w:rPr>
            </w:pPr>
          </w:p>
        </w:tc>
        <w:tc>
          <w:tcPr>
            <w:tcW w:w="758" w:type="pct"/>
            <w:tcBorders>
              <w:top w:val="single" w:sz="6" w:space="0" w:color="auto"/>
              <w:left w:val="nil"/>
              <w:bottom w:val="nil"/>
              <w:right w:val="nil"/>
            </w:tcBorders>
          </w:tcPr>
          <w:p w14:paraId="575EA722"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(1)</w:t>
            </w:r>
          </w:p>
        </w:tc>
        <w:tc>
          <w:tcPr>
            <w:tcW w:w="827" w:type="pct"/>
            <w:tcBorders>
              <w:top w:val="single" w:sz="6" w:space="0" w:color="auto"/>
              <w:left w:val="nil"/>
              <w:bottom w:val="nil"/>
              <w:right w:val="nil"/>
            </w:tcBorders>
          </w:tcPr>
          <w:p w14:paraId="653EB252"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(2)</w:t>
            </w:r>
          </w:p>
        </w:tc>
        <w:tc>
          <w:tcPr>
            <w:tcW w:w="827" w:type="pct"/>
            <w:tcBorders>
              <w:top w:val="single" w:sz="6" w:space="0" w:color="auto"/>
              <w:left w:val="nil"/>
              <w:bottom w:val="nil"/>
              <w:right w:val="nil"/>
            </w:tcBorders>
          </w:tcPr>
          <w:p w14:paraId="314BCE01"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(3)</w:t>
            </w:r>
          </w:p>
        </w:tc>
        <w:tc>
          <w:tcPr>
            <w:tcW w:w="896" w:type="pct"/>
            <w:tcBorders>
              <w:top w:val="single" w:sz="6" w:space="0" w:color="auto"/>
              <w:left w:val="nil"/>
              <w:bottom w:val="nil"/>
              <w:right w:val="nil"/>
            </w:tcBorders>
          </w:tcPr>
          <w:p w14:paraId="442ACA83"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(4)</w:t>
            </w:r>
          </w:p>
        </w:tc>
      </w:tr>
      <w:tr w:rsidR="00CC46A8" w:rsidRPr="006A05A1" w14:paraId="5A006BAB" w14:textId="77777777" w:rsidTr="006A05A1">
        <w:trPr>
          <w:trHeight w:val="20"/>
          <w:jc w:val="center"/>
        </w:trPr>
        <w:tc>
          <w:tcPr>
            <w:tcW w:w="1692" w:type="pct"/>
            <w:tcBorders>
              <w:top w:val="nil"/>
              <w:left w:val="nil"/>
              <w:bottom w:val="single" w:sz="6" w:space="0" w:color="auto"/>
              <w:right w:val="nil"/>
            </w:tcBorders>
          </w:tcPr>
          <w:p w14:paraId="1D7E98C3"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VARIABLES</w:t>
            </w:r>
          </w:p>
        </w:tc>
        <w:tc>
          <w:tcPr>
            <w:tcW w:w="758" w:type="pct"/>
            <w:tcBorders>
              <w:top w:val="nil"/>
              <w:left w:val="nil"/>
              <w:bottom w:val="single" w:sz="6" w:space="0" w:color="auto"/>
              <w:right w:val="nil"/>
            </w:tcBorders>
          </w:tcPr>
          <w:p w14:paraId="1CB72AFD"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LN_IED</w:t>
            </w:r>
          </w:p>
        </w:tc>
        <w:tc>
          <w:tcPr>
            <w:tcW w:w="827" w:type="pct"/>
            <w:tcBorders>
              <w:top w:val="nil"/>
              <w:left w:val="nil"/>
              <w:bottom w:val="single" w:sz="6" w:space="0" w:color="auto"/>
              <w:right w:val="nil"/>
            </w:tcBorders>
          </w:tcPr>
          <w:p w14:paraId="39F8DD97"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LN_IED</w:t>
            </w:r>
          </w:p>
        </w:tc>
        <w:tc>
          <w:tcPr>
            <w:tcW w:w="827" w:type="pct"/>
            <w:tcBorders>
              <w:top w:val="nil"/>
              <w:left w:val="nil"/>
              <w:bottom w:val="single" w:sz="6" w:space="0" w:color="auto"/>
              <w:right w:val="nil"/>
            </w:tcBorders>
          </w:tcPr>
          <w:p w14:paraId="1B59ADBE"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LN_IED</w:t>
            </w:r>
          </w:p>
        </w:tc>
        <w:tc>
          <w:tcPr>
            <w:tcW w:w="896" w:type="pct"/>
            <w:tcBorders>
              <w:top w:val="nil"/>
              <w:left w:val="nil"/>
              <w:bottom w:val="single" w:sz="6" w:space="0" w:color="auto"/>
              <w:right w:val="nil"/>
            </w:tcBorders>
          </w:tcPr>
          <w:p w14:paraId="5A6B1B3A"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LN_IED</w:t>
            </w:r>
          </w:p>
        </w:tc>
      </w:tr>
      <w:tr w:rsidR="00CC46A8" w:rsidRPr="006A05A1" w14:paraId="01754E72" w14:textId="77777777" w:rsidTr="006A05A1">
        <w:trPr>
          <w:trHeight w:val="20"/>
          <w:jc w:val="center"/>
        </w:trPr>
        <w:tc>
          <w:tcPr>
            <w:tcW w:w="1692" w:type="pct"/>
            <w:tcBorders>
              <w:top w:val="nil"/>
              <w:left w:val="nil"/>
              <w:bottom w:val="nil"/>
              <w:right w:val="nil"/>
            </w:tcBorders>
          </w:tcPr>
          <w:p w14:paraId="5D2F52AA" w14:textId="77777777" w:rsidR="00CC46A8" w:rsidRPr="006A05A1" w:rsidRDefault="00CC46A8" w:rsidP="00155715">
            <w:pPr>
              <w:widowControl w:val="0"/>
              <w:autoSpaceDE w:val="0"/>
              <w:autoSpaceDN w:val="0"/>
              <w:adjustRightInd w:val="0"/>
              <w:jc w:val="both"/>
              <w:rPr>
                <w:rFonts w:ascii="Garamond" w:hAnsi="Garamond"/>
                <w:sz w:val="20"/>
                <w:szCs w:val="20"/>
              </w:rPr>
            </w:pPr>
          </w:p>
        </w:tc>
        <w:tc>
          <w:tcPr>
            <w:tcW w:w="758" w:type="pct"/>
            <w:tcBorders>
              <w:top w:val="nil"/>
              <w:left w:val="nil"/>
              <w:bottom w:val="nil"/>
              <w:right w:val="nil"/>
            </w:tcBorders>
          </w:tcPr>
          <w:p w14:paraId="7B8331E6" w14:textId="77777777" w:rsidR="00CC46A8" w:rsidRPr="006A05A1" w:rsidRDefault="00CC46A8" w:rsidP="00155715">
            <w:pPr>
              <w:widowControl w:val="0"/>
              <w:autoSpaceDE w:val="0"/>
              <w:autoSpaceDN w:val="0"/>
              <w:adjustRightInd w:val="0"/>
              <w:jc w:val="both"/>
              <w:rPr>
                <w:rFonts w:ascii="Garamond" w:hAnsi="Garamond"/>
                <w:sz w:val="20"/>
                <w:szCs w:val="20"/>
              </w:rPr>
            </w:pPr>
          </w:p>
        </w:tc>
        <w:tc>
          <w:tcPr>
            <w:tcW w:w="827" w:type="pct"/>
            <w:tcBorders>
              <w:top w:val="nil"/>
              <w:left w:val="nil"/>
              <w:bottom w:val="nil"/>
              <w:right w:val="nil"/>
            </w:tcBorders>
          </w:tcPr>
          <w:p w14:paraId="731E4534" w14:textId="77777777" w:rsidR="00CC46A8" w:rsidRPr="006A05A1" w:rsidRDefault="00CC46A8" w:rsidP="00155715">
            <w:pPr>
              <w:widowControl w:val="0"/>
              <w:autoSpaceDE w:val="0"/>
              <w:autoSpaceDN w:val="0"/>
              <w:adjustRightInd w:val="0"/>
              <w:jc w:val="both"/>
              <w:rPr>
                <w:rFonts w:ascii="Garamond" w:hAnsi="Garamond"/>
                <w:sz w:val="20"/>
                <w:szCs w:val="20"/>
              </w:rPr>
            </w:pPr>
          </w:p>
        </w:tc>
        <w:tc>
          <w:tcPr>
            <w:tcW w:w="827" w:type="pct"/>
            <w:tcBorders>
              <w:top w:val="nil"/>
              <w:left w:val="nil"/>
              <w:bottom w:val="nil"/>
              <w:right w:val="nil"/>
            </w:tcBorders>
          </w:tcPr>
          <w:p w14:paraId="6B51D772" w14:textId="77777777" w:rsidR="00CC46A8" w:rsidRPr="006A05A1" w:rsidRDefault="00CC46A8" w:rsidP="00155715">
            <w:pPr>
              <w:widowControl w:val="0"/>
              <w:autoSpaceDE w:val="0"/>
              <w:autoSpaceDN w:val="0"/>
              <w:adjustRightInd w:val="0"/>
              <w:jc w:val="both"/>
              <w:rPr>
                <w:rFonts w:ascii="Garamond" w:hAnsi="Garamond"/>
                <w:sz w:val="20"/>
                <w:szCs w:val="20"/>
              </w:rPr>
            </w:pPr>
          </w:p>
        </w:tc>
        <w:tc>
          <w:tcPr>
            <w:tcW w:w="896" w:type="pct"/>
            <w:tcBorders>
              <w:top w:val="nil"/>
              <w:left w:val="nil"/>
              <w:bottom w:val="nil"/>
              <w:right w:val="nil"/>
            </w:tcBorders>
          </w:tcPr>
          <w:p w14:paraId="3DC31E7C" w14:textId="77777777" w:rsidR="00CC46A8" w:rsidRPr="006A05A1" w:rsidRDefault="00CC46A8" w:rsidP="00155715">
            <w:pPr>
              <w:widowControl w:val="0"/>
              <w:autoSpaceDE w:val="0"/>
              <w:autoSpaceDN w:val="0"/>
              <w:adjustRightInd w:val="0"/>
              <w:jc w:val="both"/>
              <w:rPr>
                <w:rFonts w:ascii="Garamond" w:hAnsi="Garamond"/>
                <w:sz w:val="20"/>
                <w:szCs w:val="20"/>
              </w:rPr>
            </w:pPr>
          </w:p>
        </w:tc>
      </w:tr>
      <w:tr w:rsidR="00CC46A8" w:rsidRPr="006A05A1" w14:paraId="4D56174F" w14:textId="77777777" w:rsidTr="006A05A1">
        <w:trPr>
          <w:trHeight w:val="20"/>
          <w:jc w:val="center"/>
        </w:trPr>
        <w:tc>
          <w:tcPr>
            <w:tcW w:w="1692" w:type="pct"/>
            <w:tcBorders>
              <w:top w:val="nil"/>
              <w:left w:val="nil"/>
              <w:bottom w:val="nil"/>
              <w:right w:val="nil"/>
            </w:tcBorders>
          </w:tcPr>
          <w:p w14:paraId="0C4F2543"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ADT</w:t>
            </w:r>
          </w:p>
        </w:tc>
        <w:tc>
          <w:tcPr>
            <w:tcW w:w="758" w:type="pct"/>
            <w:tcBorders>
              <w:top w:val="nil"/>
              <w:left w:val="nil"/>
              <w:bottom w:val="nil"/>
              <w:right w:val="nil"/>
            </w:tcBorders>
          </w:tcPr>
          <w:p w14:paraId="53553782"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0.329***</w:t>
            </w:r>
          </w:p>
        </w:tc>
        <w:tc>
          <w:tcPr>
            <w:tcW w:w="827" w:type="pct"/>
            <w:tcBorders>
              <w:top w:val="nil"/>
              <w:left w:val="nil"/>
              <w:bottom w:val="nil"/>
              <w:right w:val="nil"/>
            </w:tcBorders>
          </w:tcPr>
          <w:p w14:paraId="073F561A"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0.256**</w:t>
            </w:r>
          </w:p>
        </w:tc>
        <w:tc>
          <w:tcPr>
            <w:tcW w:w="827" w:type="pct"/>
            <w:tcBorders>
              <w:top w:val="nil"/>
              <w:left w:val="nil"/>
              <w:bottom w:val="nil"/>
              <w:right w:val="nil"/>
            </w:tcBorders>
          </w:tcPr>
          <w:p w14:paraId="23D6D367"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-0.0335</w:t>
            </w:r>
          </w:p>
        </w:tc>
        <w:tc>
          <w:tcPr>
            <w:tcW w:w="896" w:type="pct"/>
            <w:tcBorders>
              <w:top w:val="nil"/>
              <w:left w:val="nil"/>
              <w:bottom w:val="nil"/>
              <w:right w:val="nil"/>
            </w:tcBorders>
          </w:tcPr>
          <w:p w14:paraId="0378D37D"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0.0719</w:t>
            </w:r>
          </w:p>
        </w:tc>
      </w:tr>
      <w:tr w:rsidR="00CC46A8" w:rsidRPr="006A05A1" w14:paraId="107CDE5A" w14:textId="77777777" w:rsidTr="006A05A1">
        <w:trPr>
          <w:trHeight w:val="20"/>
          <w:jc w:val="center"/>
        </w:trPr>
        <w:tc>
          <w:tcPr>
            <w:tcW w:w="1692" w:type="pct"/>
            <w:tcBorders>
              <w:top w:val="nil"/>
              <w:left w:val="nil"/>
              <w:bottom w:val="nil"/>
              <w:right w:val="nil"/>
            </w:tcBorders>
          </w:tcPr>
          <w:p w14:paraId="7AC914AD" w14:textId="77777777" w:rsidR="00CC46A8" w:rsidRPr="006A05A1" w:rsidRDefault="00CC46A8" w:rsidP="00155715">
            <w:pPr>
              <w:widowControl w:val="0"/>
              <w:autoSpaceDE w:val="0"/>
              <w:autoSpaceDN w:val="0"/>
              <w:adjustRightInd w:val="0"/>
              <w:jc w:val="both"/>
              <w:rPr>
                <w:rFonts w:ascii="Garamond" w:hAnsi="Garamond"/>
                <w:sz w:val="20"/>
                <w:szCs w:val="20"/>
              </w:rPr>
            </w:pPr>
          </w:p>
        </w:tc>
        <w:tc>
          <w:tcPr>
            <w:tcW w:w="758" w:type="pct"/>
            <w:tcBorders>
              <w:top w:val="nil"/>
              <w:left w:val="nil"/>
              <w:bottom w:val="nil"/>
              <w:right w:val="nil"/>
            </w:tcBorders>
          </w:tcPr>
          <w:p w14:paraId="0F2B2F08"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(0.107)</w:t>
            </w:r>
          </w:p>
        </w:tc>
        <w:tc>
          <w:tcPr>
            <w:tcW w:w="827" w:type="pct"/>
            <w:tcBorders>
              <w:top w:val="nil"/>
              <w:left w:val="nil"/>
              <w:bottom w:val="nil"/>
              <w:right w:val="nil"/>
            </w:tcBorders>
          </w:tcPr>
          <w:p w14:paraId="06B7F4E4"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(0.107)</w:t>
            </w:r>
          </w:p>
        </w:tc>
        <w:tc>
          <w:tcPr>
            <w:tcW w:w="827" w:type="pct"/>
            <w:tcBorders>
              <w:top w:val="nil"/>
              <w:left w:val="nil"/>
              <w:bottom w:val="nil"/>
              <w:right w:val="nil"/>
            </w:tcBorders>
          </w:tcPr>
          <w:p w14:paraId="5A3A7E08"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(0.116)</w:t>
            </w:r>
          </w:p>
        </w:tc>
        <w:tc>
          <w:tcPr>
            <w:tcW w:w="896" w:type="pct"/>
            <w:tcBorders>
              <w:top w:val="nil"/>
              <w:left w:val="nil"/>
              <w:bottom w:val="nil"/>
              <w:right w:val="nil"/>
            </w:tcBorders>
          </w:tcPr>
          <w:p w14:paraId="1101E362"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(0.116)</w:t>
            </w:r>
          </w:p>
        </w:tc>
      </w:tr>
      <w:tr w:rsidR="00CC46A8" w:rsidRPr="006A05A1" w14:paraId="5D375D14" w14:textId="77777777" w:rsidTr="006A05A1">
        <w:trPr>
          <w:trHeight w:val="20"/>
          <w:jc w:val="center"/>
        </w:trPr>
        <w:tc>
          <w:tcPr>
            <w:tcW w:w="1692" w:type="pct"/>
            <w:tcBorders>
              <w:top w:val="nil"/>
              <w:left w:val="nil"/>
              <w:bottom w:val="nil"/>
              <w:right w:val="nil"/>
            </w:tcBorders>
          </w:tcPr>
          <w:p w14:paraId="216ADB91" w14:textId="77777777" w:rsidR="00CC46A8" w:rsidRPr="006A05A1" w:rsidRDefault="00CC46A8" w:rsidP="00155715">
            <w:pPr>
              <w:widowControl w:val="0"/>
              <w:autoSpaceDE w:val="0"/>
              <w:autoSpaceDN w:val="0"/>
              <w:adjustRightInd w:val="0"/>
              <w:jc w:val="both"/>
              <w:rPr>
                <w:rFonts w:ascii="Garamond" w:hAnsi="Garamond"/>
                <w:sz w:val="20"/>
                <w:szCs w:val="20"/>
              </w:rPr>
            </w:pPr>
            <w:proofErr w:type="spellStart"/>
            <w:r w:rsidRPr="006A05A1">
              <w:rPr>
                <w:rFonts w:ascii="Garamond" w:hAnsi="Garamond"/>
                <w:sz w:val="20"/>
                <w:szCs w:val="20"/>
              </w:rPr>
              <w:t>dif_imp</w:t>
            </w:r>
            <w:proofErr w:type="spellEnd"/>
          </w:p>
        </w:tc>
        <w:tc>
          <w:tcPr>
            <w:tcW w:w="758" w:type="pct"/>
            <w:tcBorders>
              <w:top w:val="nil"/>
              <w:left w:val="nil"/>
              <w:bottom w:val="nil"/>
              <w:right w:val="nil"/>
            </w:tcBorders>
          </w:tcPr>
          <w:p w14:paraId="1B761E59" w14:textId="77777777" w:rsidR="00CC46A8" w:rsidRPr="006A05A1" w:rsidRDefault="00CC46A8" w:rsidP="00155715">
            <w:pPr>
              <w:widowControl w:val="0"/>
              <w:autoSpaceDE w:val="0"/>
              <w:autoSpaceDN w:val="0"/>
              <w:adjustRightInd w:val="0"/>
              <w:jc w:val="both"/>
              <w:rPr>
                <w:rFonts w:ascii="Garamond" w:hAnsi="Garamond"/>
                <w:sz w:val="20"/>
                <w:szCs w:val="20"/>
              </w:rPr>
            </w:pPr>
          </w:p>
        </w:tc>
        <w:tc>
          <w:tcPr>
            <w:tcW w:w="827" w:type="pct"/>
            <w:tcBorders>
              <w:top w:val="nil"/>
              <w:left w:val="nil"/>
              <w:bottom w:val="nil"/>
              <w:right w:val="nil"/>
            </w:tcBorders>
          </w:tcPr>
          <w:p w14:paraId="1D76F98D"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0.0237***</w:t>
            </w:r>
          </w:p>
        </w:tc>
        <w:tc>
          <w:tcPr>
            <w:tcW w:w="827" w:type="pct"/>
            <w:tcBorders>
              <w:top w:val="nil"/>
              <w:left w:val="nil"/>
              <w:bottom w:val="nil"/>
              <w:right w:val="nil"/>
            </w:tcBorders>
          </w:tcPr>
          <w:p w14:paraId="7850590E"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0.0233***</w:t>
            </w:r>
          </w:p>
        </w:tc>
        <w:tc>
          <w:tcPr>
            <w:tcW w:w="896" w:type="pct"/>
            <w:tcBorders>
              <w:top w:val="nil"/>
              <w:left w:val="nil"/>
              <w:bottom w:val="nil"/>
              <w:right w:val="nil"/>
            </w:tcBorders>
          </w:tcPr>
          <w:p w14:paraId="3D756F30"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0.0187***</w:t>
            </w:r>
          </w:p>
        </w:tc>
      </w:tr>
      <w:tr w:rsidR="00CC46A8" w:rsidRPr="006A05A1" w14:paraId="206BEAB6" w14:textId="77777777" w:rsidTr="006A05A1">
        <w:trPr>
          <w:trHeight w:val="20"/>
          <w:jc w:val="center"/>
        </w:trPr>
        <w:tc>
          <w:tcPr>
            <w:tcW w:w="1692" w:type="pct"/>
            <w:tcBorders>
              <w:top w:val="nil"/>
              <w:left w:val="nil"/>
              <w:bottom w:val="nil"/>
              <w:right w:val="nil"/>
            </w:tcBorders>
          </w:tcPr>
          <w:p w14:paraId="2FFA9D89" w14:textId="77777777" w:rsidR="00CC46A8" w:rsidRPr="006A05A1" w:rsidRDefault="00CC46A8" w:rsidP="00155715">
            <w:pPr>
              <w:widowControl w:val="0"/>
              <w:autoSpaceDE w:val="0"/>
              <w:autoSpaceDN w:val="0"/>
              <w:adjustRightInd w:val="0"/>
              <w:jc w:val="both"/>
              <w:rPr>
                <w:rFonts w:ascii="Garamond" w:hAnsi="Garamond"/>
                <w:sz w:val="20"/>
                <w:szCs w:val="20"/>
              </w:rPr>
            </w:pPr>
          </w:p>
        </w:tc>
        <w:tc>
          <w:tcPr>
            <w:tcW w:w="758" w:type="pct"/>
            <w:tcBorders>
              <w:top w:val="nil"/>
              <w:left w:val="nil"/>
              <w:bottom w:val="nil"/>
              <w:right w:val="nil"/>
            </w:tcBorders>
          </w:tcPr>
          <w:p w14:paraId="3C7A5F5F" w14:textId="77777777" w:rsidR="00CC46A8" w:rsidRPr="006A05A1" w:rsidRDefault="00CC46A8" w:rsidP="00155715">
            <w:pPr>
              <w:widowControl w:val="0"/>
              <w:autoSpaceDE w:val="0"/>
              <w:autoSpaceDN w:val="0"/>
              <w:adjustRightInd w:val="0"/>
              <w:jc w:val="both"/>
              <w:rPr>
                <w:rFonts w:ascii="Garamond" w:hAnsi="Garamond"/>
                <w:sz w:val="20"/>
                <w:szCs w:val="20"/>
              </w:rPr>
            </w:pPr>
          </w:p>
        </w:tc>
        <w:tc>
          <w:tcPr>
            <w:tcW w:w="827" w:type="pct"/>
            <w:tcBorders>
              <w:top w:val="nil"/>
              <w:left w:val="nil"/>
              <w:bottom w:val="nil"/>
              <w:right w:val="nil"/>
            </w:tcBorders>
          </w:tcPr>
          <w:p w14:paraId="3DA987BE"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(0.00537)</w:t>
            </w:r>
          </w:p>
        </w:tc>
        <w:tc>
          <w:tcPr>
            <w:tcW w:w="827" w:type="pct"/>
            <w:tcBorders>
              <w:top w:val="nil"/>
              <w:left w:val="nil"/>
              <w:bottom w:val="nil"/>
              <w:right w:val="nil"/>
            </w:tcBorders>
          </w:tcPr>
          <w:p w14:paraId="2BC961C3"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(0.00535)</w:t>
            </w:r>
          </w:p>
        </w:tc>
        <w:tc>
          <w:tcPr>
            <w:tcW w:w="896" w:type="pct"/>
            <w:tcBorders>
              <w:top w:val="nil"/>
              <w:left w:val="nil"/>
              <w:bottom w:val="nil"/>
              <w:right w:val="nil"/>
            </w:tcBorders>
          </w:tcPr>
          <w:p w14:paraId="67B8323B"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(0.00551)</w:t>
            </w:r>
          </w:p>
        </w:tc>
      </w:tr>
      <w:tr w:rsidR="00CC46A8" w:rsidRPr="006A05A1" w14:paraId="3694F1E7" w14:textId="77777777" w:rsidTr="006A05A1">
        <w:trPr>
          <w:trHeight w:val="20"/>
          <w:jc w:val="center"/>
        </w:trPr>
        <w:tc>
          <w:tcPr>
            <w:tcW w:w="1692" w:type="pct"/>
            <w:tcBorders>
              <w:top w:val="nil"/>
              <w:left w:val="nil"/>
              <w:bottom w:val="nil"/>
              <w:right w:val="nil"/>
            </w:tcBorders>
          </w:tcPr>
          <w:p w14:paraId="67180375"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PIB</w:t>
            </w:r>
          </w:p>
        </w:tc>
        <w:tc>
          <w:tcPr>
            <w:tcW w:w="758" w:type="pct"/>
            <w:tcBorders>
              <w:top w:val="nil"/>
              <w:left w:val="nil"/>
              <w:bottom w:val="nil"/>
              <w:right w:val="nil"/>
            </w:tcBorders>
          </w:tcPr>
          <w:p w14:paraId="1F499A50" w14:textId="77777777" w:rsidR="00CC46A8" w:rsidRPr="006A05A1" w:rsidRDefault="00CC46A8" w:rsidP="00155715">
            <w:pPr>
              <w:widowControl w:val="0"/>
              <w:autoSpaceDE w:val="0"/>
              <w:autoSpaceDN w:val="0"/>
              <w:adjustRightInd w:val="0"/>
              <w:jc w:val="both"/>
              <w:rPr>
                <w:rFonts w:ascii="Garamond" w:hAnsi="Garamond"/>
                <w:sz w:val="20"/>
                <w:szCs w:val="20"/>
              </w:rPr>
            </w:pPr>
          </w:p>
        </w:tc>
        <w:tc>
          <w:tcPr>
            <w:tcW w:w="827" w:type="pct"/>
            <w:tcBorders>
              <w:top w:val="nil"/>
              <w:left w:val="nil"/>
              <w:bottom w:val="nil"/>
              <w:right w:val="nil"/>
            </w:tcBorders>
          </w:tcPr>
          <w:p w14:paraId="65B1BDBC"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0.0113**</w:t>
            </w:r>
          </w:p>
        </w:tc>
        <w:tc>
          <w:tcPr>
            <w:tcW w:w="827" w:type="pct"/>
            <w:tcBorders>
              <w:top w:val="nil"/>
              <w:left w:val="nil"/>
              <w:bottom w:val="nil"/>
              <w:right w:val="nil"/>
            </w:tcBorders>
          </w:tcPr>
          <w:p w14:paraId="6EC8CADB"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0.0128**</w:t>
            </w:r>
          </w:p>
        </w:tc>
        <w:tc>
          <w:tcPr>
            <w:tcW w:w="896" w:type="pct"/>
            <w:tcBorders>
              <w:top w:val="nil"/>
              <w:left w:val="nil"/>
              <w:bottom w:val="nil"/>
              <w:right w:val="nil"/>
            </w:tcBorders>
          </w:tcPr>
          <w:p w14:paraId="281B338A"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0.00447</w:t>
            </w:r>
          </w:p>
        </w:tc>
      </w:tr>
      <w:tr w:rsidR="00CC46A8" w:rsidRPr="006A05A1" w14:paraId="447592A2" w14:textId="77777777" w:rsidTr="006A05A1">
        <w:trPr>
          <w:trHeight w:val="20"/>
          <w:jc w:val="center"/>
        </w:trPr>
        <w:tc>
          <w:tcPr>
            <w:tcW w:w="1692" w:type="pct"/>
            <w:tcBorders>
              <w:top w:val="nil"/>
              <w:left w:val="nil"/>
              <w:bottom w:val="nil"/>
              <w:right w:val="nil"/>
            </w:tcBorders>
          </w:tcPr>
          <w:p w14:paraId="0B10EA50" w14:textId="77777777" w:rsidR="00CC46A8" w:rsidRPr="006A05A1" w:rsidRDefault="00CC46A8" w:rsidP="00155715">
            <w:pPr>
              <w:widowControl w:val="0"/>
              <w:autoSpaceDE w:val="0"/>
              <w:autoSpaceDN w:val="0"/>
              <w:adjustRightInd w:val="0"/>
              <w:jc w:val="both"/>
              <w:rPr>
                <w:rFonts w:ascii="Garamond" w:hAnsi="Garamond"/>
                <w:sz w:val="20"/>
                <w:szCs w:val="20"/>
              </w:rPr>
            </w:pPr>
          </w:p>
        </w:tc>
        <w:tc>
          <w:tcPr>
            <w:tcW w:w="758" w:type="pct"/>
            <w:tcBorders>
              <w:top w:val="nil"/>
              <w:left w:val="nil"/>
              <w:bottom w:val="nil"/>
              <w:right w:val="nil"/>
            </w:tcBorders>
          </w:tcPr>
          <w:p w14:paraId="22F9A5CD" w14:textId="77777777" w:rsidR="00CC46A8" w:rsidRPr="006A05A1" w:rsidRDefault="00CC46A8" w:rsidP="00155715">
            <w:pPr>
              <w:widowControl w:val="0"/>
              <w:autoSpaceDE w:val="0"/>
              <w:autoSpaceDN w:val="0"/>
              <w:adjustRightInd w:val="0"/>
              <w:jc w:val="both"/>
              <w:rPr>
                <w:rFonts w:ascii="Garamond" w:hAnsi="Garamond"/>
                <w:sz w:val="20"/>
                <w:szCs w:val="20"/>
              </w:rPr>
            </w:pPr>
          </w:p>
        </w:tc>
        <w:tc>
          <w:tcPr>
            <w:tcW w:w="827" w:type="pct"/>
            <w:tcBorders>
              <w:top w:val="nil"/>
              <w:left w:val="nil"/>
              <w:bottom w:val="nil"/>
              <w:right w:val="nil"/>
            </w:tcBorders>
          </w:tcPr>
          <w:p w14:paraId="5E5A7FCA"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(0.00531)</w:t>
            </w:r>
          </w:p>
        </w:tc>
        <w:tc>
          <w:tcPr>
            <w:tcW w:w="827" w:type="pct"/>
            <w:tcBorders>
              <w:top w:val="nil"/>
              <w:left w:val="nil"/>
              <w:bottom w:val="nil"/>
              <w:right w:val="nil"/>
            </w:tcBorders>
          </w:tcPr>
          <w:p w14:paraId="50E54BD0"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(0.00527)</w:t>
            </w:r>
          </w:p>
        </w:tc>
        <w:tc>
          <w:tcPr>
            <w:tcW w:w="896" w:type="pct"/>
            <w:tcBorders>
              <w:top w:val="nil"/>
              <w:left w:val="nil"/>
              <w:bottom w:val="nil"/>
              <w:right w:val="nil"/>
            </w:tcBorders>
          </w:tcPr>
          <w:p w14:paraId="079A45D4"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(0.00544)</w:t>
            </w:r>
          </w:p>
        </w:tc>
      </w:tr>
      <w:tr w:rsidR="00CC46A8" w:rsidRPr="006A05A1" w14:paraId="4AF0227D" w14:textId="77777777" w:rsidTr="006A05A1">
        <w:trPr>
          <w:trHeight w:val="20"/>
          <w:jc w:val="center"/>
        </w:trPr>
        <w:tc>
          <w:tcPr>
            <w:tcW w:w="1692" w:type="pct"/>
            <w:tcBorders>
              <w:top w:val="nil"/>
              <w:left w:val="nil"/>
              <w:bottom w:val="nil"/>
              <w:right w:val="nil"/>
            </w:tcBorders>
          </w:tcPr>
          <w:p w14:paraId="6D8728AA" w14:textId="77777777" w:rsidR="00CC46A8" w:rsidRPr="006A05A1" w:rsidRDefault="00CC46A8" w:rsidP="00155715">
            <w:pPr>
              <w:widowControl w:val="0"/>
              <w:autoSpaceDE w:val="0"/>
              <w:autoSpaceDN w:val="0"/>
              <w:adjustRightInd w:val="0"/>
              <w:jc w:val="both"/>
              <w:rPr>
                <w:rFonts w:ascii="Garamond" w:hAnsi="Garamond"/>
                <w:sz w:val="20"/>
                <w:szCs w:val="20"/>
              </w:rPr>
            </w:pPr>
            <w:proofErr w:type="spellStart"/>
            <w:r w:rsidRPr="006A05A1">
              <w:rPr>
                <w:rFonts w:ascii="Garamond" w:hAnsi="Garamond"/>
                <w:sz w:val="20"/>
                <w:szCs w:val="20"/>
              </w:rPr>
              <w:t>PIB_per</w:t>
            </w:r>
            <w:proofErr w:type="spellEnd"/>
          </w:p>
        </w:tc>
        <w:tc>
          <w:tcPr>
            <w:tcW w:w="758" w:type="pct"/>
            <w:tcBorders>
              <w:top w:val="nil"/>
              <w:left w:val="nil"/>
              <w:bottom w:val="nil"/>
              <w:right w:val="nil"/>
            </w:tcBorders>
          </w:tcPr>
          <w:p w14:paraId="752FFD76" w14:textId="77777777" w:rsidR="00CC46A8" w:rsidRPr="006A05A1" w:rsidRDefault="00CC46A8" w:rsidP="00155715">
            <w:pPr>
              <w:widowControl w:val="0"/>
              <w:autoSpaceDE w:val="0"/>
              <w:autoSpaceDN w:val="0"/>
              <w:adjustRightInd w:val="0"/>
              <w:jc w:val="both"/>
              <w:rPr>
                <w:rFonts w:ascii="Garamond" w:hAnsi="Garamond"/>
                <w:sz w:val="20"/>
                <w:szCs w:val="20"/>
              </w:rPr>
            </w:pPr>
          </w:p>
        </w:tc>
        <w:tc>
          <w:tcPr>
            <w:tcW w:w="827" w:type="pct"/>
            <w:tcBorders>
              <w:top w:val="nil"/>
              <w:left w:val="nil"/>
              <w:bottom w:val="nil"/>
              <w:right w:val="nil"/>
            </w:tcBorders>
          </w:tcPr>
          <w:p w14:paraId="4D1B93DF"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3.36e-05***</w:t>
            </w:r>
          </w:p>
        </w:tc>
        <w:tc>
          <w:tcPr>
            <w:tcW w:w="827" w:type="pct"/>
            <w:tcBorders>
              <w:top w:val="nil"/>
              <w:left w:val="nil"/>
              <w:bottom w:val="nil"/>
              <w:right w:val="nil"/>
            </w:tcBorders>
          </w:tcPr>
          <w:p w14:paraId="3604C387"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2.57e-05***</w:t>
            </w:r>
          </w:p>
        </w:tc>
        <w:tc>
          <w:tcPr>
            <w:tcW w:w="896" w:type="pct"/>
            <w:tcBorders>
              <w:top w:val="nil"/>
              <w:left w:val="nil"/>
              <w:bottom w:val="nil"/>
              <w:right w:val="nil"/>
            </w:tcBorders>
          </w:tcPr>
          <w:p w14:paraId="6FCDF2FF"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3.08e-05***</w:t>
            </w:r>
          </w:p>
        </w:tc>
      </w:tr>
      <w:tr w:rsidR="00CC46A8" w:rsidRPr="006A05A1" w14:paraId="57D6B38C" w14:textId="77777777" w:rsidTr="006A05A1">
        <w:trPr>
          <w:trHeight w:val="20"/>
          <w:jc w:val="center"/>
        </w:trPr>
        <w:tc>
          <w:tcPr>
            <w:tcW w:w="1692" w:type="pct"/>
            <w:tcBorders>
              <w:top w:val="nil"/>
              <w:left w:val="nil"/>
              <w:bottom w:val="nil"/>
              <w:right w:val="nil"/>
            </w:tcBorders>
          </w:tcPr>
          <w:p w14:paraId="7967E701" w14:textId="77777777" w:rsidR="00CC46A8" w:rsidRPr="006A05A1" w:rsidRDefault="00CC46A8" w:rsidP="00155715">
            <w:pPr>
              <w:widowControl w:val="0"/>
              <w:autoSpaceDE w:val="0"/>
              <w:autoSpaceDN w:val="0"/>
              <w:adjustRightInd w:val="0"/>
              <w:jc w:val="both"/>
              <w:rPr>
                <w:rFonts w:ascii="Garamond" w:hAnsi="Garamond"/>
                <w:sz w:val="20"/>
                <w:szCs w:val="20"/>
              </w:rPr>
            </w:pPr>
          </w:p>
        </w:tc>
        <w:tc>
          <w:tcPr>
            <w:tcW w:w="758" w:type="pct"/>
            <w:tcBorders>
              <w:top w:val="nil"/>
              <w:left w:val="nil"/>
              <w:bottom w:val="nil"/>
              <w:right w:val="nil"/>
            </w:tcBorders>
          </w:tcPr>
          <w:p w14:paraId="22160A26" w14:textId="77777777" w:rsidR="00CC46A8" w:rsidRPr="006A05A1" w:rsidRDefault="00CC46A8" w:rsidP="00155715">
            <w:pPr>
              <w:widowControl w:val="0"/>
              <w:autoSpaceDE w:val="0"/>
              <w:autoSpaceDN w:val="0"/>
              <w:adjustRightInd w:val="0"/>
              <w:jc w:val="both"/>
              <w:rPr>
                <w:rFonts w:ascii="Garamond" w:hAnsi="Garamond"/>
                <w:sz w:val="20"/>
                <w:szCs w:val="20"/>
              </w:rPr>
            </w:pPr>
          </w:p>
        </w:tc>
        <w:tc>
          <w:tcPr>
            <w:tcW w:w="827" w:type="pct"/>
            <w:tcBorders>
              <w:top w:val="nil"/>
              <w:left w:val="nil"/>
              <w:bottom w:val="nil"/>
              <w:right w:val="nil"/>
            </w:tcBorders>
          </w:tcPr>
          <w:p w14:paraId="42902627"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(5.46e-06)</w:t>
            </w:r>
          </w:p>
        </w:tc>
        <w:tc>
          <w:tcPr>
            <w:tcW w:w="827" w:type="pct"/>
            <w:tcBorders>
              <w:top w:val="nil"/>
              <w:left w:val="nil"/>
              <w:bottom w:val="nil"/>
              <w:right w:val="nil"/>
            </w:tcBorders>
          </w:tcPr>
          <w:p w14:paraId="2F14718C"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(5.52e-06)</w:t>
            </w:r>
          </w:p>
        </w:tc>
        <w:tc>
          <w:tcPr>
            <w:tcW w:w="896" w:type="pct"/>
            <w:tcBorders>
              <w:top w:val="nil"/>
              <w:left w:val="nil"/>
              <w:bottom w:val="nil"/>
              <w:right w:val="nil"/>
            </w:tcBorders>
          </w:tcPr>
          <w:p w14:paraId="3E54D75C"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(5.14e-06)</w:t>
            </w:r>
          </w:p>
        </w:tc>
      </w:tr>
      <w:tr w:rsidR="00CC46A8" w:rsidRPr="006A05A1" w14:paraId="385462C9" w14:textId="77777777" w:rsidTr="006A05A1">
        <w:trPr>
          <w:trHeight w:val="20"/>
          <w:jc w:val="center"/>
        </w:trPr>
        <w:tc>
          <w:tcPr>
            <w:tcW w:w="1692" w:type="pct"/>
            <w:tcBorders>
              <w:top w:val="nil"/>
              <w:left w:val="nil"/>
              <w:bottom w:val="nil"/>
              <w:right w:val="nil"/>
            </w:tcBorders>
          </w:tcPr>
          <w:p w14:paraId="62B2D481"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IPC</w:t>
            </w:r>
          </w:p>
        </w:tc>
        <w:tc>
          <w:tcPr>
            <w:tcW w:w="758" w:type="pct"/>
            <w:tcBorders>
              <w:top w:val="nil"/>
              <w:left w:val="nil"/>
              <w:bottom w:val="nil"/>
              <w:right w:val="nil"/>
            </w:tcBorders>
          </w:tcPr>
          <w:p w14:paraId="018F401E" w14:textId="77777777" w:rsidR="00CC46A8" w:rsidRPr="006A05A1" w:rsidRDefault="00CC46A8" w:rsidP="00155715">
            <w:pPr>
              <w:widowControl w:val="0"/>
              <w:autoSpaceDE w:val="0"/>
              <w:autoSpaceDN w:val="0"/>
              <w:adjustRightInd w:val="0"/>
              <w:jc w:val="both"/>
              <w:rPr>
                <w:rFonts w:ascii="Garamond" w:hAnsi="Garamond"/>
                <w:sz w:val="20"/>
                <w:szCs w:val="20"/>
              </w:rPr>
            </w:pPr>
          </w:p>
        </w:tc>
        <w:tc>
          <w:tcPr>
            <w:tcW w:w="827" w:type="pct"/>
            <w:tcBorders>
              <w:top w:val="nil"/>
              <w:left w:val="nil"/>
              <w:bottom w:val="nil"/>
              <w:right w:val="nil"/>
            </w:tcBorders>
          </w:tcPr>
          <w:p w14:paraId="6F9B7DE9"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-2.37e-06</w:t>
            </w:r>
          </w:p>
        </w:tc>
        <w:tc>
          <w:tcPr>
            <w:tcW w:w="827" w:type="pct"/>
            <w:tcBorders>
              <w:top w:val="nil"/>
              <w:left w:val="nil"/>
              <w:bottom w:val="nil"/>
              <w:right w:val="nil"/>
            </w:tcBorders>
          </w:tcPr>
          <w:p w14:paraId="3B3A4AA2"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-2.31e-06</w:t>
            </w:r>
          </w:p>
        </w:tc>
        <w:tc>
          <w:tcPr>
            <w:tcW w:w="896" w:type="pct"/>
            <w:tcBorders>
              <w:top w:val="nil"/>
              <w:left w:val="nil"/>
              <w:bottom w:val="nil"/>
              <w:right w:val="nil"/>
            </w:tcBorders>
          </w:tcPr>
          <w:p w14:paraId="464DF8F3"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-3.79e-06</w:t>
            </w:r>
          </w:p>
        </w:tc>
      </w:tr>
      <w:tr w:rsidR="00CC46A8" w:rsidRPr="006A05A1" w14:paraId="32FB9ED0" w14:textId="77777777" w:rsidTr="006A05A1">
        <w:trPr>
          <w:trHeight w:val="20"/>
          <w:jc w:val="center"/>
        </w:trPr>
        <w:tc>
          <w:tcPr>
            <w:tcW w:w="1692" w:type="pct"/>
            <w:tcBorders>
              <w:top w:val="nil"/>
              <w:left w:val="nil"/>
              <w:bottom w:val="nil"/>
              <w:right w:val="nil"/>
            </w:tcBorders>
          </w:tcPr>
          <w:p w14:paraId="185E9110" w14:textId="77777777" w:rsidR="00CC46A8" w:rsidRPr="006A05A1" w:rsidRDefault="00CC46A8" w:rsidP="00155715">
            <w:pPr>
              <w:widowControl w:val="0"/>
              <w:autoSpaceDE w:val="0"/>
              <w:autoSpaceDN w:val="0"/>
              <w:adjustRightInd w:val="0"/>
              <w:jc w:val="both"/>
              <w:rPr>
                <w:rFonts w:ascii="Garamond" w:hAnsi="Garamond"/>
                <w:sz w:val="20"/>
                <w:szCs w:val="20"/>
              </w:rPr>
            </w:pPr>
          </w:p>
        </w:tc>
        <w:tc>
          <w:tcPr>
            <w:tcW w:w="758" w:type="pct"/>
            <w:tcBorders>
              <w:top w:val="nil"/>
              <w:left w:val="nil"/>
              <w:bottom w:val="nil"/>
              <w:right w:val="nil"/>
            </w:tcBorders>
          </w:tcPr>
          <w:p w14:paraId="7EEFD6B2" w14:textId="77777777" w:rsidR="00CC46A8" w:rsidRPr="006A05A1" w:rsidRDefault="00CC46A8" w:rsidP="00155715">
            <w:pPr>
              <w:widowControl w:val="0"/>
              <w:autoSpaceDE w:val="0"/>
              <w:autoSpaceDN w:val="0"/>
              <w:adjustRightInd w:val="0"/>
              <w:jc w:val="both"/>
              <w:rPr>
                <w:rFonts w:ascii="Garamond" w:hAnsi="Garamond"/>
                <w:sz w:val="20"/>
                <w:szCs w:val="20"/>
              </w:rPr>
            </w:pPr>
          </w:p>
        </w:tc>
        <w:tc>
          <w:tcPr>
            <w:tcW w:w="827" w:type="pct"/>
            <w:tcBorders>
              <w:top w:val="nil"/>
              <w:left w:val="nil"/>
              <w:bottom w:val="nil"/>
              <w:right w:val="nil"/>
            </w:tcBorders>
          </w:tcPr>
          <w:p w14:paraId="520C5A3B"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(9.71e-06)</w:t>
            </w:r>
          </w:p>
        </w:tc>
        <w:tc>
          <w:tcPr>
            <w:tcW w:w="827" w:type="pct"/>
            <w:tcBorders>
              <w:top w:val="nil"/>
              <w:left w:val="nil"/>
              <w:bottom w:val="nil"/>
              <w:right w:val="nil"/>
            </w:tcBorders>
          </w:tcPr>
          <w:p w14:paraId="3EEE751B"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(9.64e-06)</w:t>
            </w:r>
          </w:p>
        </w:tc>
        <w:tc>
          <w:tcPr>
            <w:tcW w:w="896" w:type="pct"/>
            <w:tcBorders>
              <w:top w:val="nil"/>
              <w:left w:val="nil"/>
              <w:bottom w:val="nil"/>
              <w:right w:val="nil"/>
            </w:tcBorders>
          </w:tcPr>
          <w:p w14:paraId="5D0F6752"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(9.54e-06)</w:t>
            </w:r>
          </w:p>
        </w:tc>
      </w:tr>
      <w:tr w:rsidR="00CC46A8" w:rsidRPr="006A05A1" w14:paraId="4CBA3789" w14:textId="77777777" w:rsidTr="006A05A1">
        <w:trPr>
          <w:trHeight w:val="20"/>
          <w:jc w:val="center"/>
        </w:trPr>
        <w:tc>
          <w:tcPr>
            <w:tcW w:w="1692" w:type="pct"/>
            <w:tcBorders>
              <w:top w:val="nil"/>
              <w:left w:val="nil"/>
              <w:bottom w:val="nil"/>
              <w:right w:val="nil"/>
            </w:tcBorders>
          </w:tcPr>
          <w:p w14:paraId="7A086C39"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BC</w:t>
            </w:r>
          </w:p>
        </w:tc>
        <w:tc>
          <w:tcPr>
            <w:tcW w:w="758" w:type="pct"/>
            <w:tcBorders>
              <w:top w:val="nil"/>
              <w:left w:val="nil"/>
              <w:bottom w:val="nil"/>
              <w:right w:val="nil"/>
            </w:tcBorders>
          </w:tcPr>
          <w:p w14:paraId="302CBEAB" w14:textId="77777777" w:rsidR="00CC46A8" w:rsidRPr="006A05A1" w:rsidRDefault="00CC46A8" w:rsidP="00155715">
            <w:pPr>
              <w:widowControl w:val="0"/>
              <w:autoSpaceDE w:val="0"/>
              <w:autoSpaceDN w:val="0"/>
              <w:adjustRightInd w:val="0"/>
              <w:jc w:val="both"/>
              <w:rPr>
                <w:rFonts w:ascii="Garamond" w:hAnsi="Garamond"/>
                <w:sz w:val="20"/>
                <w:szCs w:val="20"/>
              </w:rPr>
            </w:pPr>
          </w:p>
        </w:tc>
        <w:tc>
          <w:tcPr>
            <w:tcW w:w="827" w:type="pct"/>
            <w:tcBorders>
              <w:top w:val="nil"/>
              <w:left w:val="nil"/>
              <w:bottom w:val="nil"/>
              <w:right w:val="nil"/>
            </w:tcBorders>
          </w:tcPr>
          <w:p w14:paraId="3F9B789E"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-1.21e-07</w:t>
            </w:r>
          </w:p>
        </w:tc>
        <w:tc>
          <w:tcPr>
            <w:tcW w:w="827" w:type="pct"/>
            <w:tcBorders>
              <w:top w:val="nil"/>
              <w:left w:val="nil"/>
              <w:bottom w:val="nil"/>
              <w:right w:val="nil"/>
            </w:tcBorders>
          </w:tcPr>
          <w:p w14:paraId="4A6F1EB6"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-6.32e-08</w:t>
            </w:r>
          </w:p>
        </w:tc>
        <w:tc>
          <w:tcPr>
            <w:tcW w:w="896" w:type="pct"/>
            <w:tcBorders>
              <w:top w:val="nil"/>
              <w:left w:val="nil"/>
              <w:bottom w:val="nil"/>
              <w:right w:val="nil"/>
            </w:tcBorders>
          </w:tcPr>
          <w:p w14:paraId="23FA19BD"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-1.10e-07</w:t>
            </w:r>
          </w:p>
        </w:tc>
      </w:tr>
      <w:tr w:rsidR="00CC46A8" w:rsidRPr="006A05A1" w14:paraId="14F39935" w14:textId="77777777" w:rsidTr="006A05A1">
        <w:trPr>
          <w:trHeight w:val="20"/>
          <w:jc w:val="center"/>
        </w:trPr>
        <w:tc>
          <w:tcPr>
            <w:tcW w:w="1692" w:type="pct"/>
            <w:tcBorders>
              <w:top w:val="nil"/>
              <w:left w:val="nil"/>
              <w:bottom w:val="nil"/>
              <w:right w:val="nil"/>
            </w:tcBorders>
          </w:tcPr>
          <w:p w14:paraId="1EF14E60" w14:textId="77777777" w:rsidR="00CC46A8" w:rsidRPr="006A05A1" w:rsidRDefault="00CC46A8" w:rsidP="00155715">
            <w:pPr>
              <w:widowControl w:val="0"/>
              <w:autoSpaceDE w:val="0"/>
              <w:autoSpaceDN w:val="0"/>
              <w:adjustRightInd w:val="0"/>
              <w:jc w:val="both"/>
              <w:rPr>
                <w:rFonts w:ascii="Garamond" w:hAnsi="Garamond"/>
                <w:sz w:val="20"/>
                <w:szCs w:val="20"/>
              </w:rPr>
            </w:pPr>
          </w:p>
        </w:tc>
        <w:tc>
          <w:tcPr>
            <w:tcW w:w="758" w:type="pct"/>
            <w:tcBorders>
              <w:top w:val="nil"/>
              <w:left w:val="nil"/>
              <w:bottom w:val="nil"/>
              <w:right w:val="nil"/>
            </w:tcBorders>
          </w:tcPr>
          <w:p w14:paraId="2A5876EB" w14:textId="77777777" w:rsidR="00CC46A8" w:rsidRPr="006A05A1" w:rsidRDefault="00CC46A8" w:rsidP="00155715">
            <w:pPr>
              <w:widowControl w:val="0"/>
              <w:autoSpaceDE w:val="0"/>
              <w:autoSpaceDN w:val="0"/>
              <w:adjustRightInd w:val="0"/>
              <w:jc w:val="both"/>
              <w:rPr>
                <w:rFonts w:ascii="Garamond" w:hAnsi="Garamond"/>
                <w:sz w:val="20"/>
                <w:szCs w:val="20"/>
              </w:rPr>
            </w:pPr>
          </w:p>
        </w:tc>
        <w:tc>
          <w:tcPr>
            <w:tcW w:w="827" w:type="pct"/>
            <w:tcBorders>
              <w:top w:val="nil"/>
              <w:left w:val="nil"/>
              <w:bottom w:val="nil"/>
              <w:right w:val="nil"/>
            </w:tcBorders>
          </w:tcPr>
          <w:p w14:paraId="1ED6D822"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(9.87e-08)</w:t>
            </w:r>
          </w:p>
        </w:tc>
        <w:tc>
          <w:tcPr>
            <w:tcW w:w="827" w:type="pct"/>
            <w:tcBorders>
              <w:top w:val="nil"/>
              <w:left w:val="nil"/>
              <w:bottom w:val="nil"/>
              <w:right w:val="nil"/>
            </w:tcBorders>
          </w:tcPr>
          <w:p w14:paraId="332E641F"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(1.01e-07)</w:t>
            </w:r>
          </w:p>
        </w:tc>
        <w:tc>
          <w:tcPr>
            <w:tcW w:w="896" w:type="pct"/>
            <w:tcBorders>
              <w:top w:val="nil"/>
              <w:left w:val="nil"/>
              <w:bottom w:val="nil"/>
              <w:right w:val="nil"/>
            </w:tcBorders>
          </w:tcPr>
          <w:p w14:paraId="15C3D5F3"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(9.97e-08)</w:t>
            </w:r>
          </w:p>
        </w:tc>
      </w:tr>
      <w:tr w:rsidR="00CC46A8" w:rsidRPr="006A05A1" w14:paraId="5ABF9982" w14:textId="77777777" w:rsidTr="006A05A1">
        <w:trPr>
          <w:trHeight w:val="20"/>
          <w:jc w:val="center"/>
        </w:trPr>
        <w:tc>
          <w:tcPr>
            <w:tcW w:w="1692" w:type="pct"/>
            <w:tcBorders>
              <w:top w:val="nil"/>
              <w:left w:val="nil"/>
              <w:bottom w:val="nil"/>
              <w:right w:val="nil"/>
            </w:tcBorders>
          </w:tcPr>
          <w:p w14:paraId="60493622" w14:textId="77777777" w:rsidR="00CC46A8" w:rsidRPr="006A05A1" w:rsidRDefault="00CC46A8" w:rsidP="00155715">
            <w:pPr>
              <w:widowControl w:val="0"/>
              <w:autoSpaceDE w:val="0"/>
              <w:autoSpaceDN w:val="0"/>
              <w:adjustRightInd w:val="0"/>
              <w:jc w:val="both"/>
              <w:rPr>
                <w:rFonts w:ascii="Garamond" w:hAnsi="Garamond"/>
                <w:sz w:val="20"/>
                <w:szCs w:val="20"/>
              </w:rPr>
            </w:pPr>
            <w:proofErr w:type="spellStart"/>
            <w:r w:rsidRPr="006A05A1">
              <w:rPr>
                <w:rFonts w:ascii="Garamond" w:hAnsi="Garamond"/>
                <w:sz w:val="20"/>
                <w:szCs w:val="20"/>
              </w:rPr>
              <w:t>Acuerdo_comercial</w:t>
            </w:r>
            <w:proofErr w:type="spellEnd"/>
          </w:p>
        </w:tc>
        <w:tc>
          <w:tcPr>
            <w:tcW w:w="758" w:type="pct"/>
            <w:tcBorders>
              <w:top w:val="nil"/>
              <w:left w:val="nil"/>
              <w:bottom w:val="nil"/>
              <w:right w:val="nil"/>
            </w:tcBorders>
          </w:tcPr>
          <w:p w14:paraId="73AE92CF" w14:textId="77777777" w:rsidR="00CC46A8" w:rsidRPr="006A05A1" w:rsidRDefault="00CC46A8" w:rsidP="00155715">
            <w:pPr>
              <w:widowControl w:val="0"/>
              <w:autoSpaceDE w:val="0"/>
              <w:autoSpaceDN w:val="0"/>
              <w:adjustRightInd w:val="0"/>
              <w:jc w:val="both"/>
              <w:rPr>
                <w:rFonts w:ascii="Garamond" w:hAnsi="Garamond"/>
                <w:sz w:val="20"/>
                <w:szCs w:val="20"/>
              </w:rPr>
            </w:pPr>
          </w:p>
        </w:tc>
        <w:tc>
          <w:tcPr>
            <w:tcW w:w="827" w:type="pct"/>
            <w:tcBorders>
              <w:top w:val="nil"/>
              <w:left w:val="nil"/>
              <w:bottom w:val="nil"/>
              <w:right w:val="nil"/>
            </w:tcBorders>
          </w:tcPr>
          <w:p w14:paraId="0B4314F3" w14:textId="77777777" w:rsidR="00CC46A8" w:rsidRPr="006A05A1" w:rsidRDefault="00CC46A8" w:rsidP="00155715">
            <w:pPr>
              <w:widowControl w:val="0"/>
              <w:autoSpaceDE w:val="0"/>
              <w:autoSpaceDN w:val="0"/>
              <w:adjustRightInd w:val="0"/>
              <w:jc w:val="both"/>
              <w:rPr>
                <w:rFonts w:ascii="Garamond" w:hAnsi="Garamond"/>
                <w:sz w:val="20"/>
                <w:szCs w:val="20"/>
              </w:rPr>
            </w:pPr>
          </w:p>
        </w:tc>
        <w:tc>
          <w:tcPr>
            <w:tcW w:w="827" w:type="pct"/>
            <w:tcBorders>
              <w:top w:val="nil"/>
              <w:left w:val="nil"/>
              <w:bottom w:val="nil"/>
              <w:right w:val="nil"/>
            </w:tcBorders>
          </w:tcPr>
          <w:p w14:paraId="27876A99"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0.407***</w:t>
            </w:r>
          </w:p>
        </w:tc>
        <w:tc>
          <w:tcPr>
            <w:tcW w:w="896" w:type="pct"/>
            <w:tcBorders>
              <w:top w:val="nil"/>
              <w:left w:val="nil"/>
              <w:bottom w:val="nil"/>
              <w:right w:val="nil"/>
            </w:tcBorders>
          </w:tcPr>
          <w:p w14:paraId="11112B87"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0.601***</w:t>
            </w:r>
          </w:p>
        </w:tc>
      </w:tr>
      <w:tr w:rsidR="00CC46A8" w:rsidRPr="006A05A1" w14:paraId="1A9502F3" w14:textId="77777777" w:rsidTr="006A05A1">
        <w:trPr>
          <w:trHeight w:val="20"/>
          <w:jc w:val="center"/>
        </w:trPr>
        <w:tc>
          <w:tcPr>
            <w:tcW w:w="1692" w:type="pct"/>
            <w:tcBorders>
              <w:top w:val="nil"/>
              <w:left w:val="nil"/>
              <w:bottom w:val="nil"/>
              <w:right w:val="nil"/>
            </w:tcBorders>
          </w:tcPr>
          <w:p w14:paraId="0370E44D" w14:textId="77777777" w:rsidR="00CC46A8" w:rsidRPr="006A05A1" w:rsidRDefault="00CC46A8" w:rsidP="00155715">
            <w:pPr>
              <w:widowControl w:val="0"/>
              <w:autoSpaceDE w:val="0"/>
              <w:autoSpaceDN w:val="0"/>
              <w:adjustRightInd w:val="0"/>
              <w:jc w:val="both"/>
              <w:rPr>
                <w:rFonts w:ascii="Garamond" w:hAnsi="Garamond"/>
                <w:sz w:val="20"/>
                <w:szCs w:val="20"/>
              </w:rPr>
            </w:pPr>
          </w:p>
        </w:tc>
        <w:tc>
          <w:tcPr>
            <w:tcW w:w="758" w:type="pct"/>
            <w:tcBorders>
              <w:top w:val="nil"/>
              <w:left w:val="nil"/>
              <w:bottom w:val="nil"/>
              <w:right w:val="nil"/>
            </w:tcBorders>
          </w:tcPr>
          <w:p w14:paraId="1CF309CF" w14:textId="77777777" w:rsidR="00CC46A8" w:rsidRPr="006A05A1" w:rsidRDefault="00CC46A8" w:rsidP="00155715">
            <w:pPr>
              <w:widowControl w:val="0"/>
              <w:autoSpaceDE w:val="0"/>
              <w:autoSpaceDN w:val="0"/>
              <w:adjustRightInd w:val="0"/>
              <w:jc w:val="both"/>
              <w:rPr>
                <w:rFonts w:ascii="Garamond" w:hAnsi="Garamond"/>
                <w:sz w:val="20"/>
                <w:szCs w:val="20"/>
              </w:rPr>
            </w:pPr>
          </w:p>
        </w:tc>
        <w:tc>
          <w:tcPr>
            <w:tcW w:w="827" w:type="pct"/>
            <w:tcBorders>
              <w:top w:val="nil"/>
              <w:left w:val="nil"/>
              <w:bottom w:val="nil"/>
              <w:right w:val="nil"/>
            </w:tcBorders>
          </w:tcPr>
          <w:p w14:paraId="32CC07A4" w14:textId="77777777" w:rsidR="00CC46A8" w:rsidRPr="006A05A1" w:rsidRDefault="00CC46A8" w:rsidP="00155715">
            <w:pPr>
              <w:widowControl w:val="0"/>
              <w:autoSpaceDE w:val="0"/>
              <w:autoSpaceDN w:val="0"/>
              <w:adjustRightInd w:val="0"/>
              <w:jc w:val="both"/>
              <w:rPr>
                <w:rFonts w:ascii="Garamond" w:hAnsi="Garamond"/>
                <w:sz w:val="20"/>
                <w:szCs w:val="20"/>
              </w:rPr>
            </w:pPr>
          </w:p>
        </w:tc>
        <w:tc>
          <w:tcPr>
            <w:tcW w:w="827" w:type="pct"/>
            <w:tcBorders>
              <w:top w:val="nil"/>
              <w:left w:val="nil"/>
              <w:bottom w:val="nil"/>
              <w:right w:val="nil"/>
            </w:tcBorders>
          </w:tcPr>
          <w:p w14:paraId="584DF651"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(0.0727)</w:t>
            </w:r>
          </w:p>
        </w:tc>
        <w:tc>
          <w:tcPr>
            <w:tcW w:w="896" w:type="pct"/>
            <w:tcBorders>
              <w:top w:val="nil"/>
              <w:left w:val="nil"/>
              <w:bottom w:val="nil"/>
              <w:right w:val="nil"/>
            </w:tcBorders>
          </w:tcPr>
          <w:p w14:paraId="41EF762A"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(0.0820)</w:t>
            </w:r>
          </w:p>
        </w:tc>
      </w:tr>
      <w:tr w:rsidR="00CC46A8" w:rsidRPr="006A05A1" w14:paraId="68BB0540" w14:textId="77777777" w:rsidTr="006A05A1">
        <w:trPr>
          <w:trHeight w:val="20"/>
          <w:jc w:val="center"/>
        </w:trPr>
        <w:tc>
          <w:tcPr>
            <w:tcW w:w="1692" w:type="pct"/>
            <w:tcBorders>
              <w:top w:val="nil"/>
              <w:left w:val="nil"/>
              <w:bottom w:val="nil"/>
              <w:right w:val="nil"/>
            </w:tcBorders>
          </w:tcPr>
          <w:p w14:paraId="619EE803" w14:textId="77777777" w:rsidR="00CC46A8" w:rsidRPr="006A05A1" w:rsidRDefault="00CC46A8" w:rsidP="00155715">
            <w:pPr>
              <w:widowControl w:val="0"/>
              <w:autoSpaceDE w:val="0"/>
              <w:autoSpaceDN w:val="0"/>
              <w:adjustRightInd w:val="0"/>
              <w:jc w:val="both"/>
              <w:rPr>
                <w:rFonts w:ascii="Garamond" w:hAnsi="Garamond"/>
                <w:sz w:val="20"/>
                <w:szCs w:val="20"/>
              </w:rPr>
            </w:pPr>
            <w:proofErr w:type="spellStart"/>
            <w:r w:rsidRPr="006A05A1">
              <w:rPr>
                <w:rFonts w:ascii="Garamond" w:hAnsi="Garamond"/>
                <w:sz w:val="20"/>
                <w:szCs w:val="20"/>
              </w:rPr>
              <w:t>Acuerdo_prot_inversion</w:t>
            </w:r>
            <w:proofErr w:type="spellEnd"/>
          </w:p>
        </w:tc>
        <w:tc>
          <w:tcPr>
            <w:tcW w:w="758" w:type="pct"/>
            <w:tcBorders>
              <w:top w:val="nil"/>
              <w:left w:val="nil"/>
              <w:bottom w:val="nil"/>
              <w:right w:val="nil"/>
            </w:tcBorders>
          </w:tcPr>
          <w:p w14:paraId="28379CB9" w14:textId="77777777" w:rsidR="00CC46A8" w:rsidRPr="006A05A1" w:rsidRDefault="00CC46A8" w:rsidP="00155715">
            <w:pPr>
              <w:widowControl w:val="0"/>
              <w:autoSpaceDE w:val="0"/>
              <w:autoSpaceDN w:val="0"/>
              <w:adjustRightInd w:val="0"/>
              <w:jc w:val="both"/>
              <w:rPr>
                <w:rFonts w:ascii="Garamond" w:hAnsi="Garamond"/>
                <w:sz w:val="20"/>
                <w:szCs w:val="20"/>
              </w:rPr>
            </w:pPr>
          </w:p>
        </w:tc>
        <w:tc>
          <w:tcPr>
            <w:tcW w:w="827" w:type="pct"/>
            <w:tcBorders>
              <w:top w:val="nil"/>
              <w:left w:val="nil"/>
              <w:bottom w:val="nil"/>
              <w:right w:val="nil"/>
            </w:tcBorders>
          </w:tcPr>
          <w:p w14:paraId="788432AE" w14:textId="77777777" w:rsidR="00CC46A8" w:rsidRPr="006A05A1" w:rsidRDefault="00CC46A8" w:rsidP="00155715">
            <w:pPr>
              <w:widowControl w:val="0"/>
              <w:autoSpaceDE w:val="0"/>
              <w:autoSpaceDN w:val="0"/>
              <w:adjustRightInd w:val="0"/>
              <w:jc w:val="both"/>
              <w:rPr>
                <w:rFonts w:ascii="Garamond" w:hAnsi="Garamond"/>
                <w:sz w:val="20"/>
                <w:szCs w:val="20"/>
              </w:rPr>
            </w:pPr>
          </w:p>
        </w:tc>
        <w:tc>
          <w:tcPr>
            <w:tcW w:w="827" w:type="pct"/>
            <w:tcBorders>
              <w:top w:val="nil"/>
              <w:left w:val="nil"/>
              <w:bottom w:val="nil"/>
              <w:right w:val="nil"/>
            </w:tcBorders>
          </w:tcPr>
          <w:p w14:paraId="02993660"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0.424***</w:t>
            </w:r>
          </w:p>
        </w:tc>
        <w:tc>
          <w:tcPr>
            <w:tcW w:w="896" w:type="pct"/>
            <w:tcBorders>
              <w:top w:val="nil"/>
              <w:left w:val="nil"/>
              <w:bottom w:val="nil"/>
              <w:right w:val="nil"/>
            </w:tcBorders>
          </w:tcPr>
          <w:p w14:paraId="4AC7A969"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0.596***</w:t>
            </w:r>
          </w:p>
        </w:tc>
      </w:tr>
      <w:tr w:rsidR="00CC46A8" w:rsidRPr="006A05A1" w14:paraId="37AB5C4B" w14:textId="77777777" w:rsidTr="006A05A1">
        <w:trPr>
          <w:trHeight w:val="20"/>
          <w:jc w:val="center"/>
        </w:trPr>
        <w:tc>
          <w:tcPr>
            <w:tcW w:w="1692" w:type="pct"/>
            <w:tcBorders>
              <w:top w:val="nil"/>
              <w:left w:val="nil"/>
              <w:bottom w:val="nil"/>
              <w:right w:val="nil"/>
            </w:tcBorders>
          </w:tcPr>
          <w:p w14:paraId="69C54C80" w14:textId="77777777" w:rsidR="00CC46A8" w:rsidRPr="006A05A1" w:rsidRDefault="00CC46A8" w:rsidP="00155715">
            <w:pPr>
              <w:widowControl w:val="0"/>
              <w:autoSpaceDE w:val="0"/>
              <w:autoSpaceDN w:val="0"/>
              <w:adjustRightInd w:val="0"/>
              <w:jc w:val="both"/>
              <w:rPr>
                <w:rFonts w:ascii="Garamond" w:hAnsi="Garamond"/>
                <w:sz w:val="20"/>
                <w:szCs w:val="20"/>
              </w:rPr>
            </w:pPr>
          </w:p>
        </w:tc>
        <w:tc>
          <w:tcPr>
            <w:tcW w:w="758" w:type="pct"/>
            <w:tcBorders>
              <w:top w:val="nil"/>
              <w:left w:val="nil"/>
              <w:bottom w:val="nil"/>
              <w:right w:val="nil"/>
            </w:tcBorders>
          </w:tcPr>
          <w:p w14:paraId="5114CC0D" w14:textId="77777777" w:rsidR="00CC46A8" w:rsidRPr="006A05A1" w:rsidRDefault="00CC46A8" w:rsidP="00155715">
            <w:pPr>
              <w:widowControl w:val="0"/>
              <w:autoSpaceDE w:val="0"/>
              <w:autoSpaceDN w:val="0"/>
              <w:adjustRightInd w:val="0"/>
              <w:jc w:val="both"/>
              <w:rPr>
                <w:rFonts w:ascii="Garamond" w:hAnsi="Garamond"/>
                <w:sz w:val="20"/>
                <w:szCs w:val="20"/>
              </w:rPr>
            </w:pPr>
          </w:p>
        </w:tc>
        <w:tc>
          <w:tcPr>
            <w:tcW w:w="827" w:type="pct"/>
            <w:tcBorders>
              <w:top w:val="nil"/>
              <w:left w:val="nil"/>
              <w:bottom w:val="nil"/>
              <w:right w:val="nil"/>
            </w:tcBorders>
          </w:tcPr>
          <w:p w14:paraId="25E4EABD" w14:textId="77777777" w:rsidR="00CC46A8" w:rsidRPr="006A05A1" w:rsidRDefault="00CC46A8" w:rsidP="00155715">
            <w:pPr>
              <w:widowControl w:val="0"/>
              <w:autoSpaceDE w:val="0"/>
              <w:autoSpaceDN w:val="0"/>
              <w:adjustRightInd w:val="0"/>
              <w:jc w:val="both"/>
              <w:rPr>
                <w:rFonts w:ascii="Garamond" w:hAnsi="Garamond"/>
                <w:sz w:val="20"/>
                <w:szCs w:val="20"/>
              </w:rPr>
            </w:pPr>
          </w:p>
        </w:tc>
        <w:tc>
          <w:tcPr>
            <w:tcW w:w="827" w:type="pct"/>
            <w:tcBorders>
              <w:top w:val="nil"/>
              <w:left w:val="nil"/>
              <w:bottom w:val="nil"/>
              <w:right w:val="nil"/>
            </w:tcBorders>
          </w:tcPr>
          <w:p w14:paraId="5A0E0A3C"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(0.135)</w:t>
            </w:r>
          </w:p>
        </w:tc>
        <w:tc>
          <w:tcPr>
            <w:tcW w:w="896" w:type="pct"/>
            <w:tcBorders>
              <w:top w:val="nil"/>
              <w:left w:val="nil"/>
              <w:bottom w:val="nil"/>
              <w:right w:val="nil"/>
            </w:tcBorders>
          </w:tcPr>
          <w:p w14:paraId="67AB74C3"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(0.135)</w:t>
            </w:r>
          </w:p>
        </w:tc>
      </w:tr>
      <w:tr w:rsidR="00CC46A8" w:rsidRPr="006A05A1" w14:paraId="230F8CC7" w14:textId="77777777" w:rsidTr="006A05A1">
        <w:trPr>
          <w:trHeight w:val="20"/>
          <w:jc w:val="center"/>
        </w:trPr>
        <w:tc>
          <w:tcPr>
            <w:tcW w:w="1692" w:type="pct"/>
            <w:tcBorders>
              <w:top w:val="nil"/>
              <w:left w:val="nil"/>
              <w:bottom w:val="nil"/>
              <w:right w:val="nil"/>
            </w:tcBorders>
          </w:tcPr>
          <w:p w14:paraId="440081F6" w14:textId="77777777" w:rsidR="00CC46A8" w:rsidRPr="006A05A1" w:rsidRDefault="00CC46A8" w:rsidP="00155715">
            <w:pPr>
              <w:widowControl w:val="0"/>
              <w:autoSpaceDE w:val="0"/>
              <w:autoSpaceDN w:val="0"/>
              <w:adjustRightInd w:val="0"/>
              <w:jc w:val="both"/>
              <w:rPr>
                <w:rFonts w:ascii="Garamond" w:hAnsi="Garamond"/>
                <w:sz w:val="20"/>
                <w:szCs w:val="20"/>
              </w:rPr>
            </w:pPr>
            <w:proofErr w:type="spellStart"/>
            <w:r w:rsidRPr="006A05A1">
              <w:rPr>
                <w:rFonts w:ascii="Garamond" w:hAnsi="Garamond"/>
                <w:sz w:val="20"/>
                <w:szCs w:val="20"/>
              </w:rPr>
              <w:t>Distancia_km</w:t>
            </w:r>
            <w:proofErr w:type="spellEnd"/>
          </w:p>
        </w:tc>
        <w:tc>
          <w:tcPr>
            <w:tcW w:w="758" w:type="pct"/>
            <w:tcBorders>
              <w:top w:val="nil"/>
              <w:left w:val="nil"/>
              <w:bottom w:val="nil"/>
              <w:right w:val="nil"/>
            </w:tcBorders>
          </w:tcPr>
          <w:p w14:paraId="6286969A" w14:textId="77777777" w:rsidR="00CC46A8" w:rsidRPr="006A05A1" w:rsidRDefault="00CC46A8" w:rsidP="00155715">
            <w:pPr>
              <w:widowControl w:val="0"/>
              <w:autoSpaceDE w:val="0"/>
              <w:autoSpaceDN w:val="0"/>
              <w:adjustRightInd w:val="0"/>
              <w:jc w:val="both"/>
              <w:rPr>
                <w:rFonts w:ascii="Garamond" w:hAnsi="Garamond"/>
                <w:sz w:val="20"/>
                <w:szCs w:val="20"/>
              </w:rPr>
            </w:pPr>
          </w:p>
        </w:tc>
        <w:tc>
          <w:tcPr>
            <w:tcW w:w="827" w:type="pct"/>
            <w:tcBorders>
              <w:top w:val="nil"/>
              <w:left w:val="nil"/>
              <w:bottom w:val="nil"/>
              <w:right w:val="nil"/>
            </w:tcBorders>
          </w:tcPr>
          <w:p w14:paraId="604C82C9" w14:textId="77777777" w:rsidR="00CC46A8" w:rsidRPr="006A05A1" w:rsidRDefault="00CC46A8" w:rsidP="00155715">
            <w:pPr>
              <w:widowControl w:val="0"/>
              <w:autoSpaceDE w:val="0"/>
              <w:autoSpaceDN w:val="0"/>
              <w:adjustRightInd w:val="0"/>
              <w:jc w:val="both"/>
              <w:rPr>
                <w:rFonts w:ascii="Garamond" w:hAnsi="Garamond"/>
                <w:sz w:val="20"/>
                <w:szCs w:val="20"/>
              </w:rPr>
            </w:pPr>
          </w:p>
        </w:tc>
        <w:tc>
          <w:tcPr>
            <w:tcW w:w="827" w:type="pct"/>
            <w:tcBorders>
              <w:top w:val="nil"/>
              <w:left w:val="nil"/>
              <w:bottom w:val="nil"/>
              <w:right w:val="nil"/>
            </w:tcBorders>
          </w:tcPr>
          <w:p w14:paraId="724247FC" w14:textId="77777777" w:rsidR="00CC46A8" w:rsidRPr="006A05A1" w:rsidRDefault="00CC46A8" w:rsidP="00155715">
            <w:pPr>
              <w:widowControl w:val="0"/>
              <w:autoSpaceDE w:val="0"/>
              <w:autoSpaceDN w:val="0"/>
              <w:adjustRightInd w:val="0"/>
              <w:jc w:val="both"/>
              <w:rPr>
                <w:rFonts w:ascii="Garamond" w:hAnsi="Garamond"/>
                <w:sz w:val="20"/>
                <w:szCs w:val="20"/>
              </w:rPr>
            </w:pPr>
          </w:p>
        </w:tc>
        <w:tc>
          <w:tcPr>
            <w:tcW w:w="896" w:type="pct"/>
            <w:tcBorders>
              <w:top w:val="nil"/>
              <w:left w:val="nil"/>
              <w:bottom w:val="nil"/>
              <w:right w:val="nil"/>
            </w:tcBorders>
          </w:tcPr>
          <w:p w14:paraId="73D08F1F"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-0.000187***</w:t>
            </w:r>
          </w:p>
        </w:tc>
      </w:tr>
      <w:tr w:rsidR="00CC46A8" w:rsidRPr="006A05A1" w14:paraId="15CDC6C1" w14:textId="77777777" w:rsidTr="006A05A1">
        <w:trPr>
          <w:trHeight w:val="20"/>
          <w:jc w:val="center"/>
        </w:trPr>
        <w:tc>
          <w:tcPr>
            <w:tcW w:w="1692" w:type="pct"/>
            <w:tcBorders>
              <w:top w:val="nil"/>
              <w:left w:val="nil"/>
              <w:bottom w:val="nil"/>
              <w:right w:val="nil"/>
            </w:tcBorders>
          </w:tcPr>
          <w:p w14:paraId="26987327" w14:textId="77777777" w:rsidR="00CC46A8" w:rsidRPr="006A05A1" w:rsidRDefault="00CC46A8" w:rsidP="00155715">
            <w:pPr>
              <w:widowControl w:val="0"/>
              <w:autoSpaceDE w:val="0"/>
              <w:autoSpaceDN w:val="0"/>
              <w:adjustRightInd w:val="0"/>
              <w:jc w:val="both"/>
              <w:rPr>
                <w:rFonts w:ascii="Garamond" w:hAnsi="Garamond"/>
                <w:sz w:val="20"/>
                <w:szCs w:val="20"/>
              </w:rPr>
            </w:pPr>
          </w:p>
        </w:tc>
        <w:tc>
          <w:tcPr>
            <w:tcW w:w="758" w:type="pct"/>
            <w:tcBorders>
              <w:top w:val="nil"/>
              <w:left w:val="nil"/>
              <w:bottom w:val="nil"/>
              <w:right w:val="nil"/>
            </w:tcBorders>
          </w:tcPr>
          <w:p w14:paraId="4186763C" w14:textId="77777777" w:rsidR="00CC46A8" w:rsidRPr="006A05A1" w:rsidRDefault="00CC46A8" w:rsidP="00155715">
            <w:pPr>
              <w:widowControl w:val="0"/>
              <w:autoSpaceDE w:val="0"/>
              <w:autoSpaceDN w:val="0"/>
              <w:adjustRightInd w:val="0"/>
              <w:jc w:val="both"/>
              <w:rPr>
                <w:rFonts w:ascii="Garamond" w:hAnsi="Garamond"/>
                <w:sz w:val="20"/>
                <w:szCs w:val="20"/>
              </w:rPr>
            </w:pPr>
          </w:p>
        </w:tc>
        <w:tc>
          <w:tcPr>
            <w:tcW w:w="827" w:type="pct"/>
            <w:tcBorders>
              <w:top w:val="nil"/>
              <w:left w:val="nil"/>
              <w:bottom w:val="nil"/>
              <w:right w:val="nil"/>
            </w:tcBorders>
          </w:tcPr>
          <w:p w14:paraId="5E72B82F" w14:textId="77777777" w:rsidR="00CC46A8" w:rsidRPr="006A05A1" w:rsidRDefault="00CC46A8" w:rsidP="00155715">
            <w:pPr>
              <w:widowControl w:val="0"/>
              <w:autoSpaceDE w:val="0"/>
              <w:autoSpaceDN w:val="0"/>
              <w:adjustRightInd w:val="0"/>
              <w:jc w:val="both"/>
              <w:rPr>
                <w:rFonts w:ascii="Garamond" w:hAnsi="Garamond"/>
                <w:sz w:val="20"/>
                <w:szCs w:val="20"/>
              </w:rPr>
            </w:pPr>
          </w:p>
        </w:tc>
        <w:tc>
          <w:tcPr>
            <w:tcW w:w="827" w:type="pct"/>
            <w:tcBorders>
              <w:top w:val="nil"/>
              <w:left w:val="nil"/>
              <w:bottom w:val="nil"/>
              <w:right w:val="nil"/>
            </w:tcBorders>
          </w:tcPr>
          <w:p w14:paraId="7210BB7D" w14:textId="77777777" w:rsidR="00CC46A8" w:rsidRPr="006A05A1" w:rsidRDefault="00CC46A8" w:rsidP="00155715">
            <w:pPr>
              <w:widowControl w:val="0"/>
              <w:autoSpaceDE w:val="0"/>
              <w:autoSpaceDN w:val="0"/>
              <w:adjustRightInd w:val="0"/>
              <w:jc w:val="both"/>
              <w:rPr>
                <w:rFonts w:ascii="Garamond" w:hAnsi="Garamond"/>
                <w:sz w:val="20"/>
                <w:szCs w:val="20"/>
              </w:rPr>
            </w:pPr>
          </w:p>
        </w:tc>
        <w:tc>
          <w:tcPr>
            <w:tcW w:w="896" w:type="pct"/>
            <w:tcBorders>
              <w:top w:val="nil"/>
              <w:left w:val="nil"/>
              <w:bottom w:val="nil"/>
              <w:right w:val="nil"/>
            </w:tcBorders>
          </w:tcPr>
          <w:p w14:paraId="06F59124"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(4.00e-05)</w:t>
            </w:r>
          </w:p>
        </w:tc>
      </w:tr>
      <w:tr w:rsidR="00CC46A8" w:rsidRPr="006A05A1" w14:paraId="7980B595" w14:textId="77777777" w:rsidTr="006A05A1">
        <w:trPr>
          <w:trHeight w:val="20"/>
          <w:jc w:val="center"/>
        </w:trPr>
        <w:tc>
          <w:tcPr>
            <w:tcW w:w="1692" w:type="pct"/>
            <w:tcBorders>
              <w:top w:val="nil"/>
              <w:left w:val="nil"/>
              <w:bottom w:val="nil"/>
              <w:right w:val="nil"/>
            </w:tcBorders>
          </w:tcPr>
          <w:p w14:paraId="124EA831"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SP_500</w:t>
            </w:r>
          </w:p>
        </w:tc>
        <w:tc>
          <w:tcPr>
            <w:tcW w:w="758" w:type="pct"/>
            <w:tcBorders>
              <w:top w:val="nil"/>
              <w:left w:val="nil"/>
              <w:bottom w:val="nil"/>
              <w:right w:val="nil"/>
            </w:tcBorders>
          </w:tcPr>
          <w:p w14:paraId="6E971D9D" w14:textId="77777777" w:rsidR="00CC46A8" w:rsidRPr="006A05A1" w:rsidRDefault="00CC46A8" w:rsidP="00155715">
            <w:pPr>
              <w:widowControl w:val="0"/>
              <w:autoSpaceDE w:val="0"/>
              <w:autoSpaceDN w:val="0"/>
              <w:adjustRightInd w:val="0"/>
              <w:jc w:val="both"/>
              <w:rPr>
                <w:rFonts w:ascii="Garamond" w:hAnsi="Garamond"/>
                <w:sz w:val="20"/>
                <w:szCs w:val="20"/>
              </w:rPr>
            </w:pPr>
          </w:p>
        </w:tc>
        <w:tc>
          <w:tcPr>
            <w:tcW w:w="827" w:type="pct"/>
            <w:tcBorders>
              <w:top w:val="nil"/>
              <w:left w:val="nil"/>
              <w:bottom w:val="nil"/>
              <w:right w:val="nil"/>
            </w:tcBorders>
          </w:tcPr>
          <w:p w14:paraId="36580A9E" w14:textId="77777777" w:rsidR="00CC46A8" w:rsidRPr="006A05A1" w:rsidRDefault="00CC46A8" w:rsidP="00155715">
            <w:pPr>
              <w:widowControl w:val="0"/>
              <w:autoSpaceDE w:val="0"/>
              <w:autoSpaceDN w:val="0"/>
              <w:adjustRightInd w:val="0"/>
              <w:jc w:val="both"/>
              <w:rPr>
                <w:rFonts w:ascii="Garamond" w:hAnsi="Garamond"/>
                <w:sz w:val="20"/>
                <w:szCs w:val="20"/>
              </w:rPr>
            </w:pPr>
          </w:p>
        </w:tc>
        <w:tc>
          <w:tcPr>
            <w:tcW w:w="827" w:type="pct"/>
            <w:tcBorders>
              <w:top w:val="nil"/>
              <w:left w:val="nil"/>
              <w:bottom w:val="nil"/>
              <w:right w:val="nil"/>
            </w:tcBorders>
          </w:tcPr>
          <w:p w14:paraId="6A9C2F87" w14:textId="77777777" w:rsidR="00CC46A8" w:rsidRPr="006A05A1" w:rsidRDefault="00CC46A8" w:rsidP="00155715">
            <w:pPr>
              <w:widowControl w:val="0"/>
              <w:autoSpaceDE w:val="0"/>
              <w:autoSpaceDN w:val="0"/>
              <w:adjustRightInd w:val="0"/>
              <w:jc w:val="both"/>
              <w:rPr>
                <w:rFonts w:ascii="Garamond" w:hAnsi="Garamond"/>
                <w:sz w:val="20"/>
                <w:szCs w:val="20"/>
              </w:rPr>
            </w:pPr>
          </w:p>
        </w:tc>
        <w:tc>
          <w:tcPr>
            <w:tcW w:w="896" w:type="pct"/>
            <w:tcBorders>
              <w:top w:val="nil"/>
              <w:left w:val="nil"/>
              <w:bottom w:val="nil"/>
              <w:right w:val="nil"/>
            </w:tcBorders>
          </w:tcPr>
          <w:p w14:paraId="04D84FF9"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-9.50e-05***</w:t>
            </w:r>
          </w:p>
        </w:tc>
      </w:tr>
      <w:tr w:rsidR="00CC46A8" w:rsidRPr="006A05A1" w14:paraId="74BC92CD" w14:textId="77777777" w:rsidTr="006A05A1">
        <w:trPr>
          <w:trHeight w:val="20"/>
          <w:jc w:val="center"/>
        </w:trPr>
        <w:tc>
          <w:tcPr>
            <w:tcW w:w="1692" w:type="pct"/>
            <w:tcBorders>
              <w:top w:val="nil"/>
              <w:left w:val="nil"/>
              <w:bottom w:val="nil"/>
              <w:right w:val="nil"/>
            </w:tcBorders>
          </w:tcPr>
          <w:p w14:paraId="59C302D3" w14:textId="77777777" w:rsidR="00CC46A8" w:rsidRPr="006A05A1" w:rsidRDefault="00CC46A8" w:rsidP="00155715">
            <w:pPr>
              <w:widowControl w:val="0"/>
              <w:autoSpaceDE w:val="0"/>
              <w:autoSpaceDN w:val="0"/>
              <w:adjustRightInd w:val="0"/>
              <w:jc w:val="both"/>
              <w:rPr>
                <w:rFonts w:ascii="Garamond" w:hAnsi="Garamond"/>
                <w:sz w:val="20"/>
                <w:szCs w:val="20"/>
              </w:rPr>
            </w:pPr>
          </w:p>
        </w:tc>
        <w:tc>
          <w:tcPr>
            <w:tcW w:w="758" w:type="pct"/>
            <w:tcBorders>
              <w:top w:val="nil"/>
              <w:left w:val="nil"/>
              <w:bottom w:val="nil"/>
              <w:right w:val="nil"/>
            </w:tcBorders>
          </w:tcPr>
          <w:p w14:paraId="29502F7F" w14:textId="77777777" w:rsidR="00CC46A8" w:rsidRPr="006A05A1" w:rsidRDefault="00CC46A8" w:rsidP="00155715">
            <w:pPr>
              <w:widowControl w:val="0"/>
              <w:autoSpaceDE w:val="0"/>
              <w:autoSpaceDN w:val="0"/>
              <w:adjustRightInd w:val="0"/>
              <w:jc w:val="both"/>
              <w:rPr>
                <w:rFonts w:ascii="Garamond" w:hAnsi="Garamond"/>
                <w:sz w:val="20"/>
                <w:szCs w:val="20"/>
              </w:rPr>
            </w:pPr>
          </w:p>
        </w:tc>
        <w:tc>
          <w:tcPr>
            <w:tcW w:w="827" w:type="pct"/>
            <w:tcBorders>
              <w:top w:val="nil"/>
              <w:left w:val="nil"/>
              <w:bottom w:val="nil"/>
              <w:right w:val="nil"/>
            </w:tcBorders>
          </w:tcPr>
          <w:p w14:paraId="043AE29F" w14:textId="77777777" w:rsidR="00CC46A8" w:rsidRPr="006A05A1" w:rsidRDefault="00CC46A8" w:rsidP="00155715">
            <w:pPr>
              <w:widowControl w:val="0"/>
              <w:autoSpaceDE w:val="0"/>
              <w:autoSpaceDN w:val="0"/>
              <w:adjustRightInd w:val="0"/>
              <w:jc w:val="both"/>
              <w:rPr>
                <w:rFonts w:ascii="Garamond" w:hAnsi="Garamond"/>
                <w:sz w:val="20"/>
                <w:szCs w:val="20"/>
              </w:rPr>
            </w:pPr>
          </w:p>
        </w:tc>
        <w:tc>
          <w:tcPr>
            <w:tcW w:w="827" w:type="pct"/>
            <w:tcBorders>
              <w:top w:val="nil"/>
              <w:left w:val="nil"/>
              <w:bottom w:val="nil"/>
              <w:right w:val="nil"/>
            </w:tcBorders>
          </w:tcPr>
          <w:p w14:paraId="6214AC2D" w14:textId="77777777" w:rsidR="00CC46A8" w:rsidRPr="006A05A1" w:rsidRDefault="00CC46A8" w:rsidP="00155715">
            <w:pPr>
              <w:widowControl w:val="0"/>
              <w:autoSpaceDE w:val="0"/>
              <w:autoSpaceDN w:val="0"/>
              <w:adjustRightInd w:val="0"/>
              <w:jc w:val="both"/>
              <w:rPr>
                <w:rFonts w:ascii="Garamond" w:hAnsi="Garamond"/>
                <w:sz w:val="20"/>
                <w:szCs w:val="20"/>
              </w:rPr>
            </w:pPr>
          </w:p>
        </w:tc>
        <w:tc>
          <w:tcPr>
            <w:tcW w:w="896" w:type="pct"/>
            <w:tcBorders>
              <w:top w:val="nil"/>
              <w:left w:val="nil"/>
              <w:bottom w:val="nil"/>
              <w:right w:val="nil"/>
            </w:tcBorders>
          </w:tcPr>
          <w:p w14:paraId="4E1E1FF3"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(3.33e-05)</w:t>
            </w:r>
          </w:p>
        </w:tc>
      </w:tr>
      <w:tr w:rsidR="00CC46A8" w:rsidRPr="006A05A1" w14:paraId="5096AA5B" w14:textId="77777777" w:rsidTr="006A05A1">
        <w:trPr>
          <w:trHeight w:val="20"/>
          <w:jc w:val="center"/>
        </w:trPr>
        <w:tc>
          <w:tcPr>
            <w:tcW w:w="1692" w:type="pct"/>
            <w:tcBorders>
              <w:top w:val="nil"/>
              <w:left w:val="nil"/>
              <w:bottom w:val="nil"/>
              <w:right w:val="nil"/>
            </w:tcBorders>
          </w:tcPr>
          <w:p w14:paraId="0158C766"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Brent</w:t>
            </w:r>
          </w:p>
        </w:tc>
        <w:tc>
          <w:tcPr>
            <w:tcW w:w="758" w:type="pct"/>
            <w:tcBorders>
              <w:top w:val="nil"/>
              <w:left w:val="nil"/>
              <w:bottom w:val="nil"/>
              <w:right w:val="nil"/>
            </w:tcBorders>
          </w:tcPr>
          <w:p w14:paraId="45E65086" w14:textId="77777777" w:rsidR="00CC46A8" w:rsidRPr="006A05A1" w:rsidRDefault="00CC46A8" w:rsidP="00155715">
            <w:pPr>
              <w:widowControl w:val="0"/>
              <w:autoSpaceDE w:val="0"/>
              <w:autoSpaceDN w:val="0"/>
              <w:adjustRightInd w:val="0"/>
              <w:jc w:val="both"/>
              <w:rPr>
                <w:rFonts w:ascii="Garamond" w:hAnsi="Garamond"/>
                <w:sz w:val="20"/>
                <w:szCs w:val="20"/>
              </w:rPr>
            </w:pPr>
          </w:p>
        </w:tc>
        <w:tc>
          <w:tcPr>
            <w:tcW w:w="827" w:type="pct"/>
            <w:tcBorders>
              <w:top w:val="nil"/>
              <w:left w:val="nil"/>
              <w:bottom w:val="nil"/>
              <w:right w:val="nil"/>
            </w:tcBorders>
          </w:tcPr>
          <w:p w14:paraId="2FABEE90" w14:textId="77777777" w:rsidR="00CC46A8" w:rsidRPr="006A05A1" w:rsidRDefault="00CC46A8" w:rsidP="00155715">
            <w:pPr>
              <w:widowControl w:val="0"/>
              <w:autoSpaceDE w:val="0"/>
              <w:autoSpaceDN w:val="0"/>
              <w:adjustRightInd w:val="0"/>
              <w:jc w:val="both"/>
              <w:rPr>
                <w:rFonts w:ascii="Garamond" w:hAnsi="Garamond"/>
                <w:sz w:val="20"/>
                <w:szCs w:val="20"/>
              </w:rPr>
            </w:pPr>
          </w:p>
        </w:tc>
        <w:tc>
          <w:tcPr>
            <w:tcW w:w="827" w:type="pct"/>
            <w:tcBorders>
              <w:top w:val="nil"/>
              <w:left w:val="nil"/>
              <w:bottom w:val="nil"/>
              <w:right w:val="nil"/>
            </w:tcBorders>
          </w:tcPr>
          <w:p w14:paraId="71EBCCFF" w14:textId="77777777" w:rsidR="00CC46A8" w:rsidRPr="006A05A1" w:rsidRDefault="00CC46A8" w:rsidP="00155715">
            <w:pPr>
              <w:widowControl w:val="0"/>
              <w:autoSpaceDE w:val="0"/>
              <w:autoSpaceDN w:val="0"/>
              <w:adjustRightInd w:val="0"/>
              <w:jc w:val="both"/>
              <w:rPr>
                <w:rFonts w:ascii="Garamond" w:hAnsi="Garamond"/>
                <w:sz w:val="20"/>
                <w:szCs w:val="20"/>
              </w:rPr>
            </w:pPr>
          </w:p>
        </w:tc>
        <w:tc>
          <w:tcPr>
            <w:tcW w:w="896" w:type="pct"/>
            <w:tcBorders>
              <w:top w:val="nil"/>
              <w:left w:val="nil"/>
              <w:bottom w:val="nil"/>
              <w:right w:val="nil"/>
            </w:tcBorders>
          </w:tcPr>
          <w:p w14:paraId="7E2445CC"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0.00652***</w:t>
            </w:r>
          </w:p>
        </w:tc>
      </w:tr>
      <w:tr w:rsidR="00CC46A8" w:rsidRPr="006A05A1" w14:paraId="01CECC7D" w14:textId="77777777" w:rsidTr="006A05A1">
        <w:trPr>
          <w:trHeight w:val="20"/>
          <w:jc w:val="center"/>
        </w:trPr>
        <w:tc>
          <w:tcPr>
            <w:tcW w:w="1692" w:type="pct"/>
            <w:tcBorders>
              <w:top w:val="nil"/>
              <w:left w:val="nil"/>
              <w:bottom w:val="nil"/>
              <w:right w:val="nil"/>
            </w:tcBorders>
          </w:tcPr>
          <w:p w14:paraId="3F1239A7" w14:textId="77777777" w:rsidR="00CC46A8" w:rsidRPr="006A05A1" w:rsidRDefault="00CC46A8" w:rsidP="00155715">
            <w:pPr>
              <w:widowControl w:val="0"/>
              <w:autoSpaceDE w:val="0"/>
              <w:autoSpaceDN w:val="0"/>
              <w:adjustRightInd w:val="0"/>
              <w:jc w:val="both"/>
              <w:rPr>
                <w:rFonts w:ascii="Garamond" w:hAnsi="Garamond"/>
                <w:sz w:val="20"/>
                <w:szCs w:val="20"/>
              </w:rPr>
            </w:pPr>
          </w:p>
        </w:tc>
        <w:tc>
          <w:tcPr>
            <w:tcW w:w="758" w:type="pct"/>
            <w:tcBorders>
              <w:top w:val="nil"/>
              <w:left w:val="nil"/>
              <w:bottom w:val="nil"/>
              <w:right w:val="nil"/>
            </w:tcBorders>
          </w:tcPr>
          <w:p w14:paraId="393A9848" w14:textId="77777777" w:rsidR="00CC46A8" w:rsidRPr="006A05A1" w:rsidRDefault="00CC46A8" w:rsidP="00155715">
            <w:pPr>
              <w:widowControl w:val="0"/>
              <w:autoSpaceDE w:val="0"/>
              <w:autoSpaceDN w:val="0"/>
              <w:adjustRightInd w:val="0"/>
              <w:jc w:val="both"/>
              <w:rPr>
                <w:rFonts w:ascii="Garamond" w:hAnsi="Garamond"/>
                <w:sz w:val="20"/>
                <w:szCs w:val="20"/>
              </w:rPr>
            </w:pPr>
          </w:p>
        </w:tc>
        <w:tc>
          <w:tcPr>
            <w:tcW w:w="827" w:type="pct"/>
            <w:tcBorders>
              <w:top w:val="nil"/>
              <w:left w:val="nil"/>
              <w:bottom w:val="nil"/>
              <w:right w:val="nil"/>
            </w:tcBorders>
          </w:tcPr>
          <w:p w14:paraId="17F0C91E" w14:textId="77777777" w:rsidR="00CC46A8" w:rsidRPr="006A05A1" w:rsidRDefault="00CC46A8" w:rsidP="00155715">
            <w:pPr>
              <w:widowControl w:val="0"/>
              <w:autoSpaceDE w:val="0"/>
              <w:autoSpaceDN w:val="0"/>
              <w:adjustRightInd w:val="0"/>
              <w:jc w:val="both"/>
              <w:rPr>
                <w:rFonts w:ascii="Garamond" w:hAnsi="Garamond"/>
                <w:sz w:val="20"/>
                <w:szCs w:val="20"/>
              </w:rPr>
            </w:pPr>
          </w:p>
        </w:tc>
        <w:tc>
          <w:tcPr>
            <w:tcW w:w="827" w:type="pct"/>
            <w:tcBorders>
              <w:top w:val="nil"/>
              <w:left w:val="nil"/>
              <w:bottom w:val="nil"/>
              <w:right w:val="nil"/>
            </w:tcBorders>
          </w:tcPr>
          <w:p w14:paraId="0B6037E7" w14:textId="77777777" w:rsidR="00CC46A8" w:rsidRPr="006A05A1" w:rsidRDefault="00CC46A8" w:rsidP="00155715">
            <w:pPr>
              <w:widowControl w:val="0"/>
              <w:autoSpaceDE w:val="0"/>
              <w:autoSpaceDN w:val="0"/>
              <w:adjustRightInd w:val="0"/>
              <w:jc w:val="both"/>
              <w:rPr>
                <w:rFonts w:ascii="Garamond" w:hAnsi="Garamond"/>
                <w:sz w:val="20"/>
                <w:szCs w:val="20"/>
              </w:rPr>
            </w:pPr>
          </w:p>
        </w:tc>
        <w:tc>
          <w:tcPr>
            <w:tcW w:w="896" w:type="pct"/>
            <w:tcBorders>
              <w:top w:val="nil"/>
              <w:left w:val="nil"/>
              <w:bottom w:val="nil"/>
              <w:right w:val="nil"/>
            </w:tcBorders>
          </w:tcPr>
          <w:p w14:paraId="054D4EA5"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(0.00105)</w:t>
            </w:r>
          </w:p>
        </w:tc>
      </w:tr>
      <w:tr w:rsidR="00CC46A8" w:rsidRPr="006A05A1" w14:paraId="47015ED6" w14:textId="77777777" w:rsidTr="006A05A1">
        <w:trPr>
          <w:trHeight w:val="20"/>
          <w:jc w:val="center"/>
        </w:trPr>
        <w:tc>
          <w:tcPr>
            <w:tcW w:w="1692" w:type="pct"/>
            <w:tcBorders>
              <w:top w:val="nil"/>
              <w:left w:val="nil"/>
              <w:bottom w:val="nil"/>
              <w:right w:val="nil"/>
            </w:tcBorders>
          </w:tcPr>
          <w:p w14:paraId="758781E4"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Constant</w:t>
            </w:r>
          </w:p>
        </w:tc>
        <w:tc>
          <w:tcPr>
            <w:tcW w:w="758" w:type="pct"/>
            <w:tcBorders>
              <w:top w:val="nil"/>
              <w:left w:val="nil"/>
              <w:bottom w:val="nil"/>
              <w:right w:val="nil"/>
            </w:tcBorders>
          </w:tcPr>
          <w:p w14:paraId="6A8F07A8"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2.588***</w:t>
            </w:r>
          </w:p>
        </w:tc>
        <w:tc>
          <w:tcPr>
            <w:tcW w:w="827" w:type="pct"/>
            <w:tcBorders>
              <w:top w:val="nil"/>
              <w:left w:val="nil"/>
              <w:bottom w:val="nil"/>
              <w:right w:val="nil"/>
            </w:tcBorders>
          </w:tcPr>
          <w:p w14:paraId="0C25A44E"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1.473***</w:t>
            </w:r>
          </w:p>
        </w:tc>
        <w:tc>
          <w:tcPr>
            <w:tcW w:w="827" w:type="pct"/>
            <w:tcBorders>
              <w:top w:val="nil"/>
              <w:left w:val="nil"/>
              <w:bottom w:val="nil"/>
              <w:right w:val="nil"/>
            </w:tcBorders>
          </w:tcPr>
          <w:p w14:paraId="1B1D09DF"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1.633***</w:t>
            </w:r>
          </w:p>
        </w:tc>
        <w:tc>
          <w:tcPr>
            <w:tcW w:w="896" w:type="pct"/>
            <w:tcBorders>
              <w:top w:val="nil"/>
              <w:left w:val="nil"/>
              <w:bottom w:val="nil"/>
              <w:right w:val="nil"/>
            </w:tcBorders>
          </w:tcPr>
          <w:p w14:paraId="44107911"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2.349***</w:t>
            </w:r>
          </w:p>
        </w:tc>
      </w:tr>
      <w:tr w:rsidR="00CC46A8" w:rsidRPr="006A05A1" w14:paraId="331E7384" w14:textId="77777777" w:rsidTr="006A05A1">
        <w:trPr>
          <w:trHeight w:val="20"/>
          <w:jc w:val="center"/>
        </w:trPr>
        <w:tc>
          <w:tcPr>
            <w:tcW w:w="1692" w:type="pct"/>
            <w:tcBorders>
              <w:top w:val="nil"/>
              <w:left w:val="nil"/>
              <w:bottom w:val="nil"/>
              <w:right w:val="nil"/>
            </w:tcBorders>
          </w:tcPr>
          <w:p w14:paraId="1AA01388" w14:textId="77777777" w:rsidR="00CC46A8" w:rsidRPr="006A05A1" w:rsidRDefault="00CC46A8" w:rsidP="00155715">
            <w:pPr>
              <w:widowControl w:val="0"/>
              <w:autoSpaceDE w:val="0"/>
              <w:autoSpaceDN w:val="0"/>
              <w:adjustRightInd w:val="0"/>
              <w:jc w:val="both"/>
              <w:rPr>
                <w:rFonts w:ascii="Garamond" w:hAnsi="Garamond"/>
                <w:sz w:val="20"/>
                <w:szCs w:val="20"/>
              </w:rPr>
            </w:pPr>
          </w:p>
        </w:tc>
        <w:tc>
          <w:tcPr>
            <w:tcW w:w="758" w:type="pct"/>
            <w:tcBorders>
              <w:top w:val="nil"/>
              <w:left w:val="nil"/>
              <w:bottom w:val="nil"/>
              <w:right w:val="nil"/>
            </w:tcBorders>
          </w:tcPr>
          <w:p w14:paraId="0A1A0F71"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(0.249)</w:t>
            </w:r>
          </w:p>
        </w:tc>
        <w:tc>
          <w:tcPr>
            <w:tcW w:w="827" w:type="pct"/>
            <w:tcBorders>
              <w:top w:val="nil"/>
              <w:left w:val="nil"/>
              <w:bottom w:val="nil"/>
              <w:right w:val="nil"/>
            </w:tcBorders>
          </w:tcPr>
          <w:p w14:paraId="24CF1D05"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(0.323)</w:t>
            </w:r>
          </w:p>
        </w:tc>
        <w:tc>
          <w:tcPr>
            <w:tcW w:w="827" w:type="pct"/>
            <w:tcBorders>
              <w:top w:val="nil"/>
              <w:left w:val="nil"/>
              <w:bottom w:val="nil"/>
              <w:right w:val="nil"/>
            </w:tcBorders>
          </w:tcPr>
          <w:p w14:paraId="389920C8"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(0.316)</w:t>
            </w:r>
          </w:p>
        </w:tc>
        <w:tc>
          <w:tcPr>
            <w:tcW w:w="896" w:type="pct"/>
            <w:tcBorders>
              <w:top w:val="nil"/>
              <w:left w:val="nil"/>
              <w:bottom w:val="nil"/>
              <w:right w:val="nil"/>
            </w:tcBorders>
          </w:tcPr>
          <w:p w14:paraId="658B7BEF"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(0.389)</w:t>
            </w:r>
          </w:p>
        </w:tc>
      </w:tr>
      <w:tr w:rsidR="00CC46A8" w:rsidRPr="006A05A1" w14:paraId="3EECDF36" w14:textId="77777777" w:rsidTr="006A05A1">
        <w:trPr>
          <w:trHeight w:val="20"/>
          <w:jc w:val="center"/>
        </w:trPr>
        <w:tc>
          <w:tcPr>
            <w:tcW w:w="1692" w:type="pct"/>
            <w:tcBorders>
              <w:top w:val="nil"/>
              <w:left w:val="nil"/>
              <w:bottom w:val="nil"/>
              <w:right w:val="nil"/>
            </w:tcBorders>
          </w:tcPr>
          <w:p w14:paraId="324253D0" w14:textId="77777777" w:rsidR="00CC46A8" w:rsidRPr="006A05A1" w:rsidRDefault="00CC46A8" w:rsidP="00155715">
            <w:pPr>
              <w:widowControl w:val="0"/>
              <w:autoSpaceDE w:val="0"/>
              <w:autoSpaceDN w:val="0"/>
              <w:adjustRightInd w:val="0"/>
              <w:jc w:val="both"/>
              <w:rPr>
                <w:rFonts w:ascii="Garamond" w:hAnsi="Garamond"/>
                <w:sz w:val="20"/>
                <w:szCs w:val="20"/>
              </w:rPr>
            </w:pPr>
          </w:p>
        </w:tc>
        <w:tc>
          <w:tcPr>
            <w:tcW w:w="758" w:type="pct"/>
            <w:tcBorders>
              <w:top w:val="nil"/>
              <w:left w:val="nil"/>
              <w:bottom w:val="nil"/>
              <w:right w:val="nil"/>
            </w:tcBorders>
          </w:tcPr>
          <w:p w14:paraId="359629A1" w14:textId="77777777" w:rsidR="00CC46A8" w:rsidRPr="006A05A1" w:rsidRDefault="00CC46A8" w:rsidP="00155715">
            <w:pPr>
              <w:widowControl w:val="0"/>
              <w:autoSpaceDE w:val="0"/>
              <w:autoSpaceDN w:val="0"/>
              <w:adjustRightInd w:val="0"/>
              <w:jc w:val="both"/>
              <w:rPr>
                <w:rFonts w:ascii="Garamond" w:hAnsi="Garamond"/>
                <w:sz w:val="20"/>
                <w:szCs w:val="20"/>
              </w:rPr>
            </w:pPr>
          </w:p>
        </w:tc>
        <w:tc>
          <w:tcPr>
            <w:tcW w:w="827" w:type="pct"/>
            <w:tcBorders>
              <w:top w:val="nil"/>
              <w:left w:val="nil"/>
              <w:bottom w:val="nil"/>
              <w:right w:val="nil"/>
            </w:tcBorders>
          </w:tcPr>
          <w:p w14:paraId="5CC7E1E0" w14:textId="77777777" w:rsidR="00CC46A8" w:rsidRPr="006A05A1" w:rsidRDefault="00CC46A8" w:rsidP="00155715">
            <w:pPr>
              <w:widowControl w:val="0"/>
              <w:autoSpaceDE w:val="0"/>
              <w:autoSpaceDN w:val="0"/>
              <w:adjustRightInd w:val="0"/>
              <w:jc w:val="both"/>
              <w:rPr>
                <w:rFonts w:ascii="Garamond" w:hAnsi="Garamond"/>
                <w:sz w:val="20"/>
                <w:szCs w:val="20"/>
              </w:rPr>
            </w:pPr>
          </w:p>
        </w:tc>
        <w:tc>
          <w:tcPr>
            <w:tcW w:w="827" w:type="pct"/>
            <w:tcBorders>
              <w:top w:val="nil"/>
              <w:left w:val="nil"/>
              <w:bottom w:val="nil"/>
              <w:right w:val="nil"/>
            </w:tcBorders>
          </w:tcPr>
          <w:p w14:paraId="7B3126C9" w14:textId="77777777" w:rsidR="00CC46A8" w:rsidRPr="006A05A1" w:rsidRDefault="00CC46A8" w:rsidP="00155715">
            <w:pPr>
              <w:widowControl w:val="0"/>
              <w:autoSpaceDE w:val="0"/>
              <w:autoSpaceDN w:val="0"/>
              <w:adjustRightInd w:val="0"/>
              <w:jc w:val="both"/>
              <w:rPr>
                <w:rFonts w:ascii="Garamond" w:hAnsi="Garamond"/>
                <w:sz w:val="20"/>
                <w:szCs w:val="20"/>
              </w:rPr>
            </w:pPr>
          </w:p>
        </w:tc>
        <w:tc>
          <w:tcPr>
            <w:tcW w:w="896" w:type="pct"/>
            <w:tcBorders>
              <w:top w:val="nil"/>
              <w:left w:val="nil"/>
              <w:bottom w:val="nil"/>
              <w:right w:val="nil"/>
            </w:tcBorders>
          </w:tcPr>
          <w:p w14:paraId="27A9FA1C" w14:textId="77777777" w:rsidR="00CC46A8" w:rsidRPr="006A05A1" w:rsidRDefault="00CC46A8" w:rsidP="00155715">
            <w:pPr>
              <w:widowControl w:val="0"/>
              <w:autoSpaceDE w:val="0"/>
              <w:autoSpaceDN w:val="0"/>
              <w:adjustRightInd w:val="0"/>
              <w:jc w:val="both"/>
              <w:rPr>
                <w:rFonts w:ascii="Garamond" w:hAnsi="Garamond"/>
                <w:sz w:val="20"/>
                <w:szCs w:val="20"/>
              </w:rPr>
            </w:pPr>
          </w:p>
        </w:tc>
      </w:tr>
      <w:tr w:rsidR="00CC46A8" w:rsidRPr="006A05A1" w14:paraId="323508E2" w14:textId="77777777" w:rsidTr="006A05A1">
        <w:trPr>
          <w:trHeight w:val="20"/>
          <w:jc w:val="center"/>
        </w:trPr>
        <w:tc>
          <w:tcPr>
            <w:tcW w:w="1692" w:type="pct"/>
            <w:tcBorders>
              <w:top w:val="nil"/>
              <w:left w:val="nil"/>
              <w:bottom w:val="nil"/>
              <w:right w:val="nil"/>
            </w:tcBorders>
          </w:tcPr>
          <w:p w14:paraId="203BE8B2"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Observations</w:t>
            </w:r>
          </w:p>
        </w:tc>
        <w:tc>
          <w:tcPr>
            <w:tcW w:w="758" w:type="pct"/>
            <w:tcBorders>
              <w:top w:val="nil"/>
              <w:left w:val="nil"/>
              <w:bottom w:val="nil"/>
              <w:right w:val="nil"/>
            </w:tcBorders>
          </w:tcPr>
          <w:p w14:paraId="355AB27B"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2,624</w:t>
            </w:r>
          </w:p>
        </w:tc>
        <w:tc>
          <w:tcPr>
            <w:tcW w:w="827" w:type="pct"/>
            <w:tcBorders>
              <w:top w:val="nil"/>
              <w:left w:val="nil"/>
              <w:bottom w:val="nil"/>
              <w:right w:val="nil"/>
            </w:tcBorders>
          </w:tcPr>
          <w:p w14:paraId="737DECE6"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2,521</w:t>
            </w:r>
          </w:p>
        </w:tc>
        <w:tc>
          <w:tcPr>
            <w:tcW w:w="827" w:type="pct"/>
            <w:tcBorders>
              <w:top w:val="nil"/>
              <w:left w:val="nil"/>
              <w:bottom w:val="nil"/>
              <w:right w:val="nil"/>
            </w:tcBorders>
          </w:tcPr>
          <w:p w14:paraId="40F63A0D"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2,521</w:t>
            </w:r>
          </w:p>
        </w:tc>
        <w:tc>
          <w:tcPr>
            <w:tcW w:w="896" w:type="pct"/>
            <w:tcBorders>
              <w:top w:val="nil"/>
              <w:left w:val="nil"/>
              <w:bottom w:val="nil"/>
              <w:right w:val="nil"/>
            </w:tcBorders>
          </w:tcPr>
          <w:p w14:paraId="411DE05C"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2,521</w:t>
            </w:r>
          </w:p>
        </w:tc>
      </w:tr>
      <w:tr w:rsidR="00CC46A8" w:rsidRPr="006A05A1" w14:paraId="38D07F44" w14:textId="77777777" w:rsidTr="006A05A1">
        <w:tblPrEx>
          <w:tblBorders>
            <w:bottom w:val="single" w:sz="6" w:space="0" w:color="auto"/>
          </w:tblBorders>
        </w:tblPrEx>
        <w:trPr>
          <w:trHeight w:val="20"/>
          <w:jc w:val="center"/>
        </w:trPr>
        <w:tc>
          <w:tcPr>
            <w:tcW w:w="1692" w:type="pct"/>
            <w:tcBorders>
              <w:top w:val="nil"/>
              <w:left w:val="nil"/>
              <w:bottom w:val="single" w:sz="6" w:space="0" w:color="auto"/>
              <w:right w:val="nil"/>
            </w:tcBorders>
          </w:tcPr>
          <w:p w14:paraId="37A28950"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Number of ID</w:t>
            </w:r>
          </w:p>
        </w:tc>
        <w:tc>
          <w:tcPr>
            <w:tcW w:w="758" w:type="pct"/>
            <w:tcBorders>
              <w:top w:val="nil"/>
              <w:left w:val="nil"/>
              <w:bottom w:val="single" w:sz="6" w:space="0" w:color="auto"/>
              <w:right w:val="nil"/>
            </w:tcBorders>
          </w:tcPr>
          <w:p w14:paraId="717A9947"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41</w:t>
            </w:r>
          </w:p>
        </w:tc>
        <w:tc>
          <w:tcPr>
            <w:tcW w:w="827" w:type="pct"/>
            <w:tcBorders>
              <w:top w:val="nil"/>
              <w:left w:val="nil"/>
              <w:bottom w:val="single" w:sz="6" w:space="0" w:color="auto"/>
              <w:right w:val="nil"/>
            </w:tcBorders>
          </w:tcPr>
          <w:p w14:paraId="0757231F"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41</w:t>
            </w:r>
          </w:p>
        </w:tc>
        <w:tc>
          <w:tcPr>
            <w:tcW w:w="827" w:type="pct"/>
            <w:tcBorders>
              <w:top w:val="nil"/>
              <w:left w:val="nil"/>
              <w:bottom w:val="single" w:sz="6" w:space="0" w:color="auto"/>
              <w:right w:val="nil"/>
            </w:tcBorders>
          </w:tcPr>
          <w:p w14:paraId="34EB0626"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41</w:t>
            </w:r>
          </w:p>
        </w:tc>
        <w:tc>
          <w:tcPr>
            <w:tcW w:w="896" w:type="pct"/>
            <w:tcBorders>
              <w:top w:val="nil"/>
              <w:left w:val="nil"/>
              <w:bottom w:val="single" w:sz="6" w:space="0" w:color="auto"/>
              <w:right w:val="nil"/>
            </w:tcBorders>
          </w:tcPr>
          <w:p w14:paraId="3757A7E3" w14:textId="77777777" w:rsidR="00CC46A8" w:rsidRPr="006A05A1" w:rsidRDefault="00CC46A8"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41</w:t>
            </w:r>
          </w:p>
        </w:tc>
      </w:tr>
    </w:tbl>
    <w:p w14:paraId="0689B866" w14:textId="77777777" w:rsidR="00AC26F3" w:rsidRPr="005513D8" w:rsidRDefault="00AC26F3" w:rsidP="00155715">
      <w:pPr>
        <w:pStyle w:val="NoSpacing"/>
        <w:jc w:val="both"/>
        <w:rPr>
          <w:rFonts w:ascii="Garamond" w:hAnsi="Garamond"/>
          <w:lang w:val="es-ES"/>
        </w:rPr>
      </w:pPr>
    </w:p>
    <w:p w14:paraId="3002E4A4" w14:textId="08D9E897" w:rsidR="006A05A1" w:rsidRDefault="004274B3" w:rsidP="005F00D2">
      <w:pPr>
        <w:pStyle w:val="Heading2"/>
        <w:rPr>
          <w:lang w:val="es-CO"/>
        </w:rPr>
      </w:pPr>
      <w:r w:rsidRPr="006A05A1">
        <w:rPr>
          <w:lang w:val="es-CO"/>
        </w:rPr>
        <w:t xml:space="preserve">Anexo 3: Modelo DID </w:t>
      </w:r>
    </w:p>
    <w:p w14:paraId="201CA22F" w14:textId="77777777" w:rsidR="005F00D2" w:rsidRPr="005F00D2" w:rsidRDefault="005F00D2" w:rsidP="005F00D2">
      <w:pPr>
        <w:rPr>
          <w:lang w:val="es-CO"/>
        </w:rPr>
      </w:pPr>
    </w:p>
    <w:p w14:paraId="4474FCED" w14:textId="365D2FE3" w:rsidR="004274B3" w:rsidRPr="006A05A1" w:rsidRDefault="006A05A1" w:rsidP="004274B3">
      <w:pPr>
        <w:pStyle w:val="Caption"/>
        <w:jc w:val="both"/>
        <w:rPr>
          <w:rFonts w:ascii="Times New Roman" w:hAnsi="Times New Roman"/>
          <w:bCs/>
          <w:i w:val="0"/>
          <w:iCs w:val="0"/>
          <w:color w:val="000000" w:themeColor="text1"/>
          <w:sz w:val="24"/>
          <w:szCs w:val="24"/>
          <w:lang w:val="es-CO"/>
        </w:rPr>
      </w:pPr>
      <w:r w:rsidRPr="006A05A1">
        <w:rPr>
          <w:rFonts w:ascii="Times New Roman" w:hAnsi="Times New Roman"/>
          <w:bCs/>
          <w:i w:val="0"/>
          <w:iCs w:val="0"/>
          <w:color w:val="000000" w:themeColor="text1"/>
          <w:sz w:val="24"/>
          <w:szCs w:val="24"/>
          <w:lang w:val="es-CO"/>
        </w:rPr>
        <w:t xml:space="preserve">Se realizan 4 estimaciones </w:t>
      </w:r>
      <w:r w:rsidR="004274B3" w:rsidRPr="006A05A1">
        <w:rPr>
          <w:rFonts w:ascii="Times New Roman" w:hAnsi="Times New Roman"/>
          <w:bCs/>
          <w:i w:val="0"/>
          <w:iCs w:val="0"/>
          <w:color w:val="000000" w:themeColor="text1"/>
          <w:sz w:val="24"/>
          <w:szCs w:val="24"/>
          <w:lang w:val="es-CO"/>
        </w:rPr>
        <w:t xml:space="preserve">con variable de interés (1), variables macroeconómicas (2), variables relativas al comercio y la inversión (3) y variables que capturan el contexto de la economía mundial y efecto fijo de tiempo.  </w:t>
      </w:r>
    </w:p>
    <w:p w14:paraId="220D70A3" w14:textId="77777777" w:rsidR="004274B3" w:rsidRPr="004274B3" w:rsidRDefault="004274B3" w:rsidP="004274B3">
      <w:pPr>
        <w:rPr>
          <w:lang w:val="es-CO"/>
        </w:rPr>
      </w:pPr>
    </w:p>
    <w:tbl>
      <w:tblPr>
        <w:tblW w:w="5000" w:type="pct"/>
        <w:jc w:val="center"/>
        <w:tblCellMar>
          <w:left w:w="75" w:type="dxa"/>
          <w:right w:w="75" w:type="dxa"/>
        </w:tblCellMar>
        <w:tblLook w:val="0000" w:firstRow="0" w:lastRow="0" w:firstColumn="0" w:lastColumn="0" w:noHBand="0" w:noVBand="0"/>
      </w:tblPr>
      <w:tblGrid>
        <w:gridCol w:w="3029"/>
        <w:gridCol w:w="1236"/>
        <w:gridCol w:w="1483"/>
        <w:gridCol w:w="1483"/>
        <w:gridCol w:w="1607"/>
      </w:tblGrid>
      <w:tr w:rsidR="00755F0F" w:rsidRPr="006A05A1" w14:paraId="7F840B6C" w14:textId="77777777" w:rsidTr="006A05A1">
        <w:trPr>
          <w:trHeight w:val="20"/>
          <w:jc w:val="center"/>
        </w:trPr>
        <w:tc>
          <w:tcPr>
            <w:tcW w:w="1714" w:type="pct"/>
            <w:tcBorders>
              <w:top w:val="single" w:sz="6" w:space="0" w:color="auto"/>
              <w:left w:val="nil"/>
              <w:bottom w:val="nil"/>
              <w:right w:val="nil"/>
            </w:tcBorders>
          </w:tcPr>
          <w:p w14:paraId="026C8684" w14:textId="77777777" w:rsidR="00755F0F" w:rsidRPr="006A05A1" w:rsidRDefault="00755F0F" w:rsidP="00155715">
            <w:pPr>
              <w:widowControl w:val="0"/>
              <w:autoSpaceDE w:val="0"/>
              <w:autoSpaceDN w:val="0"/>
              <w:adjustRightInd w:val="0"/>
              <w:jc w:val="both"/>
              <w:rPr>
                <w:rFonts w:ascii="Garamond" w:hAnsi="Garamond"/>
                <w:sz w:val="20"/>
                <w:szCs w:val="20"/>
                <w:lang w:val="es-CO"/>
              </w:rPr>
            </w:pPr>
          </w:p>
        </w:tc>
        <w:tc>
          <w:tcPr>
            <w:tcW w:w="699" w:type="pct"/>
            <w:tcBorders>
              <w:top w:val="single" w:sz="6" w:space="0" w:color="auto"/>
              <w:left w:val="nil"/>
              <w:bottom w:val="nil"/>
              <w:right w:val="nil"/>
            </w:tcBorders>
          </w:tcPr>
          <w:p w14:paraId="1871392B"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(1)</w:t>
            </w:r>
          </w:p>
        </w:tc>
        <w:tc>
          <w:tcPr>
            <w:tcW w:w="839" w:type="pct"/>
            <w:tcBorders>
              <w:top w:val="single" w:sz="6" w:space="0" w:color="auto"/>
              <w:left w:val="nil"/>
              <w:bottom w:val="nil"/>
              <w:right w:val="nil"/>
            </w:tcBorders>
          </w:tcPr>
          <w:p w14:paraId="4AAAD77A"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(2)</w:t>
            </w:r>
          </w:p>
        </w:tc>
        <w:tc>
          <w:tcPr>
            <w:tcW w:w="839" w:type="pct"/>
            <w:tcBorders>
              <w:top w:val="single" w:sz="6" w:space="0" w:color="auto"/>
              <w:left w:val="nil"/>
              <w:bottom w:val="nil"/>
              <w:right w:val="nil"/>
            </w:tcBorders>
          </w:tcPr>
          <w:p w14:paraId="17193E49"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(3)</w:t>
            </w:r>
          </w:p>
        </w:tc>
        <w:tc>
          <w:tcPr>
            <w:tcW w:w="909" w:type="pct"/>
            <w:tcBorders>
              <w:top w:val="single" w:sz="6" w:space="0" w:color="auto"/>
              <w:left w:val="nil"/>
              <w:bottom w:val="nil"/>
              <w:right w:val="nil"/>
            </w:tcBorders>
          </w:tcPr>
          <w:p w14:paraId="3E773DA0"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(4)</w:t>
            </w:r>
          </w:p>
        </w:tc>
      </w:tr>
      <w:tr w:rsidR="00755F0F" w:rsidRPr="006A05A1" w14:paraId="6ED82D0A" w14:textId="77777777" w:rsidTr="006A05A1">
        <w:trPr>
          <w:trHeight w:val="20"/>
          <w:jc w:val="center"/>
        </w:trPr>
        <w:tc>
          <w:tcPr>
            <w:tcW w:w="1714" w:type="pct"/>
            <w:tcBorders>
              <w:top w:val="nil"/>
              <w:left w:val="nil"/>
              <w:bottom w:val="single" w:sz="6" w:space="0" w:color="auto"/>
              <w:right w:val="nil"/>
            </w:tcBorders>
          </w:tcPr>
          <w:p w14:paraId="07B72872"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VARIABLES</w:t>
            </w:r>
          </w:p>
        </w:tc>
        <w:tc>
          <w:tcPr>
            <w:tcW w:w="699" w:type="pct"/>
            <w:tcBorders>
              <w:top w:val="nil"/>
              <w:left w:val="nil"/>
              <w:bottom w:val="single" w:sz="6" w:space="0" w:color="auto"/>
              <w:right w:val="nil"/>
            </w:tcBorders>
          </w:tcPr>
          <w:p w14:paraId="18975AC8"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LN_IED</w:t>
            </w:r>
          </w:p>
        </w:tc>
        <w:tc>
          <w:tcPr>
            <w:tcW w:w="839" w:type="pct"/>
            <w:tcBorders>
              <w:top w:val="nil"/>
              <w:left w:val="nil"/>
              <w:bottom w:val="single" w:sz="6" w:space="0" w:color="auto"/>
              <w:right w:val="nil"/>
            </w:tcBorders>
          </w:tcPr>
          <w:p w14:paraId="01827B6F"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LN_IED</w:t>
            </w:r>
          </w:p>
        </w:tc>
        <w:tc>
          <w:tcPr>
            <w:tcW w:w="839" w:type="pct"/>
            <w:tcBorders>
              <w:top w:val="nil"/>
              <w:left w:val="nil"/>
              <w:bottom w:val="single" w:sz="6" w:space="0" w:color="auto"/>
              <w:right w:val="nil"/>
            </w:tcBorders>
          </w:tcPr>
          <w:p w14:paraId="05C5FD76"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LN_IED</w:t>
            </w:r>
          </w:p>
        </w:tc>
        <w:tc>
          <w:tcPr>
            <w:tcW w:w="909" w:type="pct"/>
            <w:tcBorders>
              <w:top w:val="nil"/>
              <w:left w:val="nil"/>
              <w:bottom w:val="single" w:sz="6" w:space="0" w:color="auto"/>
              <w:right w:val="nil"/>
            </w:tcBorders>
          </w:tcPr>
          <w:p w14:paraId="17994AD3"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LN_IED</w:t>
            </w:r>
          </w:p>
        </w:tc>
      </w:tr>
      <w:tr w:rsidR="00755F0F" w:rsidRPr="006A05A1" w14:paraId="13B17676" w14:textId="77777777" w:rsidTr="006A05A1">
        <w:trPr>
          <w:trHeight w:val="20"/>
          <w:jc w:val="center"/>
        </w:trPr>
        <w:tc>
          <w:tcPr>
            <w:tcW w:w="1714" w:type="pct"/>
            <w:tcBorders>
              <w:top w:val="nil"/>
              <w:left w:val="nil"/>
              <w:bottom w:val="nil"/>
              <w:right w:val="nil"/>
            </w:tcBorders>
          </w:tcPr>
          <w:p w14:paraId="7644D5E4" w14:textId="77777777" w:rsidR="00755F0F" w:rsidRPr="006A05A1" w:rsidRDefault="00755F0F" w:rsidP="00155715">
            <w:pPr>
              <w:widowControl w:val="0"/>
              <w:autoSpaceDE w:val="0"/>
              <w:autoSpaceDN w:val="0"/>
              <w:adjustRightInd w:val="0"/>
              <w:jc w:val="both"/>
              <w:rPr>
                <w:rFonts w:ascii="Garamond" w:hAnsi="Garamond"/>
                <w:sz w:val="20"/>
                <w:szCs w:val="20"/>
              </w:rPr>
            </w:pPr>
          </w:p>
        </w:tc>
        <w:tc>
          <w:tcPr>
            <w:tcW w:w="699" w:type="pct"/>
            <w:tcBorders>
              <w:top w:val="nil"/>
              <w:left w:val="nil"/>
              <w:bottom w:val="nil"/>
              <w:right w:val="nil"/>
            </w:tcBorders>
          </w:tcPr>
          <w:p w14:paraId="49CE8895" w14:textId="77777777" w:rsidR="00755F0F" w:rsidRPr="006A05A1" w:rsidRDefault="00755F0F" w:rsidP="00155715">
            <w:pPr>
              <w:widowControl w:val="0"/>
              <w:autoSpaceDE w:val="0"/>
              <w:autoSpaceDN w:val="0"/>
              <w:adjustRightInd w:val="0"/>
              <w:jc w:val="both"/>
              <w:rPr>
                <w:rFonts w:ascii="Garamond" w:hAnsi="Garamond"/>
                <w:sz w:val="20"/>
                <w:szCs w:val="20"/>
              </w:rPr>
            </w:pPr>
          </w:p>
        </w:tc>
        <w:tc>
          <w:tcPr>
            <w:tcW w:w="839" w:type="pct"/>
            <w:tcBorders>
              <w:top w:val="nil"/>
              <w:left w:val="nil"/>
              <w:bottom w:val="nil"/>
              <w:right w:val="nil"/>
            </w:tcBorders>
          </w:tcPr>
          <w:p w14:paraId="135AA69B" w14:textId="77777777" w:rsidR="00755F0F" w:rsidRPr="006A05A1" w:rsidRDefault="00755F0F" w:rsidP="00155715">
            <w:pPr>
              <w:widowControl w:val="0"/>
              <w:autoSpaceDE w:val="0"/>
              <w:autoSpaceDN w:val="0"/>
              <w:adjustRightInd w:val="0"/>
              <w:jc w:val="both"/>
              <w:rPr>
                <w:rFonts w:ascii="Garamond" w:hAnsi="Garamond"/>
                <w:sz w:val="20"/>
                <w:szCs w:val="20"/>
              </w:rPr>
            </w:pPr>
          </w:p>
        </w:tc>
        <w:tc>
          <w:tcPr>
            <w:tcW w:w="839" w:type="pct"/>
            <w:tcBorders>
              <w:top w:val="nil"/>
              <w:left w:val="nil"/>
              <w:bottom w:val="nil"/>
              <w:right w:val="nil"/>
            </w:tcBorders>
          </w:tcPr>
          <w:p w14:paraId="17B6400F" w14:textId="77777777" w:rsidR="00755F0F" w:rsidRPr="006A05A1" w:rsidRDefault="00755F0F" w:rsidP="00155715">
            <w:pPr>
              <w:widowControl w:val="0"/>
              <w:autoSpaceDE w:val="0"/>
              <w:autoSpaceDN w:val="0"/>
              <w:adjustRightInd w:val="0"/>
              <w:jc w:val="both"/>
              <w:rPr>
                <w:rFonts w:ascii="Garamond" w:hAnsi="Garamond"/>
                <w:sz w:val="20"/>
                <w:szCs w:val="20"/>
              </w:rPr>
            </w:pPr>
          </w:p>
        </w:tc>
        <w:tc>
          <w:tcPr>
            <w:tcW w:w="909" w:type="pct"/>
            <w:tcBorders>
              <w:top w:val="nil"/>
              <w:left w:val="nil"/>
              <w:bottom w:val="nil"/>
              <w:right w:val="nil"/>
            </w:tcBorders>
          </w:tcPr>
          <w:p w14:paraId="45C43852" w14:textId="77777777" w:rsidR="00755F0F" w:rsidRPr="006A05A1" w:rsidRDefault="00755F0F" w:rsidP="00155715">
            <w:pPr>
              <w:widowControl w:val="0"/>
              <w:autoSpaceDE w:val="0"/>
              <w:autoSpaceDN w:val="0"/>
              <w:adjustRightInd w:val="0"/>
              <w:jc w:val="both"/>
              <w:rPr>
                <w:rFonts w:ascii="Garamond" w:hAnsi="Garamond"/>
                <w:sz w:val="20"/>
                <w:szCs w:val="20"/>
              </w:rPr>
            </w:pPr>
          </w:p>
        </w:tc>
      </w:tr>
      <w:tr w:rsidR="00755F0F" w:rsidRPr="006A05A1" w14:paraId="14F16A13" w14:textId="77777777" w:rsidTr="006A05A1">
        <w:trPr>
          <w:trHeight w:val="20"/>
          <w:jc w:val="center"/>
        </w:trPr>
        <w:tc>
          <w:tcPr>
            <w:tcW w:w="1714" w:type="pct"/>
            <w:tcBorders>
              <w:top w:val="nil"/>
              <w:left w:val="nil"/>
              <w:bottom w:val="nil"/>
              <w:right w:val="nil"/>
            </w:tcBorders>
          </w:tcPr>
          <w:p w14:paraId="1A1A4A16" w14:textId="77777777" w:rsidR="00755F0F" w:rsidRPr="006A05A1" w:rsidRDefault="00755F0F" w:rsidP="00155715">
            <w:pPr>
              <w:widowControl w:val="0"/>
              <w:autoSpaceDE w:val="0"/>
              <w:autoSpaceDN w:val="0"/>
              <w:adjustRightInd w:val="0"/>
              <w:jc w:val="both"/>
              <w:rPr>
                <w:rFonts w:ascii="Garamond" w:hAnsi="Garamond"/>
                <w:sz w:val="20"/>
                <w:szCs w:val="20"/>
              </w:rPr>
            </w:pPr>
            <w:proofErr w:type="spellStart"/>
            <w:r w:rsidRPr="006A05A1">
              <w:rPr>
                <w:rFonts w:ascii="Garamond" w:hAnsi="Garamond"/>
                <w:sz w:val="20"/>
                <w:szCs w:val="20"/>
              </w:rPr>
              <w:t>ADT_Trat</w:t>
            </w:r>
            <w:proofErr w:type="spellEnd"/>
          </w:p>
        </w:tc>
        <w:tc>
          <w:tcPr>
            <w:tcW w:w="699" w:type="pct"/>
            <w:tcBorders>
              <w:top w:val="nil"/>
              <w:left w:val="nil"/>
              <w:bottom w:val="nil"/>
              <w:right w:val="nil"/>
            </w:tcBorders>
          </w:tcPr>
          <w:p w14:paraId="7D98F0D3"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0.329***</w:t>
            </w:r>
          </w:p>
        </w:tc>
        <w:tc>
          <w:tcPr>
            <w:tcW w:w="839" w:type="pct"/>
            <w:tcBorders>
              <w:top w:val="nil"/>
              <w:left w:val="nil"/>
              <w:bottom w:val="nil"/>
              <w:right w:val="nil"/>
            </w:tcBorders>
          </w:tcPr>
          <w:p w14:paraId="6F5BCFC0"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0.218**</w:t>
            </w:r>
          </w:p>
        </w:tc>
        <w:tc>
          <w:tcPr>
            <w:tcW w:w="839" w:type="pct"/>
            <w:tcBorders>
              <w:top w:val="nil"/>
              <w:left w:val="nil"/>
              <w:bottom w:val="nil"/>
              <w:right w:val="nil"/>
            </w:tcBorders>
          </w:tcPr>
          <w:p w14:paraId="303DF7C1"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-0.0545</w:t>
            </w:r>
          </w:p>
        </w:tc>
        <w:tc>
          <w:tcPr>
            <w:tcW w:w="909" w:type="pct"/>
            <w:tcBorders>
              <w:top w:val="nil"/>
              <w:left w:val="nil"/>
              <w:bottom w:val="nil"/>
              <w:right w:val="nil"/>
            </w:tcBorders>
          </w:tcPr>
          <w:p w14:paraId="54567C75"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0.0723</w:t>
            </w:r>
          </w:p>
        </w:tc>
      </w:tr>
      <w:tr w:rsidR="00755F0F" w:rsidRPr="006A05A1" w14:paraId="6D278608" w14:textId="77777777" w:rsidTr="006A05A1">
        <w:trPr>
          <w:trHeight w:val="20"/>
          <w:jc w:val="center"/>
        </w:trPr>
        <w:tc>
          <w:tcPr>
            <w:tcW w:w="1714" w:type="pct"/>
            <w:tcBorders>
              <w:top w:val="nil"/>
              <w:left w:val="nil"/>
              <w:bottom w:val="nil"/>
              <w:right w:val="nil"/>
            </w:tcBorders>
          </w:tcPr>
          <w:p w14:paraId="0C7F1F04" w14:textId="77777777" w:rsidR="00755F0F" w:rsidRPr="006A05A1" w:rsidRDefault="00755F0F" w:rsidP="00155715">
            <w:pPr>
              <w:widowControl w:val="0"/>
              <w:autoSpaceDE w:val="0"/>
              <w:autoSpaceDN w:val="0"/>
              <w:adjustRightInd w:val="0"/>
              <w:jc w:val="both"/>
              <w:rPr>
                <w:rFonts w:ascii="Garamond" w:hAnsi="Garamond"/>
                <w:sz w:val="20"/>
                <w:szCs w:val="20"/>
              </w:rPr>
            </w:pPr>
          </w:p>
        </w:tc>
        <w:tc>
          <w:tcPr>
            <w:tcW w:w="699" w:type="pct"/>
            <w:tcBorders>
              <w:top w:val="nil"/>
              <w:left w:val="nil"/>
              <w:bottom w:val="nil"/>
              <w:right w:val="nil"/>
            </w:tcBorders>
          </w:tcPr>
          <w:p w14:paraId="03D59434"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(0.108)</w:t>
            </w:r>
          </w:p>
        </w:tc>
        <w:tc>
          <w:tcPr>
            <w:tcW w:w="839" w:type="pct"/>
            <w:tcBorders>
              <w:top w:val="nil"/>
              <w:left w:val="nil"/>
              <w:bottom w:val="nil"/>
              <w:right w:val="nil"/>
            </w:tcBorders>
          </w:tcPr>
          <w:p w14:paraId="33A347C3"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(0.108)</w:t>
            </w:r>
          </w:p>
        </w:tc>
        <w:tc>
          <w:tcPr>
            <w:tcW w:w="839" w:type="pct"/>
            <w:tcBorders>
              <w:top w:val="nil"/>
              <w:left w:val="nil"/>
              <w:bottom w:val="nil"/>
              <w:right w:val="nil"/>
            </w:tcBorders>
          </w:tcPr>
          <w:p w14:paraId="1A04D883"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(0.117)</w:t>
            </w:r>
          </w:p>
        </w:tc>
        <w:tc>
          <w:tcPr>
            <w:tcW w:w="909" w:type="pct"/>
            <w:tcBorders>
              <w:top w:val="nil"/>
              <w:left w:val="nil"/>
              <w:bottom w:val="nil"/>
              <w:right w:val="nil"/>
            </w:tcBorders>
          </w:tcPr>
          <w:p w14:paraId="46F2D6CE"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(0.118)</w:t>
            </w:r>
          </w:p>
        </w:tc>
      </w:tr>
      <w:tr w:rsidR="00755F0F" w:rsidRPr="006A05A1" w14:paraId="7F39E62B" w14:textId="77777777" w:rsidTr="006A05A1">
        <w:trPr>
          <w:trHeight w:val="20"/>
          <w:jc w:val="center"/>
        </w:trPr>
        <w:tc>
          <w:tcPr>
            <w:tcW w:w="1714" w:type="pct"/>
            <w:tcBorders>
              <w:top w:val="nil"/>
              <w:left w:val="nil"/>
              <w:bottom w:val="nil"/>
              <w:right w:val="nil"/>
            </w:tcBorders>
          </w:tcPr>
          <w:p w14:paraId="204DE203" w14:textId="77777777" w:rsidR="00755F0F" w:rsidRPr="006A05A1" w:rsidRDefault="00755F0F" w:rsidP="00155715">
            <w:pPr>
              <w:widowControl w:val="0"/>
              <w:autoSpaceDE w:val="0"/>
              <w:autoSpaceDN w:val="0"/>
              <w:adjustRightInd w:val="0"/>
              <w:jc w:val="both"/>
              <w:rPr>
                <w:rFonts w:ascii="Garamond" w:hAnsi="Garamond"/>
                <w:sz w:val="20"/>
                <w:szCs w:val="20"/>
              </w:rPr>
            </w:pPr>
            <w:proofErr w:type="spellStart"/>
            <w:r w:rsidRPr="006A05A1">
              <w:rPr>
                <w:rFonts w:ascii="Garamond" w:hAnsi="Garamond"/>
                <w:sz w:val="20"/>
                <w:szCs w:val="20"/>
              </w:rPr>
              <w:t>dif_imp</w:t>
            </w:r>
            <w:proofErr w:type="spellEnd"/>
          </w:p>
        </w:tc>
        <w:tc>
          <w:tcPr>
            <w:tcW w:w="699" w:type="pct"/>
            <w:tcBorders>
              <w:top w:val="nil"/>
              <w:left w:val="nil"/>
              <w:bottom w:val="nil"/>
              <w:right w:val="nil"/>
            </w:tcBorders>
          </w:tcPr>
          <w:p w14:paraId="66E43F5D" w14:textId="77777777" w:rsidR="00755F0F" w:rsidRPr="006A05A1" w:rsidRDefault="00755F0F" w:rsidP="00155715">
            <w:pPr>
              <w:widowControl w:val="0"/>
              <w:autoSpaceDE w:val="0"/>
              <w:autoSpaceDN w:val="0"/>
              <w:adjustRightInd w:val="0"/>
              <w:jc w:val="both"/>
              <w:rPr>
                <w:rFonts w:ascii="Garamond" w:hAnsi="Garamond"/>
                <w:sz w:val="20"/>
                <w:szCs w:val="20"/>
              </w:rPr>
            </w:pPr>
          </w:p>
        </w:tc>
        <w:tc>
          <w:tcPr>
            <w:tcW w:w="839" w:type="pct"/>
            <w:tcBorders>
              <w:top w:val="nil"/>
              <w:left w:val="nil"/>
              <w:bottom w:val="nil"/>
              <w:right w:val="nil"/>
            </w:tcBorders>
          </w:tcPr>
          <w:p w14:paraId="5D5FCE6A"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0.0250***</w:t>
            </w:r>
          </w:p>
        </w:tc>
        <w:tc>
          <w:tcPr>
            <w:tcW w:w="839" w:type="pct"/>
            <w:tcBorders>
              <w:top w:val="nil"/>
              <w:left w:val="nil"/>
              <w:bottom w:val="nil"/>
              <w:right w:val="nil"/>
            </w:tcBorders>
          </w:tcPr>
          <w:p w14:paraId="3F7EAD79"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0.0248***</w:t>
            </w:r>
          </w:p>
        </w:tc>
        <w:tc>
          <w:tcPr>
            <w:tcW w:w="909" w:type="pct"/>
            <w:tcBorders>
              <w:top w:val="nil"/>
              <w:left w:val="nil"/>
              <w:bottom w:val="nil"/>
              <w:right w:val="nil"/>
            </w:tcBorders>
          </w:tcPr>
          <w:p w14:paraId="79D1C32F"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0.0184***</w:t>
            </w:r>
          </w:p>
        </w:tc>
      </w:tr>
      <w:tr w:rsidR="00755F0F" w:rsidRPr="006A05A1" w14:paraId="15C7036F" w14:textId="77777777" w:rsidTr="006A05A1">
        <w:trPr>
          <w:trHeight w:val="20"/>
          <w:jc w:val="center"/>
        </w:trPr>
        <w:tc>
          <w:tcPr>
            <w:tcW w:w="1714" w:type="pct"/>
            <w:tcBorders>
              <w:top w:val="nil"/>
              <w:left w:val="nil"/>
              <w:bottom w:val="nil"/>
              <w:right w:val="nil"/>
            </w:tcBorders>
          </w:tcPr>
          <w:p w14:paraId="6B4008D0" w14:textId="77777777" w:rsidR="00755F0F" w:rsidRPr="006A05A1" w:rsidRDefault="00755F0F" w:rsidP="00155715">
            <w:pPr>
              <w:widowControl w:val="0"/>
              <w:autoSpaceDE w:val="0"/>
              <w:autoSpaceDN w:val="0"/>
              <w:adjustRightInd w:val="0"/>
              <w:jc w:val="both"/>
              <w:rPr>
                <w:rFonts w:ascii="Garamond" w:hAnsi="Garamond"/>
                <w:sz w:val="20"/>
                <w:szCs w:val="20"/>
              </w:rPr>
            </w:pPr>
          </w:p>
        </w:tc>
        <w:tc>
          <w:tcPr>
            <w:tcW w:w="699" w:type="pct"/>
            <w:tcBorders>
              <w:top w:val="nil"/>
              <w:left w:val="nil"/>
              <w:bottom w:val="nil"/>
              <w:right w:val="nil"/>
            </w:tcBorders>
          </w:tcPr>
          <w:p w14:paraId="129F03E2" w14:textId="77777777" w:rsidR="00755F0F" w:rsidRPr="006A05A1" w:rsidRDefault="00755F0F" w:rsidP="00155715">
            <w:pPr>
              <w:widowControl w:val="0"/>
              <w:autoSpaceDE w:val="0"/>
              <w:autoSpaceDN w:val="0"/>
              <w:adjustRightInd w:val="0"/>
              <w:jc w:val="both"/>
              <w:rPr>
                <w:rFonts w:ascii="Garamond" w:hAnsi="Garamond"/>
                <w:sz w:val="20"/>
                <w:szCs w:val="20"/>
              </w:rPr>
            </w:pPr>
          </w:p>
        </w:tc>
        <w:tc>
          <w:tcPr>
            <w:tcW w:w="839" w:type="pct"/>
            <w:tcBorders>
              <w:top w:val="nil"/>
              <w:left w:val="nil"/>
              <w:bottom w:val="nil"/>
              <w:right w:val="nil"/>
            </w:tcBorders>
          </w:tcPr>
          <w:p w14:paraId="7964B35D"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(0.00548)</w:t>
            </w:r>
          </w:p>
        </w:tc>
        <w:tc>
          <w:tcPr>
            <w:tcW w:w="839" w:type="pct"/>
            <w:tcBorders>
              <w:top w:val="nil"/>
              <w:left w:val="nil"/>
              <w:bottom w:val="nil"/>
              <w:right w:val="nil"/>
            </w:tcBorders>
          </w:tcPr>
          <w:p w14:paraId="2741F4D1"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(0.00547)</w:t>
            </w:r>
          </w:p>
        </w:tc>
        <w:tc>
          <w:tcPr>
            <w:tcW w:w="909" w:type="pct"/>
            <w:tcBorders>
              <w:top w:val="nil"/>
              <w:left w:val="nil"/>
              <w:bottom w:val="nil"/>
              <w:right w:val="nil"/>
            </w:tcBorders>
          </w:tcPr>
          <w:p w14:paraId="2859BD7C"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(0.00567)</w:t>
            </w:r>
          </w:p>
        </w:tc>
      </w:tr>
      <w:tr w:rsidR="00755F0F" w:rsidRPr="006A05A1" w14:paraId="1B7AE340" w14:textId="77777777" w:rsidTr="006A05A1">
        <w:trPr>
          <w:trHeight w:val="20"/>
          <w:jc w:val="center"/>
        </w:trPr>
        <w:tc>
          <w:tcPr>
            <w:tcW w:w="1714" w:type="pct"/>
            <w:tcBorders>
              <w:top w:val="nil"/>
              <w:left w:val="nil"/>
              <w:bottom w:val="nil"/>
              <w:right w:val="nil"/>
            </w:tcBorders>
          </w:tcPr>
          <w:p w14:paraId="0EDB7472"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PIB</w:t>
            </w:r>
          </w:p>
        </w:tc>
        <w:tc>
          <w:tcPr>
            <w:tcW w:w="699" w:type="pct"/>
            <w:tcBorders>
              <w:top w:val="nil"/>
              <w:left w:val="nil"/>
              <w:bottom w:val="nil"/>
              <w:right w:val="nil"/>
            </w:tcBorders>
          </w:tcPr>
          <w:p w14:paraId="140EF8F5" w14:textId="77777777" w:rsidR="00755F0F" w:rsidRPr="006A05A1" w:rsidRDefault="00755F0F" w:rsidP="00155715">
            <w:pPr>
              <w:widowControl w:val="0"/>
              <w:autoSpaceDE w:val="0"/>
              <w:autoSpaceDN w:val="0"/>
              <w:adjustRightInd w:val="0"/>
              <w:jc w:val="both"/>
              <w:rPr>
                <w:rFonts w:ascii="Garamond" w:hAnsi="Garamond"/>
                <w:sz w:val="20"/>
                <w:szCs w:val="20"/>
              </w:rPr>
            </w:pPr>
          </w:p>
        </w:tc>
        <w:tc>
          <w:tcPr>
            <w:tcW w:w="839" w:type="pct"/>
            <w:tcBorders>
              <w:top w:val="nil"/>
              <w:left w:val="nil"/>
              <w:bottom w:val="nil"/>
              <w:right w:val="nil"/>
            </w:tcBorders>
          </w:tcPr>
          <w:p w14:paraId="1D7183AE"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0.00993*</w:t>
            </w:r>
          </w:p>
        </w:tc>
        <w:tc>
          <w:tcPr>
            <w:tcW w:w="839" w:type="pct"/>
            <w:tcBorders>
              <w:top w:val="nil"/>
              <w:left w:val="nil"/>
              <w:bottom w:val="nil"/>
              <w:right w:val="nil"/>
            </w:tcBorders>
          </w:tcPr>
          <w:p w14:paraId="26D5784A"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0.0118**</w:t>
            </w:r>
          </w:p>
        </w:tc>
        <w:tc>
          <w:tcPr>
            <w:tcW w:w="909" w:type="pct"/>
            <w:tcBorders>
              <w:top w:val="nil"/>
              <w:left w:val="nil"/>
              <w:bottom w:val="nil"/>
              <w:right w:val="nil"/>
            </w:tcBorders>
          </w:tcPr>
          <w:p w14:paraId="66746CB2"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0.00268</w:t>
            </w:r>
          </w:p>
        </w:tc>
      </w:tr>
      <w:tr w:rsidR="00755F0F" w:rsidRPr="006A05A1" w14:paraId="7A90443A" w14:textId="77777777" w:rsidTr="006A05A1">
        <w:trPr>
          <w:trHeight w:val="20"/>
          <w:jc w:val="center"/>
        </w:trPr>
        <w:tc>
          <w:tcPr>
            <w:tcW w:w="1714" w:type="pct"/>
            <w:tcBorders>
              <w:top w:val="nil"/>
              <w:left w:val="nil"/>
              <w:bottom w:val="nil"/>
              <w:right w:val="nil"/>
            </w:tcBorders>
          </w:tcPr>
          <w:p w14:paraId="546CC805" w14:textId="77777777" w:rsidR="00755F0F" w:rsidRPr="006A05A1" w:rsidRDefault="00755F0F" w:rsidP="00155715">
            <w:pPr>
              <w:widowControl w:val="0"/>
              <w:autoSpaceDE w:val="0"/>
              <w:autoSpaceDN w:val="0"/>
              <w:adjustRightInd w:val="0"/>
              <w:jc w:val="both"/>
              <w:rPr>
                <w:rFonts w:ascii="Garamond" w:hAnsi="Garamond"/>
                <w:sz w:val="20"/>
                <w:szCs w:val="20"/>
              </w:rPr>
            </w:pPr>
          </w:p>
        </w:tc>
        <w:tc>
          <w:tcPr>
            <w:tcW w:w="699" w:type="pct"/>
            <w:tcBorders>
              <w:top w:val="nil"/>
              <w:left w:val="nil"/>
              <w:bottom w:val="nil"/>
              <w:right w:val="nil"/>
            </w:tcBorders>
          </w:tcPr>
          <w:p w14:paraId="6C424360" w14:textId="77777777" w:rsidR="00755F0F" w:rsidRPr="006A05A1" w:rsidRDefault="00755F0F" w:rsidP="00155715">
            <w:pPr>
              <w:widowControl w:val="0"/>
              <w:autoSpaceDE w:val="0"/>
              <w:autoSpaceDN w:val="0"/>
              <w:adjustRightInd w:val="0"/>
              <w:jc w:val="both"/>
              <w:rPr>
                <w:rFonts w:ascii="Garamond" w:hAnsi="Garamond"/>
                <w:sz w:val="20"/>
                <w:szCs w:val="20"/>
              </w:rPr>
            </w:pPr>
          </w:p>
        </w:tc>
        <w:tc>
          <w:tcPr>
            <w:tcW w:w="839" w:type="pct"/>
            <w:tcBorders>
              <w:top w:val="nil"/>
              <w:left w:val="nil"/>
              <w:bottom w:val="nil"/>
              <w:right w:val="nil"/>
            </w:tcBorders>
          </w:tcPr>
          <w:p w14:paraId="451FB8BB"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(0.00537)</w:t>
            </w:r>
          </w:p>
        </w:tc>
        <w:tc>
          <w:tcPr>
            <w:tcW w:w="839" w:type="pct"/>
            <w:tcBorders>
              <w:top w:val="nil"/>
              <w:left w:val="nil"/>
              <w:bottom w:val="nil"/>
              <w:right w:val="nil"/>
            </w:tcBorders>
          </w:tcPr>
          <w:p w14:paraId="6CFEA556"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(0.00534)</w:t>
            </w:r>
          </w:p>
        </w:tc>
        <w:tc>
          <w:tcPr>
            <w:tcW w:w="909" w:type="pct"/>
            <w:tcBorders>
              <w:top w:val="nil"/>
              <w:left w:val="nil"/>
              <w:bottom w:val="nil"/>
              <w:right w:val="nil"/>
            </w:tcBorders>
          </w:tcPr>
          <w:p w14:paraId="0019D86B"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(0.00552)</w:t>
            </w:r>
          </w:p>
        </w:tc>
      </w:tr>
      <w:tr w:rsidR="00755F0F" w:rsidRPr="006A05A1" w14:paraId="1D7A4173" w14:textId="77777777" w:rsidTr="006A05A1">
        <w:trPr>
          <w:trHeight w:val="20"/>
          <w:jc w:val="center"/>
        </w:trPr>
        <w:tc>
          <w:tcPr>
            <w:tcW w:w="1714" w:type="pct"/>
            <w:tcBorders>
              <w:top w:val="nil"/>
              <w:left w:val="nil"/>
              <w:bottom w:val="nil"/>
              <w:right w:val="nil"/>
            </w:tcBorders>
          </w:tcPr>
          <w:p w14:paraId="0B967097" w14:textId="77777777" w:rsidR="00755F0F" w:rsidRPr="006A05A1" w:rsidRDefault="00755F0F" w:rsidP="00155715">
            <w:pPr>
              <w:widowControl w:val="0"/>
              <w:autoSpaceDE w:val="0"/>
              <w:autoSpaceDN w:val="0"/>
              <w:adjustRightInd w:val="0"/>
              <w:jc w:val="both"/>
              <w:rPr>
                <w:rFonts w:ascii="Garamond" w:hAnsi="Garamond"/>
                <w:sz w:val="20"/>
                <w:szCs w:val="20"/>
              </w:rPr>
            </w:pPr>
            <w:proofErr w:type="spellStart"/>
            <w:r w:rsidRPr="006A05A1">
              <w:rPr>
                <w:rFonts w:ascii="Garamond" w:hAnsi="Garamond"/>
                <w:sz w:val="20"/>
                <w:szCs w:val="20"/>
              </w:rPr>
              <w:t>PIB_per</w:t>
            </w:r>
            <w:proofErr w:type="spellEnd"/>
          </w:p>
        </w:tc>
        <w:tc>
          <w:tcPr>
            <w:tcW w:w="699" w:type="pct"/>
            <w:tcBorders>
              <w:top w:val="nil"/>
              <w:left w:val="nil"/>
              <w:bottom w:val="nil"/>
              <w:right w:val="nil"/>
            </w:tcBorders>
          </w:tcPr>
          <w:p w14:paraId="256A1A5D" w14:textId="77777777" w:rsidR="00755F0F" w:rsidRPr="006A05A1" w:rsidRDefault="00755F0F" w:rsidP="00155715">
            <w:pPr>
              <w:widowControl w:val="0"/>
              <w:autoSpaceDE w:val="0"/>
              <w:autoSpaceDN w:val="0"/>
              <w:adjustRightInd w:val="0"/>
              <w:jc w:val="both"/>
              <w:rPr>
                <w:rFonts w:ascii="Garamond" w:hAnsi="Garamond"/>
                <w:sz w:val="20"/>
                <w:szCs w:val="20"/>
              </w:rPr>
            </w:pPr>
          </w:p>
        </w:tc>
        <w:tc>
          <w:tcPr>
            <w:tcW w:w="839" w:type="pct"/>
            <w:tcBorders>
              <w:top w:val="nil"/>
              <w:left w:val="nil"/>
              <w:bottom w:val="nil"/>
              <w:right w:val="nil"/>
            </w:tcBorders>
          </w:tcPr>
          <w:p w14:paraId="72821C87"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4.18e-05***</w:t>
            </w:r>
          </w:p>
        </w:tc>
        <w:tc>
          <w:tcPr>
            <w:tcW w:w="839" w:type="pct"/>
            <w:tcBorders>
              <w:top w:val="nil"/>
              <w:left w:val="nil"/>
              <w:bottom w:val="nil"/>
              <w:right w:val="nil"/>
            </w:tcBorders>
          </w:tcPr>
          <w:p w14:paraId="048D5079"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3.21e-05***</w:t>
            </w:r>
          </w:p>
        </w:tc>
        <w:tc>
          <w:tcPr>
            <w:tcW w:w="909" w:type="pct"/>
            <w:tcBorders>
              <w:top w:val="nil"/>
              <w:left w:val="nil"/>
              <w:bottom w:val="nil"/>
              <w:right w:val="nil"/>
            </w:tcBorders>
          </w:tcPr>
          <w:p w14:paraId="3C54D4F3"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3.92e-05***</w:t>
            </w:r>
          </w:p>
        </w:tc>
      </w:tr>
      <w:tr w:rsidR="00755F0F" w:rsidRPr="006A05A1" w14:paraId="7CBBA580" w14:textId="77777777" w:rsidTr="006A05A1">
        <w:trPr>
          <w:trHeight w:val="20"/>
          <w:jc w:val="center"/>
        </w:trPr>
        <w:tc>
          <w:tcPr>
            <w:tcW w:w="1714" w:type="pct"/>
            <w:tcBorders>
              <w:top w:val="nil"/>
              <w:left w:val="nil"/>
              <w:bottom w:val="nil"/>
              <w:right w:val="nil"/>
            </w:tcBorders>
          </w:tcPr>
          <w:p w14:paraId="762DA414" w14:textId="77777777" w:rsidR="00755F0F" w:rsidRPr="006A05A1" w:rsidRDefault="00755F0F" w:rsidP="00155715">
            <w:pPr>
              <w:widowControl w:val="0"/>
              <w:autoSpaceDE w:val="0"/>
              <w:autoSpaceDN w:val="0"/>
              <w:adjustRightInd w:val="0"/>
              <w:jc w:val="both"/>
              <w:rPr>
                <w:rFonts w:ascii="Garamond" w:hAnsi="Garamond"/>
                <w:sz w:val="20"/>
                <w:szCs w:val="20"/>
              </w:rPr>
            </w:pPr>
          </w:p>
        </w:tc>
        <w:tc>
          <w:tcPr>
            <w:tcW w:w="699" w:type="pct"/>
            <w:tcBorders>
              <w:top w:val="nil"/>
              <w:left w:val="nil"/>
              <w:bottom w:val="nil"/>
              <w:right w:val="nil"/>
            </w:tcBorders>
          </w:tcPr>
          <w:p w14:paraId="4FFC8229" w14:textId="77777777" w:rsidR="00755F0F" w:rsidRPr="006A05A1" w:rsidRDefault="00755F0F" w:rsidP="00155715">
            <w:pPr>
              <w:widowControl w:val="0"/>
              <w:autoSpaceDE w:val="0"/>
              <w:autoSpaceDN w:val="0"/>
              <w:adjustRightInd w:val="0"/>
              <w:jc w:val="both"/>
              <w:rPr>
                <w:rFonts w:ascii="Garamond" w:hAnsi="Garamond"/>
                <w:sz w:val="20"/>
                <w:szCs w:val="20"/>
              </w:rPr>
            </w:pPr>
          </w:p>
        </w:tc>
        <w:tc>
          <w:tcPr>
            <w:tcW w:w="839" w:type="pct"/>
            <w:tcBorders>
              <w:top w:val="nil"/>
              <w:left w:val="nil"/>
              <w:bottom w:val="nil"/>
              <w:right w:val="nil"/>
            </w:tcBorders>
          </w:tcPr>
          <w:p w14:paraId="251A3224"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(6.52e-06)</w:t>
            </w:r>
          </w:p>
        </w:tc>
        <w:tc>
          <w:tcPr>
            <w:tcW w:w="839" w:type="pct"/>
            <w:tcBorders>
              <w:top w:val="nil"/>
              <w:left w:val="nil"/>
              <w:bottom w:val="nil"/>
              <w:right w:val="nil"/>
            </w:tcBorders>
          </w:tcPr>
          <w:p w14:paraId="79026159"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(6.67e-06)</w:t>
            </w:r>
          </w:p>
        </w:tc>
        <w:tc>
          <w:tcPr>
            <w:tcW w:w="909" w:type="pct"/>
            <w:tcBorders>
              <w:top w:val="nil"/>
              <w:left w:val="nil"/>
              <w:bottom w:val="nil"/>
              <w:right w:val="nil"/>
            </w:tcBorders>
          </w:tcPr>
          <w:p w14:paraId="6B5D7E1A"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(6.70e-06)</w:t>
            </w:r>
          </w:p>
        </w:tc>
      </w:tr>
      <w:tr w:rsidR="00755F0F" w:rsidRPr="006A05A1" w14:paraId="2D3D3911" w14:textId="77777777" w:rsidTr="006A05A1">
        <w:trPr>
          <w:trHeight w:val="20"/>
          <w:jc w:val="center"/>
        </w:trPr>
        <w:tc>
          <w:tcPr>
            <w:tcW w:w="1714" w:type="pct"/>
            <w:tcBorders>
              <w:top w:val="nil"/>
              <w:left w:val="nil"/>
              <w:bottom w:val="nil"/>
              <w:right w:val="nil"/>
            </w:tcBorders>
          </w:tcPr>
          <w:p w14:paraId="45C91BA8"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IPC</w:t>
            </w:r>
          </w:p>
        </w:tc>
        <w:tc>
          <w:tcPr>
            <w:tcW w:w="699" w:type="pct"/>
            <w:tcBorders>
              <w:top w:val="nil"/>
              <w:left w:val="nil"/>
              <w:bottom w:val="nil"/>
              <w:right w:val="nil"/>
            </w:tcBorders>
          </w:tcPr>
          <w:p w14:paraId="4F36D51F" w14:textId="77777777" w:rsidR="00755F0F" w:rsidRPr="006A05A1" w:rsidRDefault="00755F0F" w:rsidP="00155715">
            <w:pPr>
              <w:widowControl w:val="0"/>
              <w:autoSpaceDE w:val="0"/>
              <w:autoSpaceDN w:val="0"/>
              <w:adjustRightInd w:val="0"/>
              <w:jc w:val="both"/>
              <w:rPr>
                <w:rFonts w:ascii="Garamond" w:hAnsi="Garamond"/>
                <w:sz w:val="20"/>
                <w:szCs w:val="20"/>
              </w:rPr>
            </w:pPr>
          </w:p>
        </w:tc>
        <w:tc>
          <w:tcPr>
            <w:tcW w:w="839" w:type="pct"/>
            <w:tcBorders>
              <w:top w:val="nil"/>
              <w:left w:val="nil"/>
              <w:bottom w:val="nil"/>
              <w:right w:val="nil"/>
            </w:tcBorders>
          </w:tcPr>
          <w:p w14:paraId="059ADEFB"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-2.29e-06</w:t>
            </w:r>
          </w:p>
        </w:tc>
        <w:tc>
          <w:tcPr>
            <w:tcW w:w="839" w:type="pct"/>
            <w:tcBorders>
              <w:top w:val="nil"/>
              <w:left w:val="nil"/>
              <w:bottom w:val="nil"/>
              <w:right w:val="nil"/>
            </w:tcBorders>
          </w:tcPr>
          <w:p w14:paraId="2168F90F"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-2.24e-06</w:t>
            </w:r>
          </w:p>
        </w:tc>
        <w:tc>
          <w:tcPr>
            <w:tcW w:w="909" w:type="pct"/>
            <w:tcBorders>
              <w:top w:val="nil"/>
              <w:left w:val="nil"/>
              <w:bottom w:val="nil"/>
              <w:right w:val="nil"/>
            </w:tcBorders>
          </w:tcPr>
          <w:p w14:paraId="53277EED"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-3.50e-06</w:t>
            </w:r>
          </w:p>
        </w:tc>
      </w:tr>
      <w:tr w:rsidR="00755F0F" w:rsidRPr="006A05A1" w14:paraId="2119E9F8" w14:textId="77777777" w:rsidTr="006A05A1">
        <w:trPr>
          <w:trHeight w:val="20"/>
          <w:jc w:val="center"/>
        </w:trPr>
        <w:tc>
          <w:tcPr>
            <w:tcW w:w="1714" w:type="pct"/>
            <w:tcBorders>
              <w:top w:val="nil"/>
              <w:left w:val="nil"/>
              <w:bottom w:val="nil"/>
              <w:right w:val="nil"/>
            </w:tcBorders>
          </w:tcPr>
          <w:p w14:paraId="20C31B64" w14:textId="77777777" w:rsidR="00755F0F" w:rsidRPr="006A05A1" w:rsidRDefault="00755F0F" w:rsidP="00155715">
            <w:pPr>
              <w:widowControl w:val="0"/>
              <w:autoSpaceDE w:val="0"/>
              <w:autoSpaceDN w:val="0"/>
              <w:adjustRightInd w:val="0"/>
              <w:jc w:val="both"/>
              <w:rPr>
                <w:rFonts w:ascii="Garamond" w:hAnsi="Garamond"/>
                <w:sz w:val="20"/>
                <w:szCs w:val="20"/>
              </w:rPr>
            </w:pPr>
          </w:p>
        </w:tc>
        <w:tc>
          <w:tcPr>
            <w:tcW w:w="699" w:type="pct"/>
            <w:tcBorders>
              <w:top w:val="nil"/>
              <w:left w:val="nil"/>
              <w:bottom w:val="nil"/>
              <w:right w:val="nil"/>
            </w:tcBorders>
          </w:tcPr>
          <w:p w14:paraId="77FE997A" w14:textId="77777777" w:rsidR="00755F0F" w:rsidRPr="006A05A1" w:rsidRDefault="00755F0F" w:rsidP="00155715">
            <w:pPr>
              <w:widowControl w:val="0"/>
              <w:autoSpaceDE w:val="0"/>
              <w:autoSpaceDN w:val="0"/>
              <w:adjustRightInd w:val="0"/>
              <w:jc w:val="both"/>
              <w:rPr>
                <w:rFonts w:ascii="Garamond" w:hAnsi="Garamond"/>
                <w:sz w:val="20"/>
                <w:szCs w:val="20"/>
              </w:rPr>
            </w:pPr>
          </w:p>
        </w:tc>
        <w:tc>
          <w:tcPr>
            <w:tcW w:w="839" w:type="pct"/>
            <w:tcBorders>
              <w:top w:val="nil"/>
              <w:left w:val="nil"/>
              <w:bottom w:val="nil"/>
              <w:right w:val="nil"/>
            </w:tcBorders>
          </w:tcPr>
          <w:p w14:paraId="7D52C877"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(9.72e-06)</w:t>
            </w:r>
          </w:p>
        </w:tc>
        <w:tc>
          <w:tcPr>
            <w:tcW w:w="839" w:type="pct"/>
            <w:tcBorders>
              <w:top w:val="nil"/>
              <w:left w:val="nil"/>
              <w:bottom w:val="nil"/>
              <w:right w:val="nil"/>
            </w:tcBorders>
          </w:tcPr>
          <w:p w14:paraId="6BE173D7"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(9.65e-06)</w:t>
            </w:r>
          </w:p>
        </w:tc>
        <w:tc>
          <w:tcPr>
            <w:tcW w:w="909" w:type="pct"/>
            <w:tcBorders>
              <w:top w:val="nil"/>
              <w:left w:val="nil"/>
              <w:bottom w:val="nil"/>
              <w:right w:val="nil"/>
            </w:tcBorders>
          </w:tcPr>
          <w:p w14:paraId="4325EDA0"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(9.54e-06)</w:t>
            </w:r>
          </w:p>
        </w:tc>
      </w:tr>
      <w:tr w:rsidR="00755F0F" w:rsidRPr="006A05A1" w14:paraId="30452664" w14:textId="77777777" w:rsidTr="006A05A1">
        <w:trPr>
          <w:trHeight w:val="20"/>
          <w:jc w:val="center"/>
        </w:trPr>
        <w:tc>
          <w:tcPr>
            <w:tcW w:w="1714" w:type="pct"/>
            <w:tcBorders>
              <w:top w:val="nil"/>
              <w:left w:val="nil"/>
              <w:bottom w:val="nil"/>
              <w:right w:val="nil"/>
            </w:tcBorders>
          </w:tcPr>
          <w:p w14:paraId="7A319692"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BC</w:t>
            </w:r>
          </w:p>
        </w:tc>
        <w:tc>
          <w:tcPr>
            <w:tcW w:w="699" w:type="pct"/>
            <w:tcBorders>
              <w:top w:val="nil"/>
              <w:left w:val="nil"/>
              <w:bottom w:val="nil"/>
              <w:right w:val="nil"/>
            </w:tcBorders>
          </w:tcPr>
          <w:p w14:paraId="5B6A6A2E" w14:textId="77777777" w:rsidR="00755F0F" w:rsidRPr="006A05A1" w:rsidRDefault="00755F0F" w:rsidP="00155715">
            <w:pPr>
              <w:widowControl w:val="0"/>
              <w:autoSpaceDE w:val="0"/>
              <w:autoSpaceDN w:val="0"/>
              <w:adjustRightInd w:val="0"/>
              <w:jc w:val="both"/>
              <w:rPr>
                <w:rFonts w:ascii="Garamond" w:hAnsi="Garamond"/>
                <w:sz w:val="20"/>
                <w:szCs w:val="20"/>
              </w:rPr>
            </w:pPr>
          </w:p>
        </w:tc>
        <w:tc>
          <w:tcPr>
            <w:tcW w:w="839" w:type="pct"/>
            <w:tcBorders>
              <w:top w:val="nil"/>
              <w:left w:val="nil"/>
              <w:bottom w:val="nil"/>
              <w:right w:val="nil"/>
            </w:tcBorders>
          </w:tcPr>
          <w:p w14:paraId="1C784C64"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-1.17e-07</w:t>
            </w:r>
          </w:p>
        </w:tc>
        <w:tc>
          <w:tcPr>
            <w:tcW w:w="839" w:type="pct"/>
            <w:tcBorders>
              <w:top w:val="nil"/>
              <w:left w:val="nil"/>
              <w:bottom w:val="nil"/>
              <w:right w:val="nil"/>
            </w:tcBorders>
          </w:tcPr>
          <w:p w14:paraId="4E175E76"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-6.76e-08</w:t>
            </w:r>
          </w:p>
        </w:tc>
        <w:tc>
          <w:tcPr>
            <w:tcW w:w="909" w:type="pct"/>
            <w:tcBorders>
              <w:top w:val="nil"/>
              <w:left w:val="nil"/>
              <w:bottom w:val="nil"/>
              <w:right w:val="nil"/>
            </w:tcBorders>
          </w:tcPr>
          <w:p w14:paraId="718FAF4E"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-1.12e-07</w:t>
            </w:r>
          </w:p>
        </w:tc>
      </w:tr>
      <w:tr w:rsidR="00755F0F" w:rsidRPr="006A05A1" w14:paraId="426D4A74" w14:textId="77777777" w:rsidTr="006A05A1">
        <w:trPr>
          <w:trHeight w:val="20"/>
          <w:jc w:val="center"/>
        </w:trPr>
        <w:tc>
          <w:tcPr>
            <w:tcW w:w="1714" w:type="pct"/>
            <w:tcBorders>
              <w:top w:val="nil"/>
              <w:left w:val="nil"/>
              <w:bottom w:val="nil"/>
              <w:right w:val="nil"/>
            </w:tcBorders>
          </w:tcPr>
          <w:p w14:paraId="67DEA943" w14:textId="77777777" w:rsidR="00755F0F" w:rsidRPr="006A05A1" w:rsidRDefault="00755F0F" w:rsidP="00155715">
            <w:pPr>
              <w:widowControl w:val="0"/>
              <w:autoSpaceDE w:val="0"/>
              <w:autoSpaceDN w:val="0"/>
              <w:adjustRightInd w:val="0"/>
              <w:jc w:val="both"/>
              <w:rPr>
                <w:rFonts w:ascii="Garamond" w:hAnsi="Garamond"/>
                <w:sz w:val="20"/>
                <w:szCs w:val="20"/>
              </w:rPr>
            </w:pPr>
          </w:p>
        </w:tc>
        <w:tc>
          <w:tcPr>
            <w:tcW w:w="699" w:type="pct"/>
            <w:tcBorders>
              <w:top w:val="nil"/>
              <w:left w:val="nil"/>
              <w:bottom w:val="nil"/>
              <w:right w:val="nil"/>
            </w:tcBorders>
          </w:tcPr>
          <w:p w14:paraId="64104E7F" w14:textId="77777777" w:rsidR="00755F0F" w:rsidRPr="006A05A1" w:rsidRDefault="00755F0F" w:rsidP="00155715">
            <w:pPr>
              <w:widowControl w:val="0"/>
              <w:autoSpaceDE w:val="0"/>
              <w:autoSpaceDN w:val="0"/>
              <w:adjustRightInd w:val="0"/>
              <w:jc w:val="both"/>
              <w:rPr>
                <w:rFonts w:ascii="Garamond" w:hAnsi="Garamond"/>
                <w:sz w:val="20"/>
                <w:szCs w:val="20"/>
              </w:rPr>
            </w:pPr>
          </w:p>
        </w:tc>
        <w:tc>
          <w:tcPr>
            <w:tcW w:w="839" w:type="pct"/>
            <w:tcBorders>
              <w:top w:val="nil"/>
              <w:left w:val="nil"/>
              <w:bottom w:val="nil"/>
              <w:right w:val="nil"/>
            </w:tcBorders>
          </w:tcPr>
          <w:p w14:paraId="60A05233"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(9.90e-08)</w:t>
            </w:r>
          </w:p>
        </w:tc>
        <w:tc>
          <w:tcPr>
            <w:tcW w:w="839" w:type="pct"/>
            <w:tcBorders>
              <w:top w:val="nil"/>
              <w:left w:val="nil"/>
              <w:bottom w:val="nil"/>
              <w:right w:val="nil"/>
            </w:tcBorders>
          </w:tcPr>
          <w:p w14:paraId="017E563B"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(1.01e-07)</w:t>
            </w:r>
          </w:p>
        </w:tc>
        <w:tc>
          <w:tcPr>
            <w:tcW w:w="909" w:type="pct"/>
            <w:tcBorders>
              <w:top w:val="nil"/>
              <w:left w:val="nil"/>
              <w:bottom w:val="nil"/>
              <w:right w:val="nil"/>
            </w:tcBorders>
          </w:tcPr>
          <w:p w14:paraId="66BED7E5"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(1.00e-07)</w:t>
            </w:r>
          </w:p>
        </w:tc>
      </w:tr>
      <w:tr w:rsidR="00755F0F" w:rsidRPr="006A05A1" w14:paraId="48065EEB" w14:textId="77777777" w:rsidTr="006A05A1">
        <w:trPr>
          <w:trHeight w:val="20"/>
          <w:jc w:val="center"/>
        </w:trPr>
        <w:tc>
          <w:tcPr>
            <w:tcW w:w="1714" w:type="pct"/>
            <w:tcBorders>
              <w:top w:val="nil"/>
              <w:left w:val="nil"/>
              <w:bottom w:val="nil"/>
              <w:right w:val="nil"/>
            </w:tcBorders>
          </w:tcPr>
          <w:p w14:paraId="75CE1669" w14:textId="77777777" w:rsidR="00755F0F" w:rsidRPr="006A05A1" w:rsidRDefault="00755F0F" w:rsidP="00155715">
            <w:pPr>
              <w:widowControl w:val="0"/>
              <w:autoSpaceDE w:val="0"/>
              <w:autoSpaceDN w:val="0"/>
              <w:adjustRightInd w:val="0"/>
              <w:jc w:val="both"/>
              <w:rPr>
                <w:rFonts w:ascii="Garamond" w:hAnsi="Garamond"/>
                <w:sz w:val="20"/>
                <w:szCs w:val="20"/>
              </w:rPr>
            </w:pPr>
            <w:proofErr w:type="spellStart"/>
            <w:r w:rsidRPr="006A05A1">
              <w:rPr>
                <w:rFonts w:ascii="Garamond" w:hAnsi="Garamond"/>
                <w:sz w:val="20"/>
                <w:szCs w:val="20"/>
              </w:rPr>
              <w:t>Acuerdo_comercial</w:t>
            </w:r>
            <w:proofErr w:type="spellEnd"/>
          </w:p>
        </w:tc>
        <w:tc>
          <w:tcPr>
            <w:tcW w:w="699" w:type="pct"/>
            <w:tcBorders>
              <w:top w:val="nil"/>
              <w:left w:val="nil"/>
              <w:bottom w:val="nil"/>
              <w:right w:val="nil"/>
            </w:tcBorders>
          </w:tcPr>
          <w:p w14:paraId="7E3EA4EA" w14:textId="77777777" w:rsidR="00755F0F" w:rsidRPr="006A05A1" w:rsidRDefault="00755F0F" w:rsidP="00155715">
            <w:pPr>
              <w:widowControl w:val="0"/>
              <w:autoSpaceDE w:val="0"/>
              <w:autoSpaceDN w:val="0"/>
              <w:adjustRightInd w:val="0"/>
              <w:jc w:val="both"/>
              <w:rPr>
                <w:rFonts w:ascii="Garamond" w:hAnsi="Garamond"/>
                <w:sz w:val="20"/>
                <w:szCs w:val="20"/>
              </w:rPr>
            </w:pPr>
          </w:p>
        </w:tc>
        <w:tc>
          <w:tcPr>
            <w:tcW w:w="839" w:type="pct"/>
            <w:tcBorders>
              <w:top w:val="nil"/>
              <w:left w:val="nil"/>
              <w:bottom w:val="nil"/>
              <w:right w:val="nil"/>
            </w:tcBorders>
          </w:tcPr>
          <w:p w14:paraId="44499F11" w14:textId="77777777" w:rsidR="00755F0F" w:rsidRPr="006A05A1" w:rsidRDefault="00755F0F" w:rsidP="00155715">
            <w:pPr>
              <w:widowControl w:val="0"/>
              <w:autoSpaceDE w:val="0"/>
              <w:autoSpaceDN w:val="0"/>
              <w:adjustRightInd w:val="0"/>
              <w:jc w:val="both"/>
              <w:rPr>
                <w:rFonts w:ascii="Garamond" w:hAnsi="Garamond"/>
                <w:sz w:val="20"/>
                <w:szCs w:val="20"/>
              </w:rPr>
            </w:pPr>
          </w:p>
        </w:tc>
        <w:tc>
          <w:tcPr>
            <w:tcW w:w="839" w:type="pct"/>
            <w:tcBorders>
              <w:top w:val="nil"/>
              <w:left w:val="nil"/>
              <w:bottom w:val="nil"/>
              <w:right w:val="nil"/>
            </w:tcBorders>
          </w:tcPr>
          <w:p w14:paraId="576824F8"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0.398***</w:t>
            </w:r>
          </w:p>
        </w:tc>
        <w:tc>
          <w:tcPr>
            <w:tcW w:w="909" w:type="pct"/>
            <w:tcBorders>
              <w:top w:val="nil"/>
              <w:left w:val="nil"/>
              <w:bottom w:val="nil"/>
              <w:right w:val="nil"/>
            </w:tcBorders>
          </w:tcPr>
          <w:p w14:paraId="515F171C"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0.599***</w:t>
            </w:r>
          </w:p>
        </w:tc>
      </w:tr>
      <w:tr w:rsidR="00755F0F" w:rsidRPr="006A05A1" w14:paraId="65AB4311" w14:textId="77777777" w:rsidTr="006A05A1">
        <w:trPr>
          <w:trHeight w:val="20"/>
          <w:jc w:val="center"/>
        </w:trPr>
        <w:tc>
          <w:tcPr>
            <w:tcW w:w="1714" w:type="pct"/>
            <w:tcBorders>
              <w:top w:val="nil"/>
              <w:left w:val="nil"/>
              <w:bottom w:val="nil"/>
              <w:right w:val="nil"/>
            </w:tcBorders>
          </w:tcPr>
          <w:p w14:paraId="37743DBB" w14:textId="77777777" w:rsidR="00755F0F" w:rsidRPr="006A05A1" w:rsidRDefault="00755F0F" w:rsidP="00155715">
            <w:pPr>
              <w:widowControl w:val="0"/>
              <w:autoSpaceDE w:val="0"/>
              <w:autoSpaceDN w:val="0"/>
              <w:adjustRightInd w:val="0"/>
              <w:jc w:val="both"/>
              <w:rPr>
                <w:rFonts w:ascii="Garamond" w:hAnsi="Garamond"/>
                <w:sz w:val="20"/>
                <w:szCs w:val="20"/>
              </w:rPr>
            </w:pPr>
          </w:p>
        </w:tc>
        <w:tc>
          <w:tcPr>
            <w:tcW w:w="699" w:type="pct"/>
            <w:tcBorders>
              <w:top w:val="nil"/>
              <w:left w:val="nil"/>
              <w:bottom w:val="nil"/>
              <w:right w:val="nil"/>
            </w:tcBorders>
          </w:tcPr>
          <w:p w14:paraId="0170F90B" w14:textId="77777777" w:rsidR="00755F0F" w:rsidRPr="006A05A1" w:rsidRDefault="00755F0F" w:rsidP="00155715">
            <w:pPr>
              <w:widowControl w:val="0"/>
              <w:autoSpaceDE w:val="0"/>
              <w:autoSpaceDN w:val="0"/>
              <w:adjustRightInd w:val="0"/>
              <w:jc w:val="both"/>
              <w:rPr>
                <w:rFonts w:ascii="Garamond" w:hAnsi="Garamond"/>
                <w:sz w:val="20"/>
                <w:szCs w:val="20"/>
              </w:rPr>
            </w:pPr>
          </w:p>
        </w:tc>
        <w:tc>
          <w:tcPr>
            <w:tcW w:w="839" w:type="pct"/>
            <w:tcBorders>
              <w:top w:val="nil"/>
              <w:left w:val="nil"/>
              <w:bottom w:val="nil"/>
              <w:right w:val="nil"/>
            </w:tcBorders>
          </w:tcPr>
          <w:p w14:paraId="660EC0C2" w14:textId="77777777" w:rsidR="00755F0F" w:rsidRPr="006A05A1" w:rsidRDefault="00755F0F" w:rsidP="00155715">
            <w:pPr>
              <w:widowControl w:val="0"/>
              <w:autoSpaceDE w:val="0"/>
              <w:autoSpaceDN w:val="0"/>
              <w:adjustRightInd w:val="0"/>
              <w:jc w:val="both"/>
              <w:rPr>
                <w:rFonts w:ascii="Garamond" w:hAnsi="Garamond"/>
                <w:sz w:val="20"/>
                <w:szCs w:val="20"/>
              </w:rPr>
            </w:pPr>
          </w:p>
        </w:tc>
        <w:tc>
          <w:tcPr>
            <w:tcW w:w="839" w:type="pct"/>
            <w:tcBorders>
              <w:top w:val="nil"/>
              <w:left w:val="nil"/>
              <w:bottom w:val="nil"/>
              <w:right w:val="nil"/>
            </w:tcBorders>
          </w:tcPr>
          <w:p w14:paraId="5F05C14C"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(0.0734)</w:t>
            </w:r>
          </w:p>
        </w:tc>
        <w:tc>
          <w:tcPr>
            <w:tcW w:w="909" w:type="pct"/>
            <w:tcBorders>
              <w:top w:val="nil"/>
              <w:left w:val="nil"/>
              <w:bottom w:val="nil"/>
              <w:right w:val="nil"/>
            </w:tcBorders>
          </w:tcPr>
          <w:p w14:paraId="7AD55859"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(0.0825)</w:t>
            </w:r>
          </w:p>
        </w:tc>
      </w:tr>
      <w:tr w:rsidR="00755F0F" w:rsidRPr="006A05A1" w14:paraId="38CEBC1A" w14:textId="77777777" w:rsidTr="006A05A1">
        <w:trPr>
          <w:trHeight w:val="20"/>
          <w:jc w:val="center"/>
        </w:trPr>
        <w:tc>
          <w:tcPr>
            <w:tcW w:w="1714" w:type="pct"/>
            <w:tcBorders>
              <w:top w:val="nil"/>
              <w:left w:val="nil"/>
              <w:bottom w:val="nil"/>
              <w:right w:val="nil"/>
            </w:tcBorders>
          </w:tcPr>
          <w:p w14:paraId="7638E360" w14:textId="77777777" w:rsidR="00755F0F" w:rsidRPr="006A05A1" w:rsidRDefault="00755F0F" w:rsidP="00155715">
            <w:pPr>
              <w:widowControl w:val="0"/>
              <w:autoSpaceDE w:val="0"/>
              <w:autoSpaceDN w:val="0"/>
              <w:adjustRightInd w:val="0"/>
              <w:jc w:val="both"/>
              <w:rPr>
                <w:rFonts w:ascii="Garamond" w:hAnsi="Garamond"/>
                <w:sz w:val="20"/>
                <w:szCs w:val="20"/>
              </w:rPr>
            </w:pPr>
            <w:proofErr w:type="spellStart"/>
            <w:r w:rsidRPr="006A05A1">
              <w:rPr>
                <w:rFonts w:ascii="Garamond" w:hAnsi="Garamond"/>
                <w:sz w:val="20"/>
                <w:szCs w:val="20"/>
              </w:rPr>
              <w:t>Acuerdo_prot_inversion</w:t>
            </w:r>
            <w:proofErr w:type="spellEnd"/>
          </w:p>
        </w:tc>
        <w:tc>
          <w:tcPr>
            <w:tcW w:w="699" w:type="pct"/>
            <w:tcBorders>
              <w:top w:val="nil"/>
              <w:left w:val="nil"/>
              <w:bottom w:val="nil"/>
              <w:right w:val="nil"/>
            </w:tcBorders>
          </w:tcPr>
          <w:p w14:paraId="7F77D1E8" w14:textId="77777777" w:rsidR="00755F0F" w:rsidRPr="006A05A1" w:rsidRDefault="00755F0F" w:rsidP="00155715">
            <w:pPr>
              <w:widowControl w:val="0"/>
              <w:autoSpaceDE w:val="0"/>
              <w:autoSpaceDN w:val="0"/>
              <w:adjustRightInd w:val="0"/>
              <w:jc w:val="both"/>
              <w:rPr>
                <w:rFonts w:ascii="Garamond" w:hAnsi="Garamond"/>
                <w:sz w:val="20"/>
                <w:szCs w:val="20"/>
              </w:rPr>
            </w:pPr>
          </w:p>
        </w:tc>
        <w:tc>
          <w:tcPr>
            <w:tcW w:w="839" w:type="pct"/>
            <w:tcBorders>
              <w:top w:val="nil"/>
              <w:left w:val="nil"/>
              <w:bottom w:val="nil"/>
              <w:right w:val="nil"/>
            </w:tcBorders>
          </w:tcPr>
          <w:p w14:paraId="32BCB12F" w14:textId="77777777" w:rsidR="00755F0F" w:rsidRPr="006A05A1" w:rsidRDefault="00755F0F" w:rsidP="00155715">
            <w:pPr>
              <w:widowControl w:val="0"/>
              <w:autoSpaceDE w:val="0"/>
              <w:autoSpaceDN w:val="0"/>
              <w:adjustRightInd w:val="0"/>
              <w:jc w:val="both"/>
              <w:rPr>
                <w:rFonts w:ascii="Garamond" w:hAnsi="Garamond"/>
                <w:sz w:val="20"/>
                <w:szCs w:val="20"/>
              </w:rPr>
            </w:pPr>
          </w:p>
        </w:tc>
        <w:tc>
          <w:tcPr>
            <w:tcW w:w="839" w:type="pct"/>
            <w:tcBorders>
              <w:top w:val="nil"/>
              <w:left w:val="nil"/>
              <w:bottom w:val="nil"/>
              <w:right w:val="nil"/>
            </w:tcBorders>
          </w:tcPr>
          <w:p w14:paraId="0BE63450"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0.398***</w:t>
            </w:r>
          </w:p>
        </w:tc>
        <w:tc>
          <w:tcPr>
            <w:tcW w:w="909" w:type="pct"/>
            <w:tcBorders>
              <w:top w:val="nil"/>
              <w:left w:val="nil"/>
              <w:bottom w:val="nil"/>
              <w:right w:val="nil"/>
            </w:tcBorders>
          </w:tcPr>
          <w:p w14:paraId="1971AB8B"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0.532***</w:t>
            </w:r>
          </w:p>
        </w:tc>
      </w:tr>
      <w:tr w:rsidR="00755F0F" w:rsidRPr="006A05A1" w14:paraId="51770C36" w14:textId="77777777" w:rsidTr="006A05A1">
        <w:trPr>
          <w:trHeight w:val="20"/>
          <w:jc w:val="center"/>
        </w:trPr>
        <w:tc>
          <w:tcPr>
            <w:tcW w:w="1714" w:type="pct"/>
            <w:tcBorders>
              <w:top w:val="nil"/>
              <w:left w:val="nil"/>
              <w:bottom w:val="nil"/>
              <w:right w:val="nil"/>
            </w:tcBorders>
          </w:tcPr>
          <w:p w14:paraId="6E130BA8" w14:textId="77777777" w:rsidR="00755F0F" w:rsidRPr="006A05A1" w:rsidRDefault="00755F0F" w:rsidP="00155715">
            <w:pPr>
              <w:widowControl w:val="0"/>
              <w:autoSpaceDE w:val="0"/>
              <w:autoSpaceDN w:val="0"/>
              <w:adjustRightInd w:val="0"/>
              <w:jc w:val="both"/>
              <w:rPr>
                <w:rFonts w:ascii="Garamond" w:hAnsi="Garamond"/>
                <w:sz w:val="20"/>
                <w:szCs w:val="20"/>
              </w:rPr>
            </w:pPr>
          </w:p>
        </w:tc>
        <w:tc>
          <w:tcPr>
            <w:tcW w:w="699" w:type="pct"/>
            <w:tcBorders>
              <w:top w:val="nil"/>
              <w:left w:val="nil"/>
              <w:bottom w:val="nil"/>
              <w:right w:val="nil"/>
            </w:tcBorders>
          </w:tcPr>
          <w:p w14:paraId="6BB3208B" w14:textId="77777777" w:rsidR="00755F0F" w:rsidRPr="006A05A1" w:rsidRDefault="00755F0F" w:rsidP="00155715">
            <w:pPr>
              <w:widowControl w:val="0"/>
              <w:autoSpaceDE w:val="0"/>
              <w:autoSpaceDN w:val="0"/>
              <w:adjustRightInd w:val="0"/>
              <w:jc w:val="both"/>
              <w:rPr>
                <w:rFonts w:ascii="Garamond" w:hAnsi="Garamond"/>
                <w:sz w:val="20"/>
                <w:szCs w:val="20"/>
              </w:rPr>
            </w:pPr>
          </w:p>
        </w:tc>
        <w:tc>
          <w:tcPr>
            <w:tcW w:w="839" w:type="pct"/>
            <w:tcBorders>
              <w:top w:val="nil"/>
              <w:left w:val="nil"/>
              <w:bottom w:val="nil"/>
              <w:right w:val="nil"/>
            </w:tcBorders>
          </w:tcPr>
          <w:p w14:paraId="51F45FB8" w14:textId="77777777" w:rsidR="00755F0F" w:rsidRPr="006A05A1" w:rsidRDefault="00755F0F" w:rsidP="00155715">
            <w:pPr>
              <w:widowControl w:val="0"/>
              <w:autoSpaceDE w:val="0"/>
              <w:autoSpaceDN w:val="0"/>
              <w:adjustRightInd w:val="0"/>
              <w:jc w:val="both"/>
              <w:rPr>
                <w:rFonts w:ascii="Garamond" w:hAnsi="Garamond"/>
                <w:sz w:val="20"/>
                <w:szCs w:val="20"/>
              </w:rPr>
            </w:pPr>
          </w:p>
        </w:tc>
        <w:tc>
          <w:tcPr>
            <w:tcW w:w="839" w:type="pct"/>
            <w:tcBorders>
              <w:top w:val="nil"/>
              <w:left w:val="nil"/>
              <w:bottom w:val="nil"/>
              <w:right w:val="nil"/>
            </w:tcBorders>
          </w:tcPr>
          <w:p w14:paraId="2708ECFD"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(0.136)</w:t>
            </w:r>
          </w:p>
        </w:tc>
        <w:tc>
          <w:tcPr>
            <w:tcW w:w="909" w:type="pct"/>
            <w:tcBorders>
              <w:top w:val="nil"/>
              <w:left w:val="nil"/>
              <w:bottom w:val="nil"/>
              <w:right w:val="nil"/>
            </w:tcBorders>
          </w:tcPr>
          <w:p w14:paraId="1C7862E7"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(0.136)</w:t>
            </w:r>
          </w:p>
        </w:tc>
      </w:tr>
      <w:tr w:rsidR="00755F0F" w:rsidRPr="006A05A1" w14:paraId="1CABD8C3" w14:textId="77777777" w:rsidTr="006A05A1">
        <w:trPr>
          <w:trHeight w:val="20"/>
          <w:jc w:val="center"/>
        </w:trPr>
        <w:tc>
          <w:tcPr>
            <w:tcW w:w="1714" w:type="pct"/>
            <w:tcBorders>
              <w:top w:val="nil"/>
              <w:left w:val="nil"/>
              <w:bottom w:val="nil"/>
              <w:right w:val="nil"/>
            </w:tcBorders>
          </w:tcPr>
          <w:p w14:paraId="5F1C5AB8" w14:textId="77777777" w:rsidR="00755F0F" w:rsidRPr="006A05A1" w:rsidRDefault="00755F0F" w:rsidP="00155715">
            <w:pPr>
              <w:widowControl w:val="0"/>
              <w:autoSpaceDE w:val="0"/>
              <w:autoSpaceDN w:val="0"/>
              <w:adjustRightInd w:val="0"/>
              <w:jc w:val="both"/>
              <w:rPr>
                <w:rFonts w:ascii="Garamond" w:hAnsi="Garamond"/>
                <w:sz w:val="20"/>
                <w:szCs w:val="20"/>
              </w:rPr>
            </w:pPr>
            <w:proofErr w:type="spellStart"/>
            <w:proofErr w:type="gramStart"/>
            <w:r w:rsidRPr="006A05A1">
              <w:rPr>
                <w:rFonts w:ascii="Garamond" w:hAnsi="Garamond"/>
                <w:sz w:val="20"/>
                <w:szCs w:val="20"/>
              </w:rPr>
              <w:t>o.Distancia</w:t>
            </w:r>
            <w:proofErr w:type="gramEnd"/>
            <w:r w:rsidRPr="006A05A1">
              <w:rPr>
                <w:rFonts w:ascii="Garamond" w:hAnsi="Garamond"/>
                <w:sz w:val="20"/>
                <w:szCs w:val="20"/>
              </w:rPr>
              <w:t>_km</w:t>
            </w:r>
            <w:proofErr w:type="spellEnd"/>
          </w:p>
        </w:tc>
        <w:tc>
          <w:tcPr>
            <w:tcW w:w="699" w:type="pct"/>
            <w:tcBorders>
              <w:top w:val="nil"/>
              <w:left w:val="nil"/>
              <w:bottom w:val="nil"/>
              <w:right w:val="nil"/>
            </w:tcBorders>
          </w:tcPr>
          <w:p w14:paraId="5DD11C49" w14:textId="77777777" w:rsidR="00755F0F" w:rsidRPr="006A05A1" w:rsidRDefault="00755F0F" w:rsidP="00155715">
            <w:pPr>
              <w:widowControl w:val="0"/>
              <w:autoSpaceDE w:val="0"/>
              <w:autoSpaceDN w:val="0"/>
              <w:adjustRightInd w:val="0"/>
              <w:jc w:val="both"/>
              <w:rPr>
                <w:rFonts w:ascii="Garamond" w:hAnsi="Garamond"/>
                <w:sz w:val="20"/>
                <w:szCs w:val="20"/>
              </w:rPr>
            </w:pPr>
          </w:p>
        </w:tc>
        <w:tc>
          <w:tcPr>
            <w:tcW w:w="839" w:type="pct"/>
            <w:tcBorders>
              <w:top w:val="nil"/>
              <w:left w:val="nil"/>
              <w:bottom w:val="nil"/>
              <w:right w:val="nil"/>
            </w:tcBorders>
          </w:tcPr>
          <w:p w14:paraId="3A36F563" w14:textId="77777777" w:rsidR="00755F0F" w:rsidRPr="006A05A1" w:rsidRDefault="00755F0F" w:rsidP="00155715">
            <w:pPr>
              <w:widowControl w:val="0"/>
              <w:autoSpaceDE w:val="0"/>
              <w:autoSpaceDN w:val="0"/>
              <w:adjustRightInd w:val="0"/>
              <w:jc w:val="both"/>
              <w:rPr>
                <w:rFonts w:ascii="Garamond" w:hAnsi="Garamond"/>
                <w:sz w:val="20"/>
                <w:szCs w:val="20"/>
              </w:rPr>
            </w:pPr>
          </w:p>
        </w:tc>
        <w:tc>
          <w:tcPr>
            <w:tcW w:w="839" w:type="pct"/>
            <w:tcBorders>
              <w:top w:val="nil"/>
              <w:left w:val="nil"/>
              <w:bottom w:val="nil"/>
              <w:right w:val="nil"/>
            </w:tcBorders>
          </w:tcPr>
          <w:p w14:paraId="69709AC6" w14:textId="77777777" w:rsidR="00755F0F" w:rsidRPr="006A05A1" w:rsidRDefault="00755F0F" w:rsidP="00155715">
            <w:pPr>
              <w:widowControl w:val="0"/>
              <w:autoSpaceDE w:val="0"/>
              <w:autoSpaceDN w:val="0"/>
              <w:adjustRightInd w:val="0"/>
              <w:jc w:val="both"/>
              <w:rPr>
                <w:rFonts w:ascii="Garamond" w:hAnsi="Garamond"/>
                <w:sz w:val="20"/>
                <w:szCs w:val="20"/>
              </w:rPr>
            </w:pPr>
          </w:p>
        </w:tc>
        <w:tc>
          <w:tcPr>
            <w:tcW w:w="909" w:type="pct"/>
            <w:tcBorders>
              <w:top w:val="nil"/>
              <w:left w:val="nil"/>
              <w:bottom w:val="nil"/>
              <w:right w:val="nil"/>
            </w:tcBorders>
          </w:tcPr>
          <w:p w14:paraId="1FEE8688"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w:t>
            </w:r>
          </w:p>
        </w:tc>
      </w:tr>
      <w:tr w:rsidR="00755F0F" w:rsidRPr="006A05A1" w14:paraId="4205DD6B" w14:textId="77777777" w:rsidTr="006A05A1">
        <w:trPr>
          <w:trHeight w:val="20"/>
          <w:jc w:val="center"/>
        </w:trPr>
        <w:tc>
          <w:tcPr>
            <w:tcW w:w="1714" w:type="pct"/>
            <w:tcBorders>
              <w:top w:val="nil"/>
              <w:left w:val="nil"/>
              <w:bottom w:val="nil"/>
              <w:right w:val="nil"/>
            </w:tcBorders>
          </w:tcPr>
          <w:p w14:paraId="07A78404" w14:textId="77777777" w:rsidR="00755F0F" w:rsidRPr="006A05A1" w:rsidRDefault="00755F0F" w:rsidP="00155715">
            <w:pPr>
              <w:widowControl w:val="0"/>
              <w:autoSpaceDE w:val="0"/>
              <w:autoSpaceDN w:val="0"/>
              <w:adjustRightInd w:val="0"/>
              <w:jc w:val="both"/>
              <w:rPr>
                <w:rFonts w:ascii="Garamond" w:hAnsi="Garamond"/>
                <w:sz w:val="20"/>
                <w:szCs w:val="20"/>
              </w:rPr>
            </w:pPr>
          </w:p>
        </w:tc>
        <w:tc>
          <w:tcPr>
            <w:tcW w:w="699" w:type="pct"/>
            <w:tcBorders>
              <w:top w:val="nil"/>
              <w:left w:val="nil"/>
              <w:bottom w:val="nil"/>
              <w:right w:val="nil"/>
            </w:tcBorders>
          </w:tcPr>
          <w:p w14:paraId="40803265" w14:textId="77777777" w:rsidR="00755F0F" w:rsidRPr="006A05A1" w:rsidRDefault="00755F0F" w:rsidP="00155715">
            <w:pPr>
              <w:widowControl w:val="0"/>
              <w:autoSpaceDE w:val="0"/>
              <w:autoSpaceDN w:val="0"/>
              <w:adjustRightInd w:val="0"/>
              <w:jc w:val="both"/>
              <w:rPr>
                <w:rFonts w:ascii="Garamond" w:hAnsi="Garamond"/>
                <w:sz w:val="20"/>
                <w:szCs w:val="20"/>
              </w:rPr>
            </w:pPr>
          </w:p>
        </w:tc>
        <w:tc>
          <w:tcPr>
            <w:tcW w:w="839" w:type="pct"/>
            <w:tcBorders>
              <w:top w:val="nil"/>
              <w:left w:val="nil"/>
              <w:bottom w:val="nil"/>
              <w:right w:val="nil"/>
            </w:tcBorders>
          </w:tcPr>
          <w:p w14:paraId="111A153A" w14:textId="77777777" w:rsidR="00755F0F" w:rsidRPr="006A05A1" w:rsidRDefault="00755F0F" w:rsidP="00155715">
            <w:pPr>
              <w:widowControl w:val="0"/>
              <w:autoSpaceDE w:val="0"/>
              <w:autoSpaceDN w:val="0"/>
              <w:adjustRightInd w:val="0"/>
              <w:jc w:val="both"/>
              <w:rPr>
                <w:rFonts w:ascii="Garamond" w:hAnsi="Garamond"/>
                <w:sz w:val="20"/>
                <w:szCs w:val="20"/>
              </w:rPr>
            </w:pPr>
          </w:p>
        </w:tc>
        <w:tc>
          <w:tcPr>
            <w:tcW w:w="839" w:type="pct"/>
            <w:tcBorders>
              <w:top w:val="nil"/>
              <w:left w:val="nil"/>
              <w:bottom w:val="nil"/>
              <w:right w:val="nil"/>
            </w:tcBorders>
          </w:tcPr>
          <w:p w14:paraId="30ACFEF4" w14:textId="77777777" w:rsidR="00755F0F" w:rsidRPr="006A05A1" w:rsidRDefault="00755F0F" w:rsidP="00155715">
            <w:pPr>
              <w:widowControl w:val="0"/>
              <w:autoSpaceDE w:val="0"/>
              <w:autoSpaceDN w:val="0"/>
              <w:adjustRightInd w:val="0"/>
              <w:jc w:val="both"/>
              <w:rPr>
                <w:rFonts w:ascii="Garamond" w:hAnsi="Garamond"/>
                <w:sz w:val="20"/>
                <w:szCs w:val="20"/>
              </w:rPr>
            </w:pPr>
          </w:p>
        </w:tc>
        <w:tc>
          <w:tcPr>
            <w:tcW w:w="909" w:type="pct"/>
            <w:tcBorders>
              <w:top w:val="nil"/>
              <w:left w:val="nil"/>
              <w:bottom w:val="nil"/>
              <w:right w:val="nil"/>
            </w:tcBorders>
          </w:tcPr>
          <w:p w14:paraId="77BDA8E9" w14:textId="77777777" w:rsidR="00755F0F" w:rsidRPr="006A05A1" w:rsidRDefault="00755F0F" w:rsidP="00155715">
            <w:pPr>
              <w:widowControl w:val="0"/>
              <w:autoSpaceDE w:val="0"/>
              <w:autoSpaceDN w:val="0"/>
              <w:adjustRightInd w:val="0"/>
              <w:jc w:val="both"/>
              <w:rPr>
                <w:rFonts w:ascii="Garamond" w:hAnsi="Garamond"/>
                <w:sz w:val="20"/>
                <w:szCs w:val="20"/>
              </w:rPr>
            </w:pPr>
          </w:p>
        </w:tc>
      </w:tr>
      <w:tr w:rsidR="00755F0F" w:rsidRPr="006A05A1" w14:paraId="51ACA62B" w14:textId="77777777" w:rsidTr="006A05A1">
        <w:trPr>
          <w:trHeight w:val="20"/>
          <w:jc w:val="center"/>
        </w:trPr>
        <w:tc>
          <w:tcPr>
            <w:tcW w:w="1714" w:type="pct"/>
            <w:tcBorders>
              <w:top w:val="nil"/>
              <w:left w:val="nil"/>
              <w:bottom w:val="nil"/>
              <w:right w:val="nil"/>
            </w:tcBorders>
          </w:tcPr>
          <w:p w14:paraId="760C2590"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SP_500</w:t>
            </w:r>
          </w:p>
        </w:tc>
        <w:tc>
          <w:tcPr>
            <w:tcW w:w="699" w:type="pct"/>
            <w:tcBorders>
              <w:top w:val="nil"/>
              <w:left w:val="nil"/>
              <w:bottom w:val="nil"/>
              <w:right w:val="nil"/>
            </w:tcBorders>
          </w:tcPr>
          <w:p w14:paraId="4B0A0165" w14:textId="77777777" w:rsidR="00755F0F" w:rsidRPr="006A05A1" w:rsidRDefault="00755F0F" w:rsidP="00155715">
            <w:pPr>
              <w:widowControl w:val="0"/>
              <w:autoSpaceDE w:val="0"/>
              <w:autoSpaceDN w:val="0"/>
              <w:adjustRightInd w:val="0"/>
              <w:jc w:val="both"/>
              <w:rPr>
                <w:rFonts w:ascii="Garamond" w:hAnsi="Garamond"/>
                <w:sz w:val="20"/>
                <w:szCs w:val="20"/>
              </w:rPr>
            </w:pPr>
          </w:p>
        </w:tc>
        <w:tc>
          <w:tcPr>
            <w:tcW w:w="839" w:type="pct"/>
            <w:tcBorders>
              <w:top w:val="nil"/>
              <w:left w:val="nil"/>
              <w:bottom w:val="nil"/>
              <w:right w:val="nil"/>
            </w:tcBorders>
          </w:tcPr>
          <w:p w14:paraId="59E451BD" w14:textId="77777777" w:rsidR="00755F0F" w:rsidRPr="006A05A1" w:rsidRDefault="00755F0F" w:rsidP="00155715">
            <w:pPr>
              <w:widowControl w:val="0"/>
              <w:autoSpaceDE w:val="0"/>
              <w:autoSpaceDN w:val="0"/>
              <w:adjustRightInd w:val="0"/>
              <w:jc w:val="both"/>
              <w:rPr>
                <w:rFonts w:ascii="Garamond" w:hAnsi="Garamond"/>
                <w:sz w:val="20"/>
                <w:szCs w:val="20"/>
              </w:rPr>
            </w:pPr>
          </w:p>
        </w:tc>
        <w:tc>
          <w:tcPr>
            <w:tcW w:w="839" w:type="pct"/>
            <w:tcBorders>
              <w:top w:val="nil"/>
              <w:left w:val="nil"/>
              <w:bottom w:val="nil"/>
              <w:right w:val="nil"/>
            </w:tcBorders>
          </w:tcPr>
          <w:p w14:paraId="27209588" w14:textId="77777777" w:rsidR="00755F0F" w:rsidRPr="006A05A1" w:rsidRDefault="00755F0F" w:rsidP="00155715">
            <w:pPr>
              <w:widowControl w:val="0"/>
              <w:autoSpaceDE w:val="0"/>
              <w:autoSpaceDN w:val="0"/>
              <w:adjustRightInd w:val="0"/>
              <w:jc w:val="both"/>
              <w:rPr>
                <w:rFonts w:ascii="Garamond" w:hAnsi="Garamond"/>
                <w:sz w:val="20"/>
                <w:szCs w:val="20"/>
              </w:rPr>
            </w:pPr>
          </w:p>
        </w:tc>
        <w:tc>
          <w:tcPr>
            <w:tcW w:w="909" w:type="pct"/>
            <w:tcBorders>
              <w:top w:val="nil"/>
              <w:left w:val="nil"/>
              <w:bottom w:val="nil"/>
              <w:right w:val="nil"/>
            </w:tcBorders>
          </w:tcPr>
          <w:p w14:paraId="28153C07"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-0.000102***</w:t>
            </w:r>
          </w:p>
        </w:tc>
      </w:tr>
      <w:tr w:rsidR="00755F0F" w:rsidRPr="006A05A1" w14:paraId="5D53BAA3" w14:textId="77777777" w:rsidTr="006A05A1">
        <w:trPr>
          <w:trHeight w:val="20"/>
          <w:jc w:val="center"/>
        </w:trPr>
        <w:tc>
          <w:tcPr>
            <w:tcW w:w="1714" w:type="pct"/>
            <w:tcBorders>
              <w:top w:val="nil"/>
              <w:left w:val="nil"/>
              <w:bottom w:val="nil"/>
              <w:right w:val="nil"/>
            </w:tcBorders>
          </w:tcPr>
          <w:p w14:paraId="676FA05A" w14:textId="77777777" w:rsidR="00755F0F" w:rsidRPr="006A05A1" w:rsidRDefault="00755F0F" w:rsidP="00155715">
            <w:pPr>
              <w:widowControl w:val="0"/>
              <w:autoSpaceDE w:val="0"/>
              <w:autoSpaceDN w:val="0"/>
              <w:adjustRightInd w:val="0"/>
              <w:jc w:val="both"/>
              <w:rPr>
                <w:rFonts w:ascii="Garamond" w:hAnsi="Garamond"/>
                <w:sz w:val="20"/>
                <w:szCs w:val="20"/>
              </w:rPr>
            </w:pPr>
          </w:p>
        </w:tc>
        <w:tc>
          <w:tcPr>
            <w:tcW w:w="699" w:type="pct"/>
            <w:tcBorders>
              <w:top w:val="nil"/>
              <w:left w:val="nil"/>
              <w:bottom w:val="nil"/>
              <w:right w:val="nil"/>
            </w:tcBorders>
          </w:tcPr>
          <w:p w14:paraId="406789A4" w14:textId="77777777" w:rsidR="00755F0F" w:rsidRPr="006A05A1" w:rsidRDefault="00755F0F" w:rsidP="00155715">
            <w:pPr>
              <w:widowControl w:val="0"/>
              <w:autoSpaceDE w:val="0"/>
              <w:autoSpaceDN w:val="0"/>
              <w:adjustRightInd w:val="0"/>
              <w:jc w:val="both"/>
              <w:rPr>
                <w:rFonts w:ascii="Garamond" w:hAnsi="Garamond"/>
                <w:sz w:val="20"/>
                <w:szCs w:val="20"/>
              </w:rPr>
            </w:pPr>
          </w:p>
        </w:tc>
        <w:tc>
          <w:tcPr>
            <w:tcW w:w="839" w:type="pct"/>
            <w:tcBorders>
              <w:top w:val="nil"/>
              <w:left w:val="nil"/>
              <w:bottom w:val="nil"/>
              <w:right w:val="nil"/>
            </w:tcBorders>
          </w:tcPr>
          <w:p w14:paraId="5F183676" w14:textId="77777777" w:rsidR="00755F0F" w:rsidRPr="006A05A1" w:rsidRDefault="00755F0F" w:rsidP="00155715">
            <w:pPr>
              <w:widowControl w:val="0"/>
              <w:autoSpaceDE w:val="0"/>
              <w:autoSpaceDN w:val="0"/>
              <w:adjustRightInd w:val="0"/>
              <w:jc w:val="both"/>
              <w:rPr>
                <w:rFonts w:ascii="Garamond" w:hAnsi="Garamond"/>
                <w:sz w:val="20"/>
                <w:szCs w:val="20"/>
              </w:rPr>
            </w:pPr>
          </w:p>
        </w:tc>
        <w:tc>
          <w:tcPr>
            <w:tcW w:w="839" w:type="pct"/>
            <w:tcBorders>
              <w:top w:val="nil"/>
              <w:left w:val="nil"/>
              <w:bottom w:val="nil"/>
              <w:right w:val="nil"/>
            </w:tcBorders>
          </w:tcPr>
          <w:p w14:paraId="3EEE3D8F" w14:textId="77777777" w:rsidR="00755F0F" w:rsidRPr="006A05A1" w:rsidRDefault="00755F0F" w:rsidP="00155715">
            <w:pPr>
              <w:widowControl w:val="0"/>
              <w:autoSpaceDE w:val="0"/>
              <w:autoSpaceDN w:val="0"/>
              <w:adjustRightInd w:val="0"/>
              <w:jc w:val="both"/>
              <w:rPr>
                <w:rFonts w:ascii="Garamond" w:hAnsi="Garamond"/>
                <w:sz w:val="20"/>
                <w:szCs w:val="20"/>
              </w:rPr>
            </w:pPr>
          </w:p>
        </w:tc>
        <w:tc>
          <w:tcPr>
            <w:tcW w:w="909" w:type="pct"/>
            <w:tcBorders>
              <w:top w:val="nil"/>
              <w:left w:val="nil"/>
              <w:bottom w:val="nil"/>
              <w:right w:val="nil"/>
            </w:tcBorders>
          </w:tcPr>
          <w:p w14:paraId="54BC77FB"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(3.37e-05)</w:t>
            </w:r>
          </w:p>
        </w:tc>
      </w:tr>
      <w:tr w:rsidR="00755F0F" w:rsidRPr="006A05A1" w14:paraId="59149C98" w14:textId="77777777" w:rsidTr="006A05A1">
        <w:trPr>
          <w:trHeight w:val="20"/>
          <w:jc w:val="center"/>
        </w:trPr>
        <w:tc>
          <w:tcPr>
            <w:tcW w:w="1714" w:type="pct"/>
            <w:tcBorders>
              <w:top w:val="nil"/>
              <w:left w:val="nil"/>
              <w:bottom w:val="nil"/>
              <w:right w:val="nil"/>
            </w:tcBorders>
          </w:tcPr>
          <w:p w14:paraId="702BF2FA"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lastRenderedPageBreak/>
              <w:t>Brent</w:t>
            </w:r>
          </w:p>
        </w:tc>
        <w:tc>
          <w:tcPr>
            <w:tcW w:w="699" w:type="pct"/>
            <w:tcBorders>
              <w:top w:val="nil"/>
              <w:left w:val="nil"/>
              <w:bottom w:val="nil"/>
              <w:right w:val="nil"/>
            </w:tcBorders>
          </w:tcPr>
          <w:p w14:paraId="61155302" w14:textId="77777777" w:rsidR="00755F0F" w:rsidRPr="006A05A1" w:rsidRDefault="00755F0F" w:rsidP="00155715">
            <w:pPr>
              <w:widowControl w:val="0"/>
              <w:autoSpaceDE w:val="0"/>
              <w:autoSpaceDN w:val="0"/>
              <w:adjustRightInd w:val="0"/>
              <w:jc w:val="both"/>
              <w:rPr>
                <w:rFonts w:ascii="Garamond" w:hAnsi="Garamond"/>
                <w:sz w:val="20"/>
                <w:szCs w:val="20"/>
              </w:rPr>
            </w:pPr>
          </w:p>
        </w:tc>
        <w:tc>
          <w:tcPr>
            <w:tcW w:w="839" w:type="pct"/>
            <w:tcBorders>
              <w:top w:val="nil"/>
              <w:left w:val="nil"/>
              <w:bottom w:val="nil"/>
              <w:right w:val="nil"/>
            </w:tcBorders>
          </w:tcPr>
          <w:p w14:paraId="0A1E6D0A" w14:textId="77777777" w:rsidR="00755F0F" w:rsidRPr="006A05A1" w:rsidRDefault="00755F0F" w:rsidP="00155715">
            <w:pPr>
              <w:widowControl w:val="0"/>
              <w:autoSpaceDE w:val="0"/>
              <w:autoSpaceDN w:val="0"/>
              <w:adjustRightInd w:val="0"/>
              <w:jc w:val="both"/>
              <w:rPr>
                <w:rFonts w:ascii="Garamond" w:hAnsi="Garamond"/>
                <w:sz w:val="20"/>
                <w:szCs w:val="20"/>
              </w:rPr>
            </w:pPr>
          </w:p>
        </w:tc>
        <w:tc>
          <w:tcPr>
            <w:tcW w:w="839" w:type="pct"/>
            <w:tcBorders>
              <w:top w:val="nil"/>
              <w:left w:val="nil"/>
              <w:bottom w:val="nil"/>
              <w:right w:val="nil"/>
            </w:tcBorders>
          </w:tcPr>
          <w:p w14:paraId="4C49CF08" w14:textId="77777777" w:rsidR="00755F0F" w:rsidRPr="006A05A1" w:rsidRDefault="00755F0F" w:rsidP="00155715">
            <w:pPr>
              <w:widowControl w:val="0"/>
              <w:autoSpaceDE w:val="0"/>
              <w:autoSpaceDN w:val="0"/>
              <w:adjustRightInd w:val="0"/>
              <w:jc w:val="both"/>
              <w:rPr>
                <w:rFonts w:ascii="Garamond" w:hAnsi="Garamond"/>
                <w:sz w:val="20"/>
                <w:szCs w:val="20"/>
              </w:rPr>
            </w:pPr>
          </w:p>
        </w:tc>
        <w:tc>
          <w:tcPr>
            <w:tcW w:w="909" w:type="pct"/>
            <w:tcBorders>
              <w:top w:val="nil"/>
              <w:left w:val="nil"/>
              <w:bottom w:val="nil"/>
              <w:right w:val="nil"/>
            </w:tcBorders>
          </w:tcPr>
          <w:p w14:paraId="46983ACD"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0.00656***</w:t>
            </w:r>
          </w:p>
        </w:tc>
      </w:tr>
      <w:tr w:rsidR="00755F0F" w:rsidRPr="006A05A1" w14:paraId="3C8EC426" w14:textId="77777777" w:rsidTr="006A05A1">
        <w:trPr>
          <w:trHeight w:val="20"/>
          <w:jc w:val="center"/>
        </w:trPr>
        <w:tc>
          <w:tcPr>
            <w:tcW w:w="1714" w:type="pct"/>
            <w:tcBorders>
              <w:top w:val="nil"/>
              <w:left w:val="nil"/>
              <w:bottom w:val="nil"/>
              <w:right w:val="nil"/>
            </w:tcBorders>
          </w:tcPr>
          <w:p w14:paraId="06C8500F" w14:textId="77777777" w:rsidR="00755F0F" w:rsidRPr="006A05A1" w:rsidRDefault="00755F0F" w:rsidP="00155715">
            <w:pPr>
              <w:widowControl w:val="0"/>
              <w:autoSpaceDE w:val="0"/>
              <w:autoSpaceDN w:val="0"/>
              <w:adjustRightInd w:val="0"/>
              <w:jc w:val="both"/>
              <w:rPr>
                <w:rFonts w:ascii="Garamond" w:hAnsi="Garamond"/>
                <w:sz w:val="20"/>
                <w:szCs w:val="20"/>
              </w:rPr>
            </w:pPr>
          </w:p>
        </w:tc>
        <w:tc>
          <w:tcPr>
            <w:tcW w:w="699" w:type="pct"/>
            <w:tcBorders>
              <w:top w:val="nil"/>
              <w:left w:val="nil"/>
              <w:bottom w:val="nil"/>
              <w:right w:val="nil"/>
            </w:tcBorders>
          </w:tcPr>
          <w:p w14:paraId="4DB404F3" w14:textId="77777777" w:rsidR="00755F0F" w:rsidRPr="006A05A1" w:rsidRDefault="00755F0F" w:rsidP="00155715">
            <w:pPr>
              <w:widowControl w:val="0"/>
              <w:autoSpaceDE w:val="0"/>
              <w:autoSpaceDN w:val="0"/>
              <w:adjustRightInd w:val="0"/>
              <w:jc w:val="both"/>
              <w:rPr>
                <w:rFonts w:ascii="Garamond" w:hAnsi="Garamond"/>
                <w:sz w:val="20"/>
                <w:szCs w:val="20"/>
              </w:rPr>
            </w:pPr>
          </w:p>
        </w:tc>
        <w:tc>
          <w:tcPr>
            <w:tcW w:w="839" w:type="pct"/>
            <w:tcBorders>
              <w:top w:val="nil"/>
              <w:left w:val="nil"/>
              <w:bottom w:val="nil"/>
              <w:right w:val="nil"/>
            </w:tcBorders>
          </w:tcPr>
          <w:p w14:paraId="0E2EAC48" w14:textId="77777777" w:rsidR="00755F0F" w:rsidRPr="006A05A1" w:rsidRDefault="00755F0F" w:rsidP="00155715">
            <w:pPr>
              <w:widowControl w:val="0"/>
              <w:autoSpaceDE w:val="0"/>
              <w:autoSpaceDN w:val="0"/>
              <w:adjustRightInd w:val="0"/>
              <w:jc w:val="both"/>
              <w:rPr>
                <w:rFonts w:ascii="Garamond" w:hAnsi="Garamond"/>
                <w:sz w:val="20"/>
                <w:szCs w:val="20"/>
              </w:rPr>
            </w:pPr>
          </w:p>
        </w:tc>
        <w:tc>
          <w:tcPr>
            <w:tcW w:w="839" w:type="pct"/>
            <w:tcBorders>
              <w:top w:val="nil"/>
              <w:left w:val="nil"/>
              <w:bottom w:val="nil"/>
              <w:right w:val="nil"/>
            </w:tcBorders>
          </w:tcPr>
          <w:p w14:paraId="2F93FD01" w14:textId="77777777" w:rsidR="00755F0F" w:rsidRPr="006A05A1" w:rsidRDefault="00755F0F" w:rsidP="00155715">
            <w:pPr>
              <w:widowControl w:val="0"/>
              <w:autoSpaceDE w:val="0"/>
              <w:autoSpaceDN w:val="0"/>
              <w:adjustRightInd w:val="0"/>
              <w:jc w:val="both"/>
              <w:rPr>
                <w:rFonts w:ascii="Garamond" w:hAnsi="Garamond"/>
                <w:sz w:val="20"/>
                <w:szCs w:val="20"/>
              </w:rPr>
            </w:pPr>
          </w:p>
        </w:tc>
        <w:tc>
          <w:tcPr>
            <w:tcW w:w="909" w:type="pct"/>
            <w:tcBorders>
              <w:top w:val="nil"/>
              <w:left w:val="nil"/>
              <w:bottom w:val="nil"/>
              <w:right w:val="nil"/>
            </w:tcBorders>
          </w:tcPr>
          <w:p w14:paraId="5B5DE7B4"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(0.00105)</w:t>
            </w:r>
          </w:p>
        </w:tc>
      </w:tr>
      <w:tr w:rsidR="00755F0F" w:rsidRPr="006A05A1" w14:paraId="6461D848" w14:textId="77777777" w:rsidTr="006A05A1">
        <w:trPr>
          <w:trHeight w:val="20"/>
          <w:jc w:val="center"/>
        </w:trPr>
        <w:tc>
          <w:tcPr>
            <w:tcW w:w="1714" w:type="pct"/>
            <w:tcBorders>
              <w:top w:val="nil"/>
              <w:left w:val="nil"/>
              <w:bottom w:val="nil"/>
              <w:right w:val="nil"/>
            </w:tcBorders>
          </w:tcPr>
          <w:p w14:paraId="4C07C4E3"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Constant</w:t>
            </w:r>
          </w:p>
        </w:tc>
        <w:tc>
          <w:tcPr>
            <w:tcW w:w="699" w:type="pct"/>
            <w:tcBorders>
              <w:top w:val="nil"/>
              <w:left w:val="nil"/>
              <w:bottom w:val="nil"/>
              <w:right w:val="nil"/>
            </w:tcBorders>
          </w:tcPr>
          <w:p w14:paraId="6119258F"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2.588***</w:t>
            </w:r>
          </w:p>
        </w:tc>
        <w:tc>
          <w:tcPr>
            <w:tcW w:w="839" w:type="pct"/>
            <w:tcBorders>
              <w:top w:val="nil"/>
              <w:left w:val="nil"/>
              <w:bottom w:val="nil"/>
              <w:right w:val="nil"/>
            </w:tcBorders>
          </w:tcPr>
          <w:p w14:paraId="1CC2CAC6"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1.169***</w:t>
            </w:r>
          </w:p>
        </w:tc>
        <w:tc>
          <w:tcPr>
            <w:tcW w:w="839" w:type="pct"/>
            <w:tcBorders>
              <w:top w:val="nil"/>
              <w:left w:val="nil"/>
              <w:bottom w:val="nil"/>
              <w:right w:val="nil"/>
            </w:tcBorders>
          </w:tcPr>
          <w:p w14:paraId="77E9D003"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1.403***</w:t>
            </w:r>
          </w:p>
        </w:tc>
        <w:tc>
          <w:tcPr>
            <w:tcW w:w="909" w:type="pct"/>
            <w:tcBorders>
              <w:top w:val="nil"/>
              <w:left w:val="nil"/>
              <w:bottom w:val="nil"/>
              <w:right w:val="nil"/>
            </w:tcBorders>
          </w:tcPr>
          <w:p w14:paraId="5FDE0B3C"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0.692***</w:t>
            </w:r>
          </w:p>
        </w:tc>
      </w:tr>
      <w:tr w:rsidR="00755F0F" w:rsidRPr="006A05A1" w14:paraId="723CF18F" w14:textId="77777777" w:rsidTr="006A05A1">
        <w:trPr>
          <w:trHeight w:val="20"/>
          <w:jc w:val="center"/>
        </w:trPr>
        <w:tc>
          <w:tcPr>
            <w:tcW w:w="1714" w:type="pct"/>
            <w:tcBorders>
              <w:top w:val="nil"/>
              <w:left w:val="nil"/>
              <w:bottom w:val="nil"/>
              <w:right w:val="nil"/>
            </w:tcBorders>
          </w:tcPr>
          <w:p w14:paraId="18B33A0B" w14:textId="77777777" w:rsidR="00755F0F" w:rsidRPr="006A05A1" w:rsidRDefault="00755F0F" w:rsidP="00155715">
            <w:pPr>
              <w:widowControl w:val="0"/>
              <w:autoSpaceDE w:val="0"/>
              <w:autoSpaceDN w:val="0"/>
              <w:adjustRightInd w:val="0"/>
              <w:jc w:val="both"/>
              <w:rPr>
                <w:rFonts w:ascii="Garamond" w:hAnsi="Garamond"/>
                <w:sz w:val="20"/>
                <w:szCs w:val="20"/>
              </w:rPr>
            </w:pPr>
          </w:p>
        </w:tc>
        <w:tc>
          <w:tcPr>
            <w:tcW w:w="699" w:type="pct"/>
            <w:tcBorders>
              <w:top w:val="nil"/>
              <w:left w:val="nil"/>
              <w:bottom w:val="nil"/>
              <w:right w:val="nil"/>
            </w:tcBorders>
          </w:tcPr>
          <w:p w14:paraId="2EC68373"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(0.0328)</w:t>
            </w:r>
          </w:p>
        </w:tc>
        <w:tc>
          <w:tcPr>
            <w:tcW w:w="839" w:type="pct"/>
            <w:tcBorders>
              <w:top w:val="nil"/>
              <w:left w:val="nil"/>
              <w:bottom w:val="nil"/>
              <w:right w:val="nil"/>
            </w:tcBorders>
          </w:tcPr>
          <w:p w14:paraId="10ADA93F"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(0.244)</w:t>
            </w:r>
          </w:p>
        </w:tc>
        <w:tc>
          <w:tcPr>
            <w:tcW w:w="839" w:type="pct"/>
            <w:tcBorders>
              <w:top w:val="nil"/>
              <w:left w:val="nil"/>
              <w:bottom w:val="nil"/>
              <w:right w:val="nil"/>
            </w:tcBorders>
          </w:tcPr>
          <w:p w14:paraId="7142A0E3"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(0.246)</w:t>
            </w:r>
          </w:p>
        </w:tc>
        <w:tc>
          <w:tcPr>
            <w:tcW w:w="909" w:type="pct"/>
            <w:tcBorders>
              <w:top w:val="nil"/>
              <w:left w:val="nil"/>
              <w:bottom w:val="nil"/>
              <w:right w:val="nil"/>
            </w:tcBorders>
          </w:tcPr>
          <w:p w14:paraId="24231DDA"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(0.265)</w:t>
            </w:r>
          </w:p>
        </w:tc>
      </w:tr>
      <w:tr w:rsidR="00755F0F" w:rsidRPr="006A05A1" w14:paraId="40522B2B" w14:textId="77777777" w:rsidTr="006A05A1">
        <w:trPr>
          <w:trHeight w:val="20"/>
          <w:jc w:val="center"/>
        </w:trPr>
        <w:tc>
          <w:tcPr>
            <w:tcW w:w="1714" w:type="pct"/>
            <w:tcBorders>
              <w:top w:val="nil"/>
              <w:left w:val="nil"/>
              <w:bottom w:val="nil"/>
              <w:right w:val="nil"/>
            </w:tcBorders>
          </w:tcPr>
          <w:p w14:paraId="270BF216" w14:textId="77777777" w:rsidR="00755F0F" w:rsidRPr="006A05A1" w:rsidRDefault="00755F0F" w:rsidP="00155715">
            <w:pPr>
              <w:widowControl w:val="0"/>
              <w:autoSpaceDE w:val="0"/>
              <w:autoSpaceDN w:val="0"/>
              <w:adjustRightInd w:val="0"/>
              <w:jc w:val="both"/>
              <w:rPr>
                <w:rFonts w:ascii="Garamond" w:hAnsi="Garamond"/>
                <w:sz w:val="20"/>
                <w:szCs w:val="20"/>
              </w:rPr>
            </w:pPr>
          </w:p>
        </w:tc>
        <w:tc>
          <w:tcPr>
            <w:tcW w:w="699" w:type="pct"/>
            <w:tcBorders>
              <w:top w:val="nil"/>
              <w:left w:val="nil"/>
              <w:bottom w:val="nil"/>
              <w:right w:val="nil"/>
            </w:tcBorders>
          </w:tcPr>
          <w:p w14:paraId="105308A4" w14:textId="77777777" w:rsidR="00755F0F" w:rsidRPr="006A05A1" w:rsidRDefault="00755F0F" w:rsidP="00155715">
            <w:pPr>
              <w:widowControl w:val="0"/>
              <w:autoSpaceDE w:val="0"/>
              <w:autoSpaceDN w:val="0"/>
              <w:adjustRightInd w:val="0"/>
              <w:jc w:val="both"/>
              <w:rPr>
                <w:rFonts w:ascii="Garamond" w:hAnsi="Garamond"/>
                <w:sz w:val="20"/>
                <w:szCs w:val="20"/>
              </w:rPr>
            </w:pPr>
          </w:p>
        </w:tc>
        <w:tc>
          <w:tcPr>
            <w:tcW w:w="839" w:type="pct"/>
            <w:tcBorders>
              <w:top w:val="nil"/>
              <w:left w:val="nil"/>
              <w:bottom w:val="nil"/>
              <w:right w:val="nil"/>
            </w:tcBorders>
          </w:tcPr>
          <w:p w14:paraId="5C7F3C77" w14:textId="77777777" w:rsidR="00755F0F" w:rsidRPr="006A05A1" w:rsidRDefault="00755F0F" w:rsidP="00155715">
            <w:pPr>
              <w:widowControl w:val="0"/>
              <w:autoSpaceDE w:val="0"/>
              <w:autoSpaceDN w:val="0"/>
              <w:adjustRightInd w:val="0"/>
              <w:jc w:val="both"/>
              <w:rPr>
                <w:rFonts w:ascii="Garamond" w:hAnsi="Garamond"/>
                <w:sz w:val="20"/>
                <w:szCs w:val="20"/>
              </w:rPr>
            </w:pPr>
          </w:p>
        </w:tc>
        <w:tc>
          <w:tcPr>
            <w:tcW w:w="839" w:type="pct"/>
            <w:tcBorders>
              <w:top w:val="nil"/>
              <w:left w:val="nil"/>
              <w:bottom w:val="nil"/>
              <w:right w:val="nil"/>
            </w:tcBorders>
          </w:tcPr>
          <w:p w14:paraId="183F869C" w14:textId="77777777" w:rsidR="00755F0F" w:rsidRPr="006A05A1" w:rsidRDefault="00755F0F" w:rsidP="00155715">
            <w:pPr>
              <w:widowControl w:val="0"/>
              <w:autoSpaceDE w:val="0"/>
              <w:autoSpaceDN w:val="0"/>
              <w:adjustRightInd w:val="0"/>
              <w:jc w:val="both"/>
              <w:rPr>
                <w:rFonts w:ascii="Garamond" w:hAnsi="Garamond"/>
                <w:sz w:val="20"/>
                <w:szCs w:val="20"/>
              </w:rPr>
            </w:pPr>
          </w:p>
        </w:tc>
        <w:tc>
          <w:tcPr>
            <w:tcW w:w="909" w:type="pct"/>
            <w:tcBorders>
              <w:top w:val="nil"/>
              <w:left w:val="nil"/>
              <w:bottom w:val="nil"/>
              <w:right w:val="nil"/>
            </w:tcBorders>
          </w:tcPr>
          <w:p w14:paraId="581BDF4B" w14:textId="77777777" w:rsidR="00755F0F" w:rsidRPr="006A05A1" w:rsidRDefault="00755F0F" w:rsidP="00155715">
            <w:pPr>
              <w:widowControl w:val="0"/>
              <w:autoSpaceDE w:val="0"/>
              <w:autoSpaceDN w:val="0"/>
              <w:adjustRightInd w:val="0"/>
              <w:jc w:val="both"/>
              <w:rPr>
                <w:rFonts w:ascii="Garamond" w:hAnsi="Garamond"/>
                <w:sz w:val="20"/>
                <w:szCs w:val="20"/>
              </w:rPr>
            </w:pPr>
          </w:p>
        </w:tc>
      </w:tr>
      <w:tr w:rsidR="00755F0F" w:rsidRPr="006A05A1" w14:paraId="5CF297C2" w14:textId="77777777" w:rsidTr="006A05A1">
        <w:trPr>
          <w:trHeight w:val="20"/>
          <w:jc w:val="center"/>
        </w:trPr>
        <w:tc>
          <w:tcPr>
            <w:tcW w:w="1714" w:type="pct"/>
            <w:tcBorders>
              <w:top w:val="nil"/>
              <w:left w:val="nil"/>
              <w:bottom w:val="nil"/>
              <w:right w:val="nil"/>
            </w:tcBorders>
          </w:tcPr>
          <w:p w14:paraId="2B4EF22E"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Observations</w:t>
            </w:r>
          </w:p>
        </w:tc>
        <w:tc>
          <w:tcPr>
            <w:tcW w:w="699" w:type="pct"/>
            <w:tcBorders>
              <w:top w:val="nil"/>
              <w:left w:val="nil"/>
              <w:bottom w:val="nil"/>
              <w:right w:val="nil"/>
            </w:tcBorders>
          </w:tcPr>
          <w:p w14:paraId="0EAD9539"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2,624</w:t>
            </w:r>
          </w:p>
        </w:tc>
        <w:tc>
          <w:tcPr>
            <w:tcW w:w="839" w:type="pct"/>
            <w:tcBorders>
              <w:top w:val="nil"/>
              <w:left w:val="nil"/>
              <w:bottom w:val="nil"/>
              <w:right w:val="nil"/>
            </w:tcBorders>
          </w:tcPr>
          <w:p w14:paraId="34425C43"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2,521</w:t>
            </w:r>
          </w:p>
        </w:tc>
        <w:tc>
          <w:tcPr>
            <w:tcW w:w="839" w:type="pct"/>
            <w:tcBorders>
              <w:top w:val="nil"/>
              <w:left w:val="nil"/>
              <w:bottom w:val="nil"/>
              <w:right w:val="nil"/>
            </w:tcBorders>
          </w:tcPr>
          <w:p w14:paraId="70DA44CA"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2,521</w:t>
            </w:r>
          </w:p>
        </w:tc>
        <w:tc>
          <w:tcPr>
            <w:tcW w:w="909" w:type="pct"/>
            <w:tcBorders>
              <w:top w:val="nil"/>
              <w:left w:val="nil"/>
              <w:bottom w:val="nil"/>
              <w:right w:val="nil"/>
            </w:tcBorders>
          </w:tcPr>
          <w:p w14:paraId="008DDA0B"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2,521</w:t>
            </w:r>
          </w:p>
        </w:tc>
      </w:tr>
      <w:tr w:rsidR="00755F0F" w:rsidRPr="006A05A1" w14:paraId="706431BD" w14:textId="77777777" w:rsidTr="006A05A1">
        <w:trPr>
          <w:trHeight w:val="20"/>
          <w:jc w:val="center"/>
        </w:trPr>
        <w:tc>
          <w:tcPr>
            <w:tcW w:w="1714" w:type="pct"/>
            <w:tcBorders>
              <w:top w:val="nil"/>
              <w:left w:val="nil"/>
              <w:bottom w:val="nil"/>
              <w:right w:val="nil"/>
            </w:tcBorders>
          </w:tcPr>
          <w:p w14:paraId="61B4DD6B"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R-squared</w:t>
            </w:r>
          </w:p>
        </w:tc>
        <w:tc>
          <w:tcPr>
            <w:tcW w:w="699" w:type="pct"/>
            <w:tcBorders>
              <w:top w:val="nil"/>
              <w:left w:val="nil"/>
              <w:bottom w:val="nil"/>
              <w:right w:val="nil"/>
            </w:tcBorders>
          </w:tcPr>
          <w:p w14:paraId="729F4568"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0.004</w:t>
            </w:r>
          </w:p>
        </w:tc>
        <w:tc>
          <w:tcPr>
            <w:tcW w:w="839" w:type="pct"/>
            <w:tcBorders>
              <w:top w:val="nil"/>
              <w:left w:val="nil"/>
              <w:bottom w:val="nil"/>
              <w:right w:val="nil"/>
            </w:tcBorders>
          </w:tcPr>
          <w:p w14:paraId="6336AA6E"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0.032</w:t>
            </w:r>
          </w:p>
        </w:tc>
        <w:tc>
          <w:tcPr>
            <w:tcW w:w="839" w:type="pct"/>
            <w:tcBorders>
              <w:top w:val="nil"/>
              <w:left w:val="nil"/>
              <w:bottom w:val="nil"/>
              <w:right w:val="nil"/>
            </w:tcBorders>
          </w:tcPr>
          <w:p w14:paraId="43351D58"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0.047</w:t>
            </w:r>
          </w:p>
        </w:tc>
        <w:tc>
          <w:tcPr>
            <w:tcW w:w="909" w:type="pct"/>
            <w:tcBorders>
              <w:top w:val="nil"/>
              <w:left w:val="nil"/>
              <w:bottom w:val="nil"/>
              <w:right w:val="nil"/>
            </w:tcBorders>
          </w:tcPr>
          <w:p w14:paraId="67B39B93"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0.070</w:t>
            </w:r>
          </w:p>
        </w:tc>
      </w:tr>
      <w:tr w:rsidR="00755F0F" w:rsidRPr="006A05A1" w14:paraId="2FE4D021" w14:textId="77777777" w:rsidTr="006A05A1">
        <w:tblPrEx>
          <w:tblBorders>
            <w:bottom w:val="single" w:sz="6" w:space="0" w:color="auto"/>
          </w:tblBorders>
        </w:tblPrEx>
        <w:trPr>
          <w:trHeight w:val="20"/>
          <w:jc w:val="center"/>
        </w:trPr>
        <w:tc>
          <w:tcPr>
            <w:tcW w:w="1714" w:type="pct"/>
            <w:tcBorders>
              <w:top w:val="nil"/>
              <w:left w:val="nil"/>
              <w:bottom w:val="single" w:sz="6" w:space="0" w:color="auto"/>
              <w:right w:val="nil"/>
            </w:tcBorders>
          </w:tcPr>
          <w:p w14:paraId="4ED5099C"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Number of ID</w:t>
            </w:r>
          </w:p>
        </w:tc>
        <w:tc>
          <w:tcPr>
            <w:tcW w:w="699" w:type="pct"/>
            <w:tcBorders>
              <w:top w:val="nil"/>
              <w:left w:val="nil"/>
              <w:bottom w:val="single" w:sz="6" w:space="0" w:color="auto"/>
              <w:right w:val="nil"/>
            </w:tcBorders>
          </w:tcPr>
          <w:p w14:paraId="5DDE7984"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41</w:t>
            </w:r>
          </w:p>
        </w:tc>
        <w:tc>
          <w:tcPr>
            <w:tcW w:w="839" w:type="pct"/>
            <w:tcBorders>
              <w:top w:val="nil"/>
              <w:left w:val="nil"/>
              <w:bottom w:val="single" w:sz="6" w:space="0" w:color="auto"/>
              <w:right w:val="nil"/>
            </w:tcBorders>
          </w:tcPr>
          <w:p w14:paraId="3AE8A09C"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41</w:t>
            </w:r>
          </w:p>
        </w:tc>
        <w:tc>
          <w:tcPr>
            <w:tcW w:w="839" w:type="pct"/>
            <w:tcBorders>
              <w:top w:val="nil"/>
              <w:left w:val="nil"/>
              <w:bottom w:val="single" w:sz="6" w:space="0" w:color="auto"/>
              <w:right w:val="nil"/>
            </w:tcBorders>
          </w:tcPr>
          <w:p w14:paraId="09664A7B"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41</w:t>
            </w:r>
          </w:p>
        </w:tc>
        <w:tc>
          <w:tcPr>
            <w:tcW w:w="909" w:type="pct"/>
            <w:tcBorders>
              <w:top w:val="nil"/>
              <w:left w:val="nil"/>
              <w:bottom w:val="single" w:sz="6" w:space="0" w:color="auto"/>
              <w:right w:val="nil"/>
            </w:tcBorders>
          </w:tcPr>
          <w:p w14:paraId="344400F0" w14:textId="77777777" w:rsidR="00755F0F" w:rsidRPr="006A05A1" w:rsidRDefault="00755F0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41</w:t>
            </w:r>
          </w:p>
        </w:tc>
      </w:tr>
    </w:tbl>
    <w:p w14:paraId="4BFF86DF" w14:textId="77777777" w:rsidR="00DA593F" w:rsidRPr="005513D8" w:rsidRDefault="00DA593F" w:rsidP="00155715">
      <w:pPr>
        <w:jc w:val="both"/>
        <w:rPr>
          <w:lang w:val="es-ES"/>
        </w:rPr>
      </w:pPr>
    </w:p>
    <w:p w14:paraId="58A3F342" w14:textId="2DA4136F" w:rsidR="006A05A1" w:rsidRDefault="004274B3" w:rsidP="005F00D2">
      <w:pPr>
        <w:pStyle w:val="Heading2"/>
        <w:rPr>
          <w:lang w:val="es-CO"/>
        </w:rPr>
      </w:pPr>
      <w:r w:rsidRPr="006A05A1">
        <w:rPr>
          <w:lang w:val="es-CO"/>
        </w:rPr>
        <w:t xml:space="preserve">Anexo 4: Modelo DID con PSM </w:t>
      </w:r>
    </w:p>
    <w:p w14:paraId="79B4D7CE" w14:textId="77777777" w:rsidR="005F00D2" w:rsidRPr="005F00D2" w:rsidRDefault="005F00D2" w:rsidP="005F00D2">
      <w:pPr>
        <w:rPr>
          <w:lang w:val="es-CO"/>
        </w:rPr>
      </w:pPr>
    </w:p>
    <w:p w14:paraId="58039A56" w14:textId="7F6173C9" w:rsidR="004274B3" w:rsidRPr="006A05A1" w:rsidRDefault="006A05A1" w:rsidP="004274B3">
      <w:pPr>
        <w:pStyle w:val="Caption"/>
        <w:jc w:val="both"/>
        <w:rPr>
          <w:rFonts w:ascii="Times New Roman" w:hAnsi="Times New Roman"/>
          <w:bCs/>
          <w:i w:val="0"/>
          <w:iCs w:val="0"/>
          <w:color w:val="000000" w:themeColor="text1"/>
          <w:sz w:val="24"/>
          <w:szCs w:val="24"/>
          <w:lang w:val="es-CO"/>
        </w:rPr>
      </w:pPr>
      <w:r w:rsidRPr="006A05A1">
        <w:rPr>
          <w:rFonts w:ascii="Times New Roman" w:hAnsi="Times New Roman"/>
          <w:bCs/>
          <w:i w:val="0"/>
          <w:iCs w:val="0"/>
          <w:color w:val="000000" w:themeColor="text1"/>
          <w:sz w:val="24"/>
          <w:szCs w:val="24"/>
          <w:lang w:val="es-CO"/>
        </w:rPr>
        <w:t xml:space="preserve">Se realizan 4 estimaciones </w:t>
      </w:r>
      <w:proofErr w:type="spellStart"/>
      <w:r w:rsidR="004274B3" w:rsidRPr="006A05A1">
        <w:rPr>
          <w:rFonts w:ascii="Times New Roman" w:hAnsi="Times New Roman"/>
          <w:bCs/>
          <w:i w:val="0"/>
          <w:iCs w:val="0"/>
          <w:color w:val="000000" w:themeColor="text1"/>
          <w:sz w:val="24"/>
          <w:szCs w:val="24"/>
          <w:lang w:val="es-CO"/>
        </w:rPr>
        <w:t xml:space="preserve">con </w:t>
      </w:r>
      <w:proofErr w:type="spellEnd"/>
      <w:r w:rsidR="004274B3" w:rsidRPr="006A05A1">
        <w:rPr>
          <w:rFonts w:ascii="Times New Roman" w:hAnsi="Times New Roman"/>
          <w:bCs/>
          <w:i w:val="0"/>
          <w:iCs w:val="0"/>
          <w:color w:val="000000" w:themeColor="text1"/>
          <w:sz w:val="24"/>
          <w:szCs w:val="24"/>
          <w:lang w:val="es-CO"/>
        </w:rPr>
        <w:t xml:space="preserve">variable de interés (1), variables macroeconómicas (2), variables relativas al comercio y la inversión (3) y variables que capturan el contexto de la economía mundial y efecto fijo de tiempo.  </w:t>
      </w:r>
    </w:p>
    <w:tbl>
      <w:tblPr>
        <w:tblW w:w="5000" w:type="pct"/>
        <w:jc w:val="center"/>
        <w:tblCellMar>
          <w:left w:w="75" w:type="dxa"/>
          <w:right w:w="75" w:type="dxa"/>
        </w:tblCellMar>
        <w:tblLook w:val="0000" w:firstRow="0" w:lastRow="0" w:firstColumn="0" w:lastColumn="0" w:noHBand="0" w:noVBand="0"/>
      </w:tblPr>
      <w:tblGrid>
        <w:gridCol w:w="2694"/>
        <w:gridCol w:w="1538"/>
        <w:gridCol w:w="1536"/>
        <w:gridCol w:w="1536"/>
        <w:gridCol w:w="1534"/>
      </w:tblGrid>
      <w:tr w:rsidR="00E94F5F" w:rsidRPr="006A05A1" w14:paraId="18DE1214" w14:textId="77777777" w:rsidTr="006A05A1">
        <w:trPr>
          <w:trHeight w:val="20"/>
          <w:jc w:val="center"/>
        </w:trPr>
        <w:tc>
          <w:tcPr>
            <w:tcW w:w="1524" w:type="pct"/>
            <w:tcBorders>
              <w:top w:val="single" w:sz="6" w:space="0" w:color="auto"/>
              <w:left w:val="nil"/>
              <w:bottom w:val="nil"/>
              <w:right w:val="nil"/>
            </w:tcBorders>
          </w:tcPr>
          <w:p w14:paraId="283FEB29" w14:textId="77777777" w:rsidR="00E94F5F" w:rsidRPr="006A05A1" w:rsidRDefault="00E94F5F" w:rsidP="00155715">
            <w:pPr>
              <w:widowControl w:val="0"/>
              <w:autoSpaceDE w:val="0"/>
              <w:autoSpaceDN w:val="0"/>
              <w:adjustRightInd w:val="0"/>
              <w:jc w:val="both"/>
              <w:rPr>
                <w:rFonts w:ascii="Garamond" w:hAnsi="Garamond"/>
                <w:sz w:val="20"/>
                <w:szCs w:val="20"/>
                <w:lang w:val="es-CO"/>
              </w:rPr>
            </w:pPr>
          </w:p>
        </w:tc>
        <w:tc>
          <w:tcPr>
            <w:tcW w:w="870" w:type="pct"/>
            <w:tcBorders>
              <w:top w:val="single" w:sz="6" w:space="0" w:color="auto"/>
              <w:left w:val="nil"/>
              <w:bottom w:val="nil"/>
              <w:right w:val="nil"/>
            </w:tcBorders>
          </w:tcPr>
          <w:p w14:paraId="372D3F3D"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(1)</w:t>
            </w:r>
          </w:p>
        </w:tc>
        <w:tc>
          <w:tcPr>
            <w:tcW w:w="869" w:type="pct"/>
            <w:tcBorders>
              <w:top w:val="single" w:sz="6" w:space="0" w:color="auto"/>
              <w:left w:val="nil"/>
              <w:bottom w:val="nil"/>
              <w:right w:val="nil"/>
            </w:tcBorders>
          </w:tcPr>
          <w:p w14:paraId="5DDFDB9A"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(2)</w:t>
            </w:r>
          </w:p>
        </w:tc>
        <w:tc>
          <w:tcPr>
            <w:tcW w:w="869" w:type="pct"/>
            <w:tcBorders>
              <w:top w:val="single" w:sz="6" w:space="0" w:color="auto"/>
              <w:left w:val="nil"/>
              <w:bottom w:val="nil"/>
              <w:right w:val="nil"/>
            </w:tcBorders>
          </w:tcPr>
          <w:p w14:paraId="6FF897FB"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(3)</w:t>
            </w:r>
          </w:p>
        </w:tc>
        <w:tc>
          <w:tcPr>
            <w:tcW w:w="869" w:type="pct"/>
            <w:tcBorders>
              <w:top w:val="single" w:sz="6" w:space="0" w:color="auto"/>
              <w:left w:val="nil"/>
              <w:bottom w:val="nil"/>
              <w:right w:val="nil"/>
            </w:tcBorders>
          </w:tcPr>
          <w:p w14:paraId="2EEB6DBF"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(4)</w:t>
            </w:r>
          </w:p>
        </w:tc>
      </w:tr>
      <w:tr w:rsidR="00E94F5F" w:rsidRPr="006A05A1" w14:paraId="424A6F9A" w14:textId="77777777" w:rsidTr="006A05A1">
        <w:trPr>
          <w:trHeight w:val="20"/>
          <w:jc w:val="center"/>
        </w:trPr>
        <w:tc>
          <w:tcPr>
            <w:tcW w:w="1524" w:type="pct"/>
            <w:tcBorders>
              <w:top w:val="nil"/>
              <w:left w:val="nil"/>
              <w:bottom w:val="single" w:sz="6" w:space="0" w:color="auto"/>
              <w:right w:val="nil"/>
            </w:tcBorders>
          </w:tcPr>
          <w:p w14:paraId="1A684D01"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VARIABLES</w:t>
            </w:r>
          </w:p>
        </w:tc>
        <w:tc>
          <w:tcPr>
            <w:tcW w:w="870" w:type="pct"/>
            <w:tcBorders>
              <w:top w:val="nil"/>
              <w:left w:val="nil"/>
              <w:bottom w:val="single" w:sz="6" w:space="0" w:color="auto"/>
              <w:right w:val="nil"/>
            </w:tcBorders>
          </w:tcPr>
          <w:p w14:paraId="2E5EDAA2"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LN_IED</w:t>
            </w:r>
          </w:p>
        </w:tc>
        <w:tc>
          <w:tcPr>
            <w:tcW w:w="869" w:type="pct"/>
            <w:tcBorders>
              <w:top w:val="nil"/>
              <w:left w:val="nil"/>
              <w:bottom w:val="single" w:sz="6" w:space="0" w:color="auto"/>
              <w:right w:val="nil"/>
            </w:tcBorders>
          </w:tcPr>
          <w:p w14:paraId="07F64655"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LN_IED</w:t>
            </w:r>
          </w:p>
        </w:tc>
        <w:tc>
          <w:tcPr>
            <w:tcW w:w="869" w:type="pct"/>
            <w:tcBorders>
              <w:top w:val="nil"/>
              <w:left w:val="nil"/>
              <w:bottom w:val="single" w:sz="6" w:space="0" w:color="auto"/>
              <w:right w:val="nil"/>
            </w:tcBorders>
          </w:tcPr>
          <w:p w14:paraId="0DF4D751"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LN_IED</w:t>
            </w:r>
          </w:p>
        </w:tc>
        <w:tc>
          <w:tcPr>
            <w:tcW w:w="869" w:type="pct"/>
            <w:tcBorders>
              <w:top w:val="nil"/>
              <w:left w:val="nil"/>
              <w:bottom w:val="single" w:sz="6" w:space="0" w:color="auto"/>
              <w:right w:val="nil"/>
            </w:tcBorders>
          </w:tcPr>
          <w:p w14:paraId="04F4E6E4"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LN_IED</w:t>
            </w:r>
          </w:p>
        </w:tc>
      </w:tr>
      <w:tr w:rsidR="00E94F5F" w:rsidRPr="006A05A1" w14:paraId="312E02A9" w14:textId="77777777" w:rsidTr="006A05A1">
        <w:trPr>
          <w:trHeight w:val="20"/>
          <w:jc w:val="center"/>
        </w:trPr>
        <w:tc>
          <w:tcPr>
            <w:tcW w:w="1524" w:type="pct"/>
            <w:tcBorders>
              <w:top w:val="nil"/>
              <w:left w:val="nil"/>
              <w:bottom w:val="nil"/>
              <w:right w:val="nil"/>
            </w:tcBorders>
          </w:tcPr>
          <w:p w14:paraId="3CA83851" w14:textId="77777777" w:rsidR="00E94F5F" w:rsidRPr="006A05A1" w:rsidRDefault="00E94F5F" w:rsidP="00155715">
            <w:pPr>
              <w:widowControl w:val="0"/>
              <w:autoSpaceDE w:val="0"/>
              <w:autoSpaceDN w:val="0"/>
              <w:adjustRightInd w:val="0"/>
              <w:jc w:val="both"/>
              <w:rPr>
                <w:rFonts w:ascii="Garamond" w:hAnsi="Garamond"/>
                <w:sz w:val="20"/>
                <w:szCs w:val="20"/>
              </w:rPr>
            </w:pPr>
          </w:p>
        </w:tc>
        <w:tc>
          <w:tcPr>
            <w:tcW w:w="870" w:type="pct"/>
            <w:tcBorders>
              <w:top w:val="nil"/>
              <w:left w:val="nil"/>
              <w:bottom w:val="nil"/>
              <w:right w:val="nil"/>
            </w:tcBorders>
          </w:tcPr>
          <w:p w14:paraId="1C855F4F" w14:textId="77777777" w:rsidR="00E94F5F" w:rsidRPr="006A05A1" w:rsidRDefault="00E94F5F" w:rsidP="00155715">
            <w:pPr>
              <w:widowControl w:val="0"/>
              <w:autoSpaceDE w:val="0"/>
              <w:autoSpaceDN w:val="0"/>
              <w:adjustRightInd w:val="0"/>
              <w:jc w:val="both"/>
              <w:rPr>
                <w:rFonts w:ascii="Garamond" w:hAnsi="Garamond"/>
                <w:sz w:val="20"/>
                <w:szCs w:val="20"/>
              </w:rPr>
            </w:pPr>
          </w:p>
        </w:tc>
        <w:tc>
          <w:tcPr>
            <w:tcW w:w="869" w:type="pct"/>
            <w:tcBorders>
              <w:top w:val="nil"/>
              <w:left w:val="nil"/>
              <w:bottom w:val="nil"/>
              <w:right w:val="nil"/>
            </w:tcBorders>
          </w:tcPr>
          <w:p w14:paraId="43A6120C" w14:textId="77777777" w:rsidR="00E94F5F" w:rsidRPr="006A05A1" w:rsidRDefault="00E94F5F" w:rsidP="00155715">
            <w:pPr>
              <w:widowControl w:val="0"/>
              <w:autoSpaceDE w:val="0"/>
              <w:autoSpaceDN w:val="0"/>
              <w:adjustRightInd w:val="0"/>
              <w:jc w:val="both"/>
              <w:rPr>
                <w:rFonts w:ascii="Garamond" w:hAnsi="Garamond"/>
                <w:sz w:val="20"/>
                <w:szCs w:val="20"/>
              </w:rPr>
            </w:pPr>
          </w:p>
        </w:tc>
        <w:tc>
          <w:tcPr>
            <w:tcW w:w="869" w:type="pct"/>
            <w:tcBorders>
              <w:top w:val="nil"/>
              <w:left w:val="nil"/>
              <w:bottom w:val="nil"/>
              <w:right w:val="nil"/>
            </w:tcBorders>
          </w:tcPr>
          <w:p w14:paraId="550F209D" w14:textId="77777777" w:rsidR="00E94F5F" w:rsidRPr="006A05A1" w:rsidRDefault="00E94F5F" w:rsidP="00155715">
            <w:pPr>
              <w:widowControl w:val="0"/>
              <w:autoSpaceDE w:val="0"/>
              <w:autoSpaceDN w:val="0"/>
              <w:adjustRightInd w:val="0"/>
              <w:jc w:val="both"/>
              <w:rPr>
                <w:rFonts w:ascii="Garamond" w:hAnsi="Garamond"/>
                <w:sz w:val="20"/>
                <w:szCs w:val="20"/>
              </w:rPr>
            </w:pPr>
          </w:p>
        </w:tc>
        <w:tc>
          <w:tcPr>
            <w:tcW w:w="869" w:type="pct"/>
            <w:tcBorders>
              <w:top w:val="nil"/>
              <w:left w:val="nil"/>
              <w:bottom w:val="nil"/>
              <w:right w:val="nil"/>
            </w:tcBorders>
          </w:tcPr>
          <w:p w14:paraId="40630119" w14:textId="77777777" w:rsidR="00E94F5F" w:rsidRPr="006A05A1" w:rsidRDefault="00E94F5F" w:rsidP="00155715">
            <w:pPr>
              <w:widowControl w:val="0"/>
              <w:autoSpaceDE w:val="0"/>
              <w:autoSpaceDN w:val="0"/>
              <w:adjustRightInd w:val="0"/>
              <w:jc w:val="both"/>
              <w:rPr>
                <w:rFonts w:ascii="Garamond" w:hAnsi="Garamond"/>
                <w:sz w:val="20"/>
                <w:szCs w:val="20"/>
              </w:rPr>
            </w:pPr>
          </w:p>
        </w:tc>
      </w:tr>
      <w:tr w:rsidR="00E94F5F" w:rsidRPr="006A05A1" w14:paraId="6083668C" w14:textId="77777777" w:rsidTr="006A05A1">
        <w:trPr>
          <w:trHeight w:val="20"/>
          <w:jc w:val="center"/>
        </w:trPr>
        <w:tc>
          <w:tcPr>
            <w:tcW w:w="1524" w:type="pct"/>
            <w:tcBorders>
              <w:top w:val="nil"/>
              <w:left w:val="nil"/>
              <w:bottom w:val="nil"/>
              <w:right w:val="nil"/>
            </w:tcBorders>
          </w:tcPr>
          <w:p w14:paraId="4D28DA6C" w14:textId="77777777" w:rsidR="00E94F5F" w:rsidRPr="006A05A1" w:rsidRDefault="00E94F5F" w:rsidP="00155715">
            <w:pPr>
              <w:widowControl w:val="0"/>
              <w:autoSpaceDE w:val="0"/>
              <w:autoSpaceDN w:val="0"/>
              <w:adjustRightInd w:val="0"/>
              <w:jc w:val="both"/>
              <w:rPr>
                <w:rFonts w:ascii="Garamond" w:hAnsi="Garamond"/>
                <w:sz w:val="20"/>
                <w:szCs w:val="20"/>
              </w:rPr>
            </w:pPr>
            <w:proofErr w:type="spellStart"/>
            <w:r w:rsidRPr="006A05A1">
              <w:rPr>
                <w:rFonts w:ascii="Garamond" w:hAnsi="Garamond"/>
                <w:sz w:val="20"/>
                <w:szCs w:val="20"/>
              </w:rPr>
              <w:t>tratado_tratamiento</w:t>
            </w:r>
            <w:proofErr w:type="spellEnd"/>
          </w:p>
        </w:tc>
        <w:tc>
          <w:tcPr>
            <w:tcW w:w="870" w:type="pct"/>
            <w:tcBorders>
              <w:top w:val="nil"/>
              <w:left w:val="nil"/>
              <w:bottom w:val="nil"/>
              <w:right w:val="nil"/>
            </w:tcBorders>
          </w:tcPr>
          <w:p w14:paraId="33503096"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0.696</w:t>
            </w:r>
          </w:p>
        </w:tc>
        <w:tc>
          <w:tcPr>
            <w:tcW w:w="869" w:type="pct"/>
            <w:tcBorders>
              <w:top w:val="nil"/>
              <w:left w:val="nil"/>
              <w:bottom w:val="nil"/>
              <w:right w:val="nil"/>
            </w:tcBorders>
          </w:tcPr>
          <w:p w14:paraId="2664ABAF"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0.718</w:t>
            </w:r>
          </w:p>
        </w:tc>
        <w:tc>
          <w:tcPr>
            <w:tcW w:w="869" w:type="pct"/>
            <w:tcBorders>
              <w:top w:val="nil"/>
              <w:left w:val="nil"/>
              <w:bottom w:val="nil"/>
              <w:right w:val="nil"/>
            </w:tcBorders>
          </w:tcPr>
          <w:p w14:paraId="7F1B0D18"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0.0379</w:t>
            </w:r>
          </w:p>
        </w:tc>
        <w:tc>
          <w:tcPr>
            <w:tcW w:w="869" w:type="pct"/>
            <w:tcBorders>
              <w:top w:val="nil"/>
              <w:left w:val="nil"/>
              <w:bottom w:val="nil"/>
              <w:right w:val="nil"/>
            </w:tcBorders>
          </w:tcPr>
          <w:p w14:paraId="4BD25E95"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-0.147</w:t>
            </w:r>
          </w:p>
        </w:tc>
      </w:tr>
      <w:tr w:rsidR="00E94F5F" w:rsidRPr="006A05A1" w14:paraId="48D1E1C5" w14:textId="77777777" w:rsidTr="006A05A1">
        <w:trPr>
          <w:trHeight w:val="20"/>
          <w:jc w:val="center"/>
        </w:trPr>
        <w:tc>
          <w:tcPr>
            <w:tcW w:w="1524" w:type="pct"/>
            <w:tcBorders>
              <w:top w:val="nil"/>
              <w:left w:val="nil"/>
              <w:bottom w:val="nil"/>
              <w:right w:val="nil"/>
            </w:tcBorders>
          </w:tcPr>
          <w:p w14:paraId="2C0202B2" w14:textId="77777777" w:rsidR="00E94F5F" w:rsidRPr="006A05A1" w:rsidRDefault="00E94F5F" w:rsidP="00155715">
            <w:pPr>
              <w:widowControl w:val="0"/>
              <w:autoSpaceDE w:val="0"/>
              <w:autoSpaceDN w:val="0"/>
              <w:adjustRightInd w:val="0"/>
              <w:jc w:val="both"/>
              <w:rPr>
                <w:rFonts w:ascii="Garamond" w:hAnsi="Garamond"/>
                <w:sz w:val="20"/>
                <w:szCs w:val="20"/>
              </w:rPr>
            </w:pPr>
          </w:p>
        </w:tc>
        <w:tc>
          <w:tcPr>
            <w:tcW w:w="870" w:type="pct"/>
            <w:tcBorders>
              <w:top w:val="nil"/>
              <w:left w:val="nil"/>
              <w:bottom w:val="nil"/>
              <w:right w:val="nil"/>
            </w:tcBorders>
          </w:tcPr>
          <w:p w14:paraId="642E277A"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(0.671)</w:t>
            </w:r>
          </w:p>
        </w:tc>
        <w:tc>
          <w:tcPr>
            <w:tcW w:w="869" w:type="pct"/>
            <w:tcBorders>
              <w:top w:val="nil"/>
              <w:left w:val="nil"/>
              <w:bottom w:val="nil"/>
              <w:right w:val="nil"/>
            </w:tcBorders>
          </w:tcPr>
          <w:p w14:paraId="59AD51BB"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(0.675)</w:t>
            </w:r>
          </w:p>
        </w:tc>
        <w:tc>
          <w:tcPr>
            <w:tcW w:w="869" w:type="pct"/>
            <w:tcBorders>
              <w:top w:val="nil"/>
              <w:left w:val="nil"/>
              <w:bottom w:val="nil"/>
              <w:right w:val="nil"/>
            </w:tcBorders>
          </w:tcPr>
          <w:p w14:paraId="692547AD"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(0.656)</w:t>
            </w:r>
          </w:p>
        </w:tc>
        <w:tc>
          <w:tcPr>
            <w:tcW w:w="869" w:type="pct"/>
            <w:tcBorders>
              <w:top w:val="nil"/>
              <w:left w:val="nil"/>
              <w:bottom w:val="nil"/>
              <w:right w:val="nil"/>
            </w:tcBorders>
          </w:tcPr>
          <w:p w14:paraId="563BA265"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(0.551)</w:t>
            </w:r>
          </w:p>
        </w:tc>
      </w:tr>
      <w:tr w:rsidR="00E94F5F" w:rsidRPr="006A05A1" w14:paraId="397012B2" w14:textId="77777777" w:rsidTr="006A05A1">
        <w:trPr>
          <w:trHeight w:val="20"/>
          <w:jc w:val="center"/>
        </w:trPr>
        <w:tc>
          <w:tcPr>
            <w:tcW w:w="1524" w:type="pct"/>
            <w:tcBorders>
              <w:top w:val="nil"/>
              <w:left w:val="nil"/>
              <w:bottom w:val="nil"/>
              <w:right w:val="nil"/>
            </w:tcBorders>
          </w:tcPr>
          <w:p w14:paraId="36CF1DAE" w14:textId="77777777" w:rsidR="00E94F5F" w:rsidRPr="006A05A1" w:rsidRDefault="00E94F5F" w:rsidP="00155715">
            <w:pPr>
              <w:widowControl w:val="0"/>
              <w:autoSpaceDE w:val="0"/>
              <w:autoSpaceDN w:val="0"/>
              <w:adjustRightInd w:val="0"/>
              <w:jc w:val="both"/>
              <w:rPr>
                <w:rFonts w:ascii="Garamond" w:hAnsi="Garamond"/>
                <w:sz w:val="20"/>
                <w:szCs w:val="20"/>
              </w:rPr>
            </w:pPr>
            <w:proofErr w:type="spellStart"/>
            <w:r w:rsidRPr="006A05A1">
              <w:rPr>
                <w:rFonts w:ascii="Garamond" w:hAnsi="Garamond"/>
                <w:sz w:val="20"/>
                <w:szCs w:val="20"/>
              </w:rPr>
              <w:t>tratado_control</w:t>
            </w:r>
            <w:proofErr w:type="spellEnd"/>
          </w:p>
        </w:tc>
        <w:tc>
          <w:tcPr>
            <w:tcW w:w="870" w:type="pct"/>
            <w:tcBorders>
              <w:top w:val="nil"/>
              <w:left w:val="nil"/>
              <w:bottom w:val="nil"/>
              <w:right w:val="nil"/>
            </w:tcBorders>
          </w:tcPr>
          <w:p w14:paraId="42B27141"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0.439</w:t>
            </w:r>
          </w:p>
        </w:tc>
        <w:tc>
          <w:tcPr>
            <w:tcW w:w="869" w:type="pct"/>
            <w:tcBorders>
              <w:top w:val="nil"/>
              <w:left w:val="nil"/>
              <w:bottom w:val="nil"/>
              <w:right w:val="nil"/>
            </w:tcBorders>
          </w:tcPr>
          <w:p w14:paraId="52AFAAAC"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0.543</w:t>
            </w:r>
          </w:p>
        </w:tc>
        <w:tc>
          <w:tcPr>
            <w:tcW w:w="869" w:type="pct"/>
            <w:tcBorders>
              <w:top w:val="nil"/>
              <w:left w:val="nil"/>
              <w:bottom w:val="nil"/>
              <w:right w:val="nil"/>
            </w:tcBorders>
          </w:tcPr>
          <w:p w14:paraId="38335D14"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0.387</w:t>
            </w:r>
          </w:p>
        </w:tc>
        <w:tc>
          <w:tcPr>
            <w:tcW w:w="869" w:type="pct"/>
            <w:tcBorders>
              <w:top w:val="nil"/>
              <w:left w:val="nil"/>
              <w:bottom w:val="nil"/>
              <w:right w:val="nil"/>
            </w:tcBorders>
          </w:tcPr>
          <w:p w14:paraId="2586A4E1"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0.661</w:t>
            </w:r>
          </w:p>
        </w:tc>
      </w:tr>
      <w:tr w:rsidR="00E94F5F" w:rsidRPr="006A05A1" w14:paraId="33C5CCED" w14:textId="77777777" w:rsidTr="006A05A1">
        <w:trPr>
          <w:trHeight w:val="20"/>
          <w:jc w:val="center"/>
        </w:trPr>
        <w:tc>
          <w:tcPr>
            <w:tcW w:w="1524" w:type="pct"/>
            <w:tcBorders>
              <w:top w:val="nil"/>
              <w:left w:val="nil"/>
              <w:bottom w:val="nil"/>
              <w:right w:val="nil"/>
            </w:tcBorders>
          </w:tcPr>
          <w:p w14:paraId="1B8A1108" w14:textId="77777777" w:rsidR="00E94F5F" w:rsidRPr="006A05A1" w:rsidRDefault="00E94F5F" w:rsidP="00155715">
            <w:pPr>
              <w:widowControl w:val="0"/>
              <w:autoSpaceDE w:val="0"/>
              <w:autoSpaceDN w:val="0"/>
              <w:adjustRightInd w:val="0"/>
              <w:jc w:val="both"/>
              <w:rPr>
                <w:rFonts w:ascii="Garamond" w:hAnsi="Garamond"/>
                <w:sz w:val="20"/>
                <w:szCs w:val="20"/>
              </w:rPr>
            </w:pPr>
          </w:p>
        </w:tc>
        <w:tc>
          <w:tcPr>
            <w:tcW w:w="870" w:type="pct"/>
            <w:tcBorders>
              <w:top w:val="nil"/>
              <w:left w:val="nil"/>
              <w:bottom w:val="nil"/>
              <w:right w:val="nil"/>
            </w:tcBorders>
          </w:tcPr>
          <w:p w14:paraId="1ABC15A2"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(0.576)</w:t>
            </w:r>
          </w:p>
        </w:tc>
        <w:tc>
          <w:tcPr>
            <w:tcW w:w="869" w:type="pct"/>
            <w:tcBorders>
              <w:top w:val="nil"/>
              <w:left w:val="nil"/>
              <w:bottom w:val="nil"/>
              <w:right w:val="nil"/>
            </w:tcBorders>
          </w:tcPr>
          <w:p w14:paraId="3C96A465"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(0.602)</w:t>
            </w:r>
          </w:p>
        </w:tc>
        <w:tc>
          <w:tcPr>
            <w:tcW w:w="869" w:type="pct"/>
            <w:tcBorders>
              <w:top w:val="nil"/>
              <w:left w:val="nil"/>
              <w:bottom w:val="nil"/>
              <w:right w:val="nil"/>
            </w:tcBorders>
          </w:tcPr>
          <w:p w14:paraId="7A2D8789"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(0.572)</w:t>
            </w:r>
          </w:p>
        </w:tc>
        <w:tc>
          <w:tcPr>
            <w:tcW w:w="869" w:type="pct"/>
            <w:tcBorders>
              <w:top w:val="nil"/>
              <w:left w:val="nil"/>
              <w:bottom w:val="nil"/>
              <w:right w:val="nil"/>
            </w:tcBorders>
          </w:tcPr>
          <w:p w14:paraId="3FB59299"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(0.444)</w:t>
            </w:r>
          </w:p>
        </w:tc>
      </w:tr>
      <w:tr w:rsidR="00E94F5F" w:rsidRPr="006A05A1" w14:paraId="788B32AC" w14:textId="77777777" w:rsidTr="006A05A1">
        <w:trPr>
          <w:trHeight w:val="20"/>
          <w:jc w:val="center"/>
        </w:trPr>
        <w:tc>
          <w:tcPr>
            <w:tcW w:w="1524" w:type="pct"/>
            <w:tcBorders>
              <w:top w:val="nil"/>
              <w:left w:val="nil"/>
              <w:bottom w:val="nil"/>
              <w:right w:val="nil"/>
            </w:tcBorders>
          </w:tcPr>
          <w:p w14:paraId="465375AA"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_</w:t>
            </w:r>
            <w:proofErr w:type="spellStart"/>
            <w:r w:rsidRPr="006A05A1">
              <w:rPr>
                <w:rFonts w:ascii="Garamond" w:hAnsi="Garamond"/>
                <w:sz w:val="20"/>
                <w:szCs w:val="20"/>
              </w:rPr>
              <w:t>pscore</w:t>
            </w:r>
            <w:proofErr w:type="spellEnd"/>
          </w:p>
        </w:tc>
        <w:tc>
          <w:tcPr>
            <w:tcW w:w="870" w:type="pct"/>
            <w:tcBorders>
              <w:top w:val="nil"/>
              <w:left w:val="nil"/>
              <w:bottom w:val="nil"/>
              <w:right w:val="nil"/>
            </w:tcBorders>
          </w:tcPr>
          <w:p w14:paraId="0AD5E53C"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-1.404</w:t>
            </w:r>
          </w:p>
        </w:tc>
        <w:tc>
          <w:tcPr>
            <w:tcW w:w="869" w:type="pct"/>
            <w:tcBorders>
              <w:top w:val="nil"/>
              <w:left w:val="nil"/>
              <w:bottom w:val="nil"/>
              <w:right w:val="nil"/>
            </w:tcBorders>
          </w:tcPr>
          <w:p w14:paraId="4AC7E68B"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0.446</w:t>
            </w:r>
          </w:p>
        </w:tc>
        <w:tc>
          <w:tcPr>
            <w:tcW w:w="869" w:type="pct"/>
            <w:tcBorders>
              <w:top w:val="nil"/>
              <w:left w:val="nil"/>
              <w:bottom w:val="nil"/>
              <w:right w:val="nil"/>
            </w:tcBorders>
          </w:tcPr>
          <w:p w14:paraId="71E441BA"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0.844</w:t>
            </w:r>
          </w:p>
        </w:tc>
        <w:tc>
          <w:tcPr>
            <w:tcW w:w="869" w:type="pct"/>
            <w:tcBorders>
              <w:top w:val="nil"/>
              <w:left w:val="nil"/>
              <w:bottom w:val="nil"/>
              <w:right w:val="nil"/>
            </w:tcBorders>
          </w:tcPr>
          <w:p w14:paraId="5CBA779A"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-1.014</w:t>
            </w:r>
          </w:p>
        </w:tc>
      </w:tr>
      <w:tr w:rsidR="00E94F5F" w:rsidRPr="006A05A1" w14:paraId="3F7BEAC8" w14:textId="77777777" w:rsidTr="006A05A1">
        <w:trPr>
          <w:trHeight w:val="20"/>
          <w:jc w:val="center"/>
        </w:trPr>
        <w:tc>
          <w:tcPr>
            <w:tcW w:w="1524" w:type="pct"/>
            <w:tcBorders>
              <w:top w:val="nil"/>
              <w:left w:val="nil"/>
              <w:bottom w:val="nil"/>
              <w:right w:val="nil"/>
            </w:tcBorders>
          </w:tcPr>
          <w:p w14:paraId="0F23E7A0" w14:textId="77777777" w:rsidR="00E94F5F" w:rsidRPr="006A05A1" w:rsidRDefault="00E94F5F" w:rsidP="00155715">
            <w:pPr>
              <w:widowControl w:val="0"/>
              <w:autoSpaceDE w:val="0"/>
              <w:autoSpaceDN w:val="0"/>
              <w:adjustRightInd w:val="0"/>
              <w:jc w:val="both"/>
              <w:rPr>
                <w:rFonts w:ascii="Garamond" w:hAnsi="Garamond"/>
                <w:sz w:val="20"/>
                <w:szCs w:val="20"/>
              </w:rPr>
            </w:pPr>
          </w:p>
        </w:tc>
        <w:tc>
          <w:tcPr>
            <w:tcW w:w="870" w:type="pct"/>
            <w:tcBorders>
              <w:top w:val="nil"/>
              <w:left w:val="nil"/>
              <w:bottom w:val="nil"/>
              <w:right w:val="nil"/>
            </w:tcBorders>
          </w:tcPr>
          <w:p w14:paraId="6F799168"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(1.853)</w:t>
            </w:r>
          </w:p>
        </w:tc>
        <w:tc>
          <w:tcPr>
            <w:tcW w:w="869" w:type="pct"/>
            <w:tcBorders>
              <w:top w:val="nil"/>
              <w:left w:val="nil"/>
              <w:bottom w:val="nil"/>
              <w:right w:val="nil"/>
            </w:tcBorders>
          </w:tcPr>
          <w:p w14:paraId="25CC2A09"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(1.979)</w:t>
            </w:r>
          </w:p>
        </w:tc>
        <w:tc>
          <w:tcPr>
            <w:tcW w:w="869" w:type="pct"/>
            <w:tcBorders>
              <w:top w:val="nil"/>
              <w:left w:val="nil"/>
              <w:bottom w:val="nil"/>
              <w:right w:val="nil"/>
            </w:tcBorders>
          </w:tcPr>
          <w:p w14:paraId="24755A70"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(1.867)</w:t>
            </w:r>
          </w:p>
        </w:tc>
        <w:tc>
          <w:tcPr>
            <w:tcW w:w="869" w:type="pct"/>
            <w:tcBorders>
              <w:top w:val="nil"/>
              <w:left w:val="nil"/>
              <w:bottom w:val="nil"/>
              <w:right w:val="nil"/>
            </w:tcBorders>
          </w:tcPr>
          <w:p w14:paraId="451B32E2"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(1.659)</w:t>
            </w:r>
          </w:p>
        </w:tc>
      </w:tr>
      <w:tr w:rsidR="00E94F5F" w:rsidRPr="006A05A1" w14:paraId="30457B02" w14:textId="77777777" w:rsidTr="006A05A1">
        <w:trPr>
          <w:trHeight w:val="20"/>
          <w:jc w:val="center"/>
        </w:trPr>
        <w:tc>
          <w:tcPr>
            <w:tcW w:w="1524" w:type="pct"/>
            <w:tcBorders>
              <w:top w:val="nil"/>
              <w:left w:val="nil"/>
              <w:bottom w:val="nil"/>
              <w:right w:val="nil"/>
            </w:tcBorders>
          </w:tcPr>
          <w:p w14:paraId="0FEADCF7" w14:textId="77777777" w:rsidR="00E94F5F" w:rsidRPr="006A05A1" w:rsidRDefault="00E94F5F" w:rsidP="00155715">
            <w:pPr>
              <w:widowControl w:val="0"/>
              <w:autoSpaceDE w:val="0"/>
              <w:autoSpaceDN w:val="0"/>
              <w:adjustRightInd w:val="0"/>
              <w:jc w:val="both"/>
              <w:rPr>
                <w:rFonts w:ascii="Garamond" w:hAnsi="Garamond"/>
                <w:sz w:val="20"/>
                <w:szCs w:val="20"/>
              </w:rPr>
            </w:pPr>
            <w:proofErr w:type="spellStart"/>
            <w:r w:rsidRPr="006A05A1">
              <w:rPr>
                <w:rFonts w:ascii="Garamond" w:hAnsi="Garamond"/>
                <w:sz w:val="20"/>
                <w:szCs w:val="20"/>
              </w:rPr>
              <w:t>dif_imp</w:t>
            </w:r>
            <w:proofErr w:type="spellEnd"/>
          </w:p>
        </w:tc>
        <w:tc>
          <w:tcPr>
            <w:tcW w:w="870" w:type="pct"/>
            <w:tcBorders>
              <w:top w:val="nil"/>
              <w:left w:val="nil"/>
              <w:bottom w:val="nil"/>
              <w:right w:val="nil"/>
            </w:tcBorders>
          </w:tcPr>
          <w:p w14:paraId="402BAF32" w14:textId="77777777" w:rsidR="00E94F5F" w:rsidRPr="006A05A1" w:rsidRDefault="00E94F5F" w:rsidP="00155715">
            <w:pPr>
              <w:widowControl w:val="0"/>
              <w:autoSpaceDE w:val="0"/>
              <w:autoSpaceDN w:val="0"/>
              <w:adjustRightInd w:val="0"/>
              <w:jc w:val="both"/>
              <w:rPr>
                <w:rFonts w:ascii="Garamond" w:hAnsi="Garamond"/>
                <w:sz w:val="20"/>
                <w:szCs w:val="20"/>
              </w:rPr>
            </w:pPr>
          </w:p>
        </w:tc>
        <w:tc>
          <w:tcPr>
            <w:tcW w:w="869" w:type="pct"/>
            <w:tcBorders>
              <w:top w:val="nil"/>
              <w:left w:val="nil"/>
              <w:bottom w:val="nil"/>
              <w:right w:val="nil"/>
            </w:tcBorders>
          </w:tcPr>
          <w:p w14:paraId="66ECE53B"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-0.000848</w:t>
            </w:r>
          </w:p>
        </w:tc>
        <w:tc>
          <w:tcPr>
            <w:tcW w:w="869" w:type="pct"/>
            <w:tcBorders>
              <w:top w:val="nil"/>
              <w:left w:val="nil"/>
              <w:bottom w:val="nil"/>
              <w:right w:val="nil"/>
            </w:tcBorders>
          </w:tcPr>
          <w:p w14:paraId="292300FF"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-0.00987</w:t>
            </w:r>
          </w:p>
        </w:tc>
        <w:tc>
          <w:tcPr>
            <w:tcW w:w="869" w:type="pct"/>
            <w:tcBorders>
              <w:top w:val="nil"/>
              <w:left w:val="nil"/>
              <w:bottom w:val="nil"/>
              <w:right w:val="nil"/>
            </w:tcBorders>
          </w:tcPr>
          <w:p w14:paraId="3EE9F414"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0.0140</w:t>
            </w:r>
          </w:p>
        </w:tc>
      </w:tr>
      <w:tr w:rsidR="00E94F5F" w:rsidRPr="006A05A1" w14:paraId="68507BD5" w14:textId="77777777" w:rsidTr="006A05A1">
        <w:trPr>
          <w:trHeight w:val="20"/>
          <w:jc w:val="center"/>
        </w:trPr>
        <w:tc>
          <w:tcPr>
            <w:tcW w:w="1524" w:type="pct"/>
            <w:tcBorders>
              <w:top w:val="nil"/>
              <w:left w:val="nil"/>
              <w:bottom w:val="nil"/>
              <w:right w:val="nil"/>
            </w:tcBorders>
          </w:tcPr>
          <w:p w14:paraId="748CCA19" w14:textId="77777777" w:rsidR="00E94F5F" w:rsidRPr="006A05A1" w:rsidRDefault="00E94F5F" w:rsidP="00155715">
            <w:pPr>
              <w:widowControl w:val="0"/>
              <w:autoSpaceDE w:val="0"/>
              <w:autoSpaceDN w:val="0"/>
              <w:adjustRightInd w:val="0"/>
              <w:jc w:val="both"/>
              <w:rPr>
                <w:rFonts w:ascii="Garamond" w:hAnsi="Garamond"/>
                <w:sz w:val="20"/>
                <w:szCs w:val="20"/>
              </w:rPr>
            </w:pPr>
          </w:p>
        </w:tc>
        <w:tc>
          <w:tcPr>
            <w:tcW w:w="870" w:type="pct"/>
            <w:tcBorders>
              <w:top w:val="nil"/>
              <w:left w:val="nil"/>
              <w:bottom w:val="nil"/>
              <w:right w:val="nil"/>
            </w:tcBorders>
          </w:tcPr>
          <w:p w14:paraId="58322122" w14:textId="77777777" w:rsidR="00E94F5F" w:rsidRPr="006A05A1" w:rsidRDefault="00E94F5F" w:rsidP="00155715">
            <w:pPr>
              <w:widowControl w:val="0"/>
              <w:autoSpaceDE w:val="0"/>
              <w:autoSpaceDN w:val="0"/>
              <w:adjustRightInd w:val="0"/>
              <w:jc w:val="both"/>
              <w:rPr>
                <w:rFonts w:ascii="Garamond" w:hAnsi="Garamond"/>
                <w:sz w:val="20"/>
                <w:szCs w:val="20"/>
              </w:rPr>
            </w:pPr>
          </w:p>
        </w:tc>
        <w:tc>
          <w:tcPr>
            <w:tcW w:w="869" w:type="pct"/>
            <w:tcBorders>
              <w:top w:val="nil"/>
              <w:left w:val="nil"/>
              <w:bottom w:val="nil"/>
              <w:right w:val="nil"/>
            </w:tcBorders>
          </w:tcPr>
          <w:p w14:paraId="162DFF87"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(0.0208)</w:t>
            </w:r>
          </w:p>
        </w:tc>
        <w:tc>
          <w:tcPr>
            <w:tcW w:w="869" w:type="pct"/>
            <w:tcBorders>
              <w:top w:val="nil"/>
              <w:left w:val="nil"/>
              <w:bottom w:val="nil"/>
              <w:right w:val="nil"/>
            </w:tcBorders>
          </w:tcPr>
          <w:p w14:paraId="7DB0A047"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(0.0207)</w:t>
            </w:r>
          </w:p>
        </w:tc>
        <w:tc>
          <w:tcPr>
            <w:tcW w:w="869" w:type="pct"/>
            <w:tcBorders>
              <w:top w:val="nil"/>
              <w:left w:val="nil"/>
              <w:bottom w:val="nil"/>
              <w:right w:val="nil"/>
            </w:tcBorders>
          </w:tcPr>
          <w:p w14:paraId="7C01B382"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(0.0186)</w:t>
            </w:r>
          </w:p>
        </w:tc>
      </w:tr>
      <w:tr w:rsidR="00E94F5F" w:rsidRPr="006A05A1" w14:paraId="30ABFAB5" w14:textId="77777777" w:rsidTr="006A05A1">
        <w:trPr>
          <w:trHeight w:val="20"/>
          <w:jc w:val="center"/>
        </w:trPr>
        <w:tc>
          <w:tcPr>
            <w:tcW w:w="1524" w:type="pct"/>
            <w:tcBorders>
              <w:top w:val="nil"/>
              <w:left w:val="nil"/>
              <w:bottom w:val="nil"/>
              <w:right w:val="nil"/>
            </w:tcBorders>
          </w:tcPr>
          <w:p w14:paraId="72AB9316"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PIB</w:t>
            </w:r>
          </w:p>
        </w:tc>
        <w:tc>
          <w:tcPr>
            <w:tcW w:w="870" w:type="pct"/>
            <w:tcBorders>
              <w:top w:val="nil"/>
              <w:left w:val="nil"/>
              <w:bottom w:val="nil"/>
              <w:right w:val="nil"/>
            </w:tcBorders>
          </w:tcPr>
          <w:p w14:paraId="3B36A4BC" w14:textId="77777777" w:rsidR="00E94F5F" w:rsidRPr="006A05A1" w:rsidRDefault="00E94F5F" w:rsidP="00155715">
            <w:pPr>
              <w:widowControl w:val="0"/>
              <w:autoSpaceDE w:val="0"/>
              <w:autoSpaceDN w:val="0"/>
              <w:adjustRightInd w:val="0"/>
              <w:jc w:val="both"/>
              <w:rPr>
                <w:rFonts w:ascii="Garamond" w:hAnsi="Garamond"/>
                <w:sz w:val="20"/>
                <w:szCs w:val="20"/>
              </w:rPr>
            </w:pPr>
          </w:p>
        </w:tc>
        <w:tc>
          <w:tcPr>
            <w:tcW w:w="869" w:type="pct"/>
            <w:tcBorders>
              <w:top w:val="nil"/>
              <w:left w:val="nil"/>
              <w:bottom w:val="nil"/>
              <w:right w:val="nil"/>
            </w:tcBorders>
          </w:tcPr>
          <w:p w14:paraId="3A5A8FF2"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-0.0141</w:t>
            </w:r>
          </w:p>
        </w:tc>
        <w:tc>
          <w:tcPr>
            <w:tcW w:w="869" w:type="pct"/>
            <w:tcBorders>
              <w:top w:val="nil"/>
              <w:left w:val="nil"/>
              <w:bottom w:val="nil"/>
              <w:right w:val="nil"/>
            </w:tcBorders>
          </w:tcPr>
          <w:p w14:paraId="3F5113FA"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-0.0165</w:t>
            </w:r>
          </w:p>
        </w:tc>
        <w:tc>
          <w:tcPr>
            <w:tcW w:w="869" w:type="pct"/>
            <w:tcBorders>
              <w:top w:val="nil"/>
              <w:left w:val="nil"/>
              <w:bottom w:val="nil"/>
              <w:right w:val="nil"/>
            </w:tcBorders>
          </w:tcPr>
          <w:p w14:paraId="2478283A"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0.0121</w:t>
            </w:r>
          </w:p>
        </w:tc>
      </w:tr>
      <w:tr w:rsidR="00E94F5F" w:rsidRPr="006A05A1" w14:paraId="6FDCBF1B" w14:textId="77777777" w:rsidTr="006A05A1">
        <w:trPr>
          <w:trHeight w:val="20"/>
          <w:jc w:val="center"/>
        </w:trPr>
        <w:tc>
          <w:tcPr>
            <w:tcW w:w="1524" w:type="pct"/>
            <w:tcBorders>
              <w:top w:val="nil"/>
              <w:left w:val="nil"/>
              <w:bottom w:val="nil"/>
              <w:right w:val="nil"/>
            </w:tcBorders>
          </w:tcPr>
          <w:p w14:paraId="50BDD017" w14:textId="77777777" w:rsidR="00E94F5F" w:rsidRPr="006A05A1" w:rsidRDefault="00E94F5F" w:rsidP="00155715">
            <w:pPr>
              <w:widowControl w:val="0"/>
              <w:autoSpaceDE w:val="0"/>
              <w:autoSpaceDN w:val="0"/>
              <w:adjustRightInd w:val="0"/>
              <w:jc w:val="both"/>
              <w:rPr>
                <w:rFonts w:ascii="Garamond" w:hAnsi="Garamond"/>
                <w:sz w:val="20"/>
                <w:szCs w:val="20"/>
              </w:rPr>
            </w:pPr>
          </w:p>
        </w:tc>
        <w:tc>
          <w:tcPr>
            <w:tcW w:w="870" w:type="pct"/>
            <w:tcBorders>
              <w:top w:val="nil"/>
              <w:left w:val="nil"/>
              <w:bottom w:val="nil"/>
              <w:right w:val="nil"/>
            </w:tcBorders>
          </w:tcPr>
          <w:p w14:paraId="1CE4D022" w14:textId="77777777" w:rsidR="00E94F5F" w:rsidRPr="006A05A1" w:rsidRDefault="00E94F5F" w:rsidP="00155715">
            <w:pPr>
              <w:widowControl w:val="0"/>
              <w:autoSpaceDE w:val="0"/>
              <w:autoSpaceDN w:val="0"/>
              <w:adjustRightInd w:val="0"/>
              <w:jc w:val="both"/>
              <w:rPr>
                <w:rFonts w:ascii="Garamond" w:hAnsi="Garamond"/>
                <w:sz w:val="20"/>
                <w:szCs w:val="20"/>
              </w:rPr>
            </w:pPr>
          </w:p>
        </w:tc>
        <w:tc>
          <w:tcPr>
            <w:tcW w:w="869" w:type="pct"/>
            <w:tcBorders>
              <w:top w:val="nil"/>
              <w:left w:val="nil"/>
              <w:bottom w:val="nil"/>
              <w:right w:val="nil"/>
            </w:tcBorders>
          </w:tcPr>
          <w:p w14:paraId="111170A9"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(0.0171)</w:t>
            </w:r>
          </w:p>
        </w:tc>
        <w:tc>
          <w:tcPr>
            <w:tcW w:w="869" w:type="pct"/>
            <w:tcBorders>
              <w:top w:val="nil"/>
              <w:left w:val="nil"/>
              <w:bottom w:val="nil"/>
              <w:right w:val="nil"/>
            </w:tcBorders>
          </w:tcPr>
          <w:p w14:paraId="651BC1BC"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(0.0176)</w:t>
            </w:r>
          </w:p>
        </w:tc>
        <w:tc>
          <w:tcPr>
            <w:tcW w:w="869" w:type="pct"/>
            <w:tcBorders>
              <w:top w:val="nil"/>
              <w:left w:val="nil"/>
              <w:bottom w:val="nil"/>
              <w:right w:val="nil"/>
            </w:tcBorders>
          </w:tcPr>
          <w:p w14:paraId="74E427EE"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(0.0152)</w:t>
            </w:r>
          </w:p>
        </w:tc>
      </w:tr>
      <w:tr w:rsidR="00E94F5F" w:rsidRPr="006A05A1" w14:paraId="1DC8710C" w14:textId="77777777" w:rsidTr="006A05A1">
        <w:trPr>
          <w:trHeight w:val="20"/>
          <w:jc w:val="center"/>
        </w:trPr>
        <w:tc>
          <w:tcPr>
            <w:tcW w:w="1524" w:type="pct"/>
            <w:tcBorders>
              <w:top w:val="nil"/>
              <w:left w:val="nil"/>
              <w:bottom w:val="nil"/>
              <w:right w:val="nil"/>
            </w:tcBorders>
          </w:tcPr>
          <w:p w14:paraId="029C7383" w14:textId="77777777" w:rsidR="00E94F5F" w:rsidRPr="006A05A1" w:rsidRDefault="00E94F5F" w:rsidP="00155715">
            <w:pPr>
              <w:widowControl w:val="0"/>
              <w:autoSpaceDE w:val="0"/>
              <w:autoSpaceDN w:val="0"/>
              <w:adjustRightInd w:val="0"/>
              <w:jc w:val="both"/>
              <w:rPr>
                <w:rFonts w:ascii="Garamond" w:hAnsi="Garamond"/>
                <w:sz w:val="20"/>
                <w:szCs w:val="20"/>
              </w:rPr>
            </w:pPr>
            <w:proofErr w:type="spellStart"/>
            <w:r w:rsidRPr="006A05A1">
              <w:rPr>
                <w:rFonts w:ascii="Garamond" w:hAnsi="Garamond"/>
                <w:sz w:val="20"/>
                <w:szCs w:val="20"/>
              </w:rPr>
              <w:t>PIB_per</w:t>
            </w:r>
            <w:proofErr w:type="spellEnd"/>
          </w:p>
        </w:tc>
        <w:tc>
          <w:tcPr>
            <w:tcW w:w="870" w:type="pct"/>
            <w:tcBorders>
              <w:top w:val="nil"/>
              <w:left w:val="nil"/>
              <w:bottom w:val="nil"/>
              <w:right w:val="nil"/>
            </w:tcBorders>
          </w:tcPr>
          <w:p w14:paraId="47081014" w14:textId="77777777" w:rsidR="00E94F5F" w:rsidRPr="006A05A1" w:rsidRDefault="00E94F5F" w:rsidP="00155715">
            <w:pPr>
              <w:widowControl w:val="0"/>
              <w:autoSpaceDE w:val="0"/>
              <w:autoSpaceDN w:val="0"/>
              <w:adjustRightInd w:val="0"/>
              <w:jc w:val="both"/>
              <w:rPr>
                <w:rFonts w:ascii="Garamond" w:hAnsi="Garamond"/>
                <w:sz w:val="20"/>
                <w:szCs w:val="20"/>
              </w:rPr>
            </w:pPr>
          </w:p>
        </w:tc>
        <w:tc>
          <w:tcPr>
            <w:tcW w:w="869" w:type="pct"/>
            <w:tcBorders>
              <w:top w:val="nil"/>
              <w:left w:val="nil"/>
              <w:bottom w:val="nil"/>
              <w:right w:val="nil"/>
            </w:tcBorders>
          </w:tcPr>
          <w:p w14:paraId="1B5D9E8B"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1.55e-05*</w:t>
            </w:r>
          </w:p>
        </w:tc>
        <w:tc>
          <w:tcPr>
            <w:tcW w:w="869" w:type="pct"/>
            <w:tcBorders>
              <w:top w:val="nil"/>
              <w:left w:val="nil"/>
              <w:bottom w:val="nil"/>
              <w:right w:val="nil"/>
            </w:tcBorders>
          </w:tcPr>
          <w:p w14:paraId="71980BB7"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1.20e-05</w:t>
            </w:r>
          </w:p>
        </w:tc>
        <w:tc>
          <w:tcPr>
            <w:tcW w:w="869" w:type="pct"/>
            <w:tcBorders>
              <w:top w:val="nil"/>
              <w:left w:val="nil"/>
              <w:bottom w:val="nil"/>
              <w:right w:val="nil"/>
            </w:tcBorders>
          </w:tcPr>
          <w:p w14:paraId="710667C9"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1.68e-05*</w:t>
            </w:r>
          </w:p>
        </w:tc>
      </w:tr>
      <w:tr w:rsidR="00E94F5F" w:rsidRPr="006A05A1" w14:paraId="7D7DE6D1" w14:textId="77777777" w:rsidTr="006A05A1">
        <w:trPr>
          <w:trHeight w:val="20"/>
          <w:jc w:val="center"/>
        </w:trPr>
        <w:tc>
          <w:tcPr>
            <w:tcW w:w="1524" w:type="pct"/>
            <w:tcBorders>
              <w:top w:val="nil"/>
              <w:left w:val="nil"/>
              <w:bottom w:val="nil"/>
              <w:right w:val="nil"/>
            </w:tcBorders>
          </w:tcPr>
          <w:p w14:paraId="2DA5A9E9" w14:textId="77777777" w:rsidR="00E94F5F" w:rsidRPr="006A05A1" w:rsidRDefault="00E94F5F" w:rsidP="00155715">
            <w:pPr>
              <w:widowControl w:val="0"/>
              <w:autoSpaceDE w:val="0"/>
              <w:autoSpaceDN w:val="0"/>
              <w:adjustRightInd w:val="0"/>
              <w:jc w:val="both"/>
              <w:rPr>
                <w:rFonts w:ascii="Garamond" w:hAnsi="Garamond"/>
                <w:sz w:val="20"/>
                <w:szCs w:val="20"/>
              </w:rPr>
            </w:pPr>
          </w:p>
        </w:tc>
        <w:tc>
          <w:tcPr>
            <w:tcW w:w="870" w:type="pct"/>
            <w:tcBorders>
              <w:top w:val="nil"/>
              <w:left w:val="nil"/>
              <w:bottom w:val="nil"/>
              <w:right w:val="nil"/>
            </w:tcBorders>
          </w:tcPr>
          <w:p w14:paraId="47740D3C" w14:textId="77777777" w:rsidR="00E94F5F" w:rsidRPr="006A05A1" w:rsidRDefault="00E94F5F" w:rsidP="00155715">
            <w:pPr>
              <w:widowControl w:val="0"/>
              <w:autoSpaceDE w:val="0"/>
              <w:autoSpaceDN w:val="0"/>
              <w:adjustRightInd w:val="0"/>
              <w:jc w:val="both"/>
              <w:rPr>
                <w:rFonts w:ascii="Garamond" w:hAnsi="Garamond"/>
                <w:sz w:val="20"/>
                <w:szCs w:val="20"/>
              </w:rPr>
            </w:pPr>
          </w:p>
        </w:tc>
        <w:tc>
          <w:tcPr>
            <w:tcW w:w="869" w:type="pct"/>
            <w:tcBorders>
              <w:top w:val="nil"/>
              <w:left w:val="nil"/>
              <w:bottom w:val="nil"/>
              <w:right w:val="nil"/>
            </w:tcBorders>
          </w:tcPr>
          <w:p w14:paraId="4A2C9C79"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(8.25e-06)</w:t>
            </w:r>
          </w:p>
        </w:tc>
        <w:tc>
          <w:tcPr>
            <w:tcW w:w="869" w:type="pct"/>
            <w:tcBorders>
              <w:top w:val="nil"/>
              <w:left w:val="nil"/>
              <w:bottom w:val="nil"/>
              <w:right w:val="nil"/>
            </w:tcBorders>
          </w:tcPr>
          <w:p w14:paraId="2C7BBA74"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(8.07e-06)</w:t>
            </w:r>
          </w:p>
        </w:tc>
        <w:tc>
          <w:tcPr>
            <w:tcW w:w="869" w:type="pct"/>
            <w:tcBorders>
              <w:top w:val="nil"/>
              <w:left w:val="nil"/>
              <w:bottom w:val="nil"/>
              <w:right w:val="nil"/>
            </w:tcBorders>
          </w:tcPr>
          <w:p w14:paraId="21ACCE95"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(8.39e-06)</w:t>
            </w:r>
          </w:p>
        </w:tc>
      </w:tr>
      <w:tr w:rsidR="00E94F5F" w:rsidRPr="006A05A1" w14:paraId="004BC6C1" w14:textId="77777777" w:rsidTr="006A05A1">
        <w:trPr>
          <w:trHeight w:val="20"/>
          <w:jc w:val="center"/>
        </w:trPr>
        <w:tc>
          <w:tcPr>
            <w:tcW w:w="1524" w:type="pct"/>
            <w:tcBorders>
              <w:top w:val="nil"/>
              <w:left w:val="nil"/>
              <w:bottom w:val="nil"/>
              <w:right w:val="nil"/>
            </w:tcBorders>
          </w:tcPr>
          <w:p w14:paraId="620CE512"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IPC</w:t>
            </w:r>
          </w:p>
        </w:tc>
        <w:tc>
          <w:tcPr>
            <w:tcW w:w="870" w:type="pct"/>
            <w:tcBorders>
              <w:top w:val="nil"/>
              <w:left w:val="nil"/>
              <w:bottom w:val="nil"/>
              <w:right w:val="nil"/>
            </w:tcBorders>
          </w:tcPr>
          <w:p w14:paraId="23BCDB34" w14:textId="77777777" w:rsidR="00E94F5F" w:rsidRPr="006A05A1" w:rsidRDefault="00E94F5F" w:rsidP="00155715">
            <w:pPr>
              <w:widowControl w:val="0"/>
              <w:autoSpaceDE w:val="0"/>
              <w:autoSpaceDN w:val="0"/>
              <w:adjustRightInd w:val="0"/>
              <w:jc w:val="both"/>
              <w:rPr>
                <w:rFonts w:ascii="Garamond" w:hAnsi="Garamond"/>
                <w:sz w:val="20"/>
                <w:szCs w:val="20"/>
              </w:rPr>
            </w:pPr>
          </w:p>
        </w:tc>
        <w:tc>
          <w:tcPr>
            <w:tcW w:w="869" w:type="pct"/>
            <w:tcBorders>
              <w:top w:val="nil"/>
              <w:left w:val="nil"/>
              <w:bottom w:val="nil"/>
              <w:right w:val="nil"/>
            </w:tcBorders>
          </w:tcPr>
          <w:p w14:paraId="1F321071"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-6.39e-06</w:t>
            </w:r>
          </w:p>
        </w:tc>
        <w:tc>
          <w:tcPr>
            <w:tcW w:w="869" w:type="pct"/>
            <w:tcBorders>
              <w:top w:val="nil"/>
              <w:left w:val="nil"/>
              <w:bottom w:val="nil"/>
              <w:right w:val="nil"/>
            </w:tcBorders>
          </w:tcPr>
          <w:p w14:paraId="5EAD7B84"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-3.16e-06</w:t>
            </w:r>
          </w:p>
        </w:tc>
        <w:tc>
          <w:tcPr>
            <w:tcW w:w="869" w:type="pct"/>
            <w:tcBorders>
              <w:top w:val="nil"/>
              <w:left w:val="nil"/>
              <w:bottom w:val="nil"/>
              <w:right w:val="nil"/>
            </w:tcBorders>
          </w:tcPr>
          <w:p w14:paraId="40686732"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-2.00e-05</w:t>
            </w:r>
          </w:p>
        </w:tc>
      </w:tr>
      <w:tr w:rsidR="00E94F5F" w:rsidRPr="006A05A1" w14:paraId="63CAA1F1" w14:textId="77777777" w:rsidTr="006A05A1">
        <w:trPr>
          <w:trHeight w:val="20"/>
          <w:jc w:val="center"/>
        </w:trPr>
        <w:tc>
          <w:tcPr>
            <w:tcW w:w="1524" w:type="pct"/>
            <w:tcBorders>
              <w:top w:val="nil"/>
              <w:left w:val="nil"/>
              <w:bottom w:val="nil"/>
              <w:right w:val="nil"/>
            </w:tcBorders>
          </w:tcPr>
          <w:p w14:paraId="76148891" w14:textId="77777777" w:rsidR="00E94F5F" w:rsidRPr="006A05A1" w:rsidRDefault="00E94F5F" w:rsidP="00155715">
            <w:pPr>
              <w:widowControl w:val="0"/>
              <w:autoSpaceDE w:val="0"/>
              <w:autoSpaceDN w:val="0"/>
              <w:adjustRightInd w:val="0"/>
              <w:jc w:val="both"/>
              <w:rPr>
                <w:rFonts w:ascii="Garamond" w:hAnsi="Garamond"/>
                <w:sz w:val="20"/>
                <w:szCs w:val="20"/>
              </w:rPr>
            </w:pPr>
          </w:p>
        </w:tc>
        <w:tc>
          <w:tcPr>
            <w:tcW w:w="870" w:type="pct"/>
            <w:tcBorders>
              <w:top w:val="nil"/>
              <w:left w:val="nil"/>
              <w:bottom w:val="nil"/>
              <w:right w:val="nil"/>
            </w:tcBorders>
          </w:tcPr>
          <w:p w14:paraId="0CC81432" w14:textId="77777777" w:rsidR="00E94F5F" w:rsidRPr="006A05A1" w:rsidRDefault="00E94F5F" w:rsidP="00155715">
            <w:pPr>
              <w:widowControl w:val="0"/>
              <w:autoSpaceDE w:val="0"/>
              <w:autoSpaceDN w:val="0"/>
              <w:adjustRightInd w:val="0"/>
              <w:jc w:val="both"/>
              <w:rPr>
                <w:rFonts w:ascii="Garamond" w:hAnsi="Garamond"/>
                <w:sz w:val="20"/>
                <w:szCs w:val="20"/>
              </w:rPr>
            </w:pPr>
          </w:p>
        </w:tc>
        <w:tc>
          <w:tcPr>
            <w:tcW w:w="869" w:type="pct"/>
            <w:tcBorders>
              <w:top w:val="nil"/>
              <w:left w:val="nil"/>
              <w:bottom w:val="nil"/>
              <w:right w:val="nil"/>
            </w:tcBorders>
          </w:tcPr>
          <w:p w14:paraId="72BB8B37"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(1.10e-05)</w:t>
            </w:r>
          </w:p>
        </w:tc>
        <w:tc>
          <w:tcPr>
            <w:tcW w:w="869" w:type="pct"/>
            <w:tcBorders>
              <w:top w:val="nil"/>
              <w:left w:val="nil"/>
              <w:bottom w:val="nil"/>
              <w:right w:val="nil"/>
            </w:tcBorders>
          </w:tcPr>
          <w:p w14:paraId="1FD8C102"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(1.09e-05)</w:t>
            </w:r>
          </w:p>
        </w:tc>
        <w:tc>
          <w:tcPr>
            <w:tcW w:w="869" w:type="pct"/>
            <w:tcBorders>
              <w:top w:val="nil"/>
              <w:left w:val="nil"/>
              <w:bottom w:val="nil"/>
              <w:right w:val="nil"/>
            </w:tcBorders>
          </w:tcPr>
          <w:p w14:paraId="59711F4D"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(1.35e-05)</w:t>
            </w:r>
          </w:p>
        </w:tc>
      </w:tr>
      <w:tr w:rsidR="00E94F5F" w:rsidRPr="006A05A1" w14:paraId="3BF19F86" w14:textId="77777777" w:rsidTr="006A05A1">
        <w:trPr>
          <w:trHeight w:val="20"/>
          <w:jc w:val="center"/>
        </w:trPr>
        <w:tc>
          <w:tcPr>
            <w:tcW w:w="1524" w:type="pct"/>
            <w:tcBorders>
              <w:top w:val="nil"/>
              <w:left w:val="nil"/>
              <w:bottom w:val="nil"/>
              <w:right w:val="nil"/>
            </w:tcBorders>
          </w:tcPr>
          <w:p w14:paraId="6FB373A3"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BC</w:t>
            </w:r>
          </w:p>
        </w:tc>
        <w:tc>
          <w:tcPr>
            <w:tcW w:w="870" w:type="pct"/>
            <w:tcBorders>
              <w:top w:val="nil"/>
              <w:left w:val="nil"/>
              <w:bottom w:val="nil"/>
              <w:right w:val="nil"/>
            </w:tcBorders>
          </w:tcPr>
          <w:p w14:paraId="5268334B" w14:textId="77777777" w:rsidR="00E94F5F" w:rsidRPr="006A05A1" w:rsidRDefault="00E94F5F" w:rsidP="00155715">
            <w:pPr>
              <w:widowControl w:val="0"/>
              <w:autoSpaceDE w:val="0"/>
              <w:autoSpaceDN w:val="0"/>
              <w:adjustRightInd w:val="0"/>
              <w:jc w:val="both"/>
              <w:rPr>
                <w:rFonts w:ascii="Garamond" w:hAnsi="Garamond"/>
                <w:sz w:val="20"/>
                <w:szCs w:val="20"/>
              </w:rPr>
            </w:pPr>
          </w:p>
        </w:tc>
        <w:tc>
          <w:tcPr>
            <w:tcW w:w="869" w:type="pct"/>
            <w:tcBorders>
              <w:top w:val="nil"/>
              <w:left w:val="nil"/>
              <w:bottom w:val="nil"/>
              <w:right w:val="nil"/>
            </w:tcBorders>
          </w:tcPr>
          <w:p w14:paraId="0284A07D"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1.73e-07</w:t>
            </w:r>
          </w:p>
        </w:tc>
        <w:tc>
          <w:tcPr>
            <w:tcW w:w="869" w:type="pct"/>
            <w:tcBorders>
              <w:top w:val="nil"/>
              <w:left w:val="nil"/>
              <w:bottom w:val="nil"/>
              <w:right w:val="nil"/>
            </w:tcBorders>
          </w:tcPr>
          <w:p w14:paraId="350D7F87"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4.23e-07</w:t>
            </w:r>
          </w:p>
        </w:tc>
        <w:tc>
          <w:tcPr>
            <w:tcW w:w="869" w:type="pct"/>
            <w:tcBorders>
              <w:top w:val="nil"/>
              <w:left w:val="nil"/>
              <w:bottom w:val="nil"/>
              <w:right w:val="nil"/>
            </w:tcBorders>
          </w:tcPr>
          <w:p w14:paraId="61E226A6"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1.33e-07</w:t>
            </w:r>
          </w:p>
        </w:tc>
      </w:tr>
      <w:tr w:rsidR="00E94F5F" w:rsidRPr="006A05A1" w14:paraId="7D8A940C" w14:textId="77777777" w:rsidTr="006A05A1">
        <w:trPr>
          <w:trHeight w:val="20"/>
          <w:jc w:val="center"/>
        </w:trPr>
        <w:tc>
          <w:tcPr>
            <w:tcW w:w="1524" w:type="pct"/>
            <w:tcBorders>
              <w:top w:val="nil"/>
              <w:left w:val="nil"/>
              <w:bottom w:val="nil"/>
              <w:right w:val="nil"/>
            </w:tcBorders>
          </w:tcPr>
          <w:p w14:paraId="3F819CC4" w14:textId="77777777" w:rsidR="00E94F5F" w:rsidRPr="006A05A1" w:rsidRDefault="00E94F5F" w:rsidP="00155715">
            <w:pPr>
              <w:widowControl w:val="0"/>
              <w:autoSpaceDE w:val="0"/>
              <w:autoSpaceDN w:val="0"/>
              <w:adjustRightInd w:val="0"/>
              <w:jc w:val="both"/>
              <w:rPr>
                <w:rFonts w:ascii="Garamond" w:hAnsi="Garamond"/>
                <w:sz w:val="20"/>
                <w:szCs w:val="20"/>
              </w:rPr>
            </w:pPr>
          </w:p>
        </w:tc>
        <w:tc>
          <w:tcPr>
            <w:tcW w:w="870" w:type="pct"/>
            <w:tcBorders>
              <w:top w:val="nil"/>
              <w:left w:val="nil"/>
              <w:bottom w:val="nil"/>
              <w:right w:val="nil"/>
            </w:tcBorders>
          </w:tcPr>
          <w:p w14:paraId="6A67D0CF" w14:textId="77777777" w:rsidR="00E94F5F" w:rsidRPr="006A05A1" w:rsidRDefault="00E94F5F" w:rsidP="00155715">
            <w:pPr>
              <w:widowControl w:val="0"/>
              <w:autoSpaceDE w:val="0"/>
              <w:autoSpaceDN w:val="0"/>
              <w:adjustRightInd w:val="0"/>
              <w:jc w:val="both"/>
              <w:rPr>
                <w:rFonts w:ascii="Garamond" w:hAnsi="Garamond"/>
                <w:sz w:val="20"/>
                <w:szCs w:val="20"/>
              </w:rPr>
            </w:pPr>
          </w:p>
        </w:tc>
        <w:tc>
          <w:tcPr>
            <w:tcW w:w="869" w:type="pct"/>
            <w:tcBorders>
              <w:top w:val="nil"/>
              <w:left w:val="nil"/>
              <w:bottom w:val="nil"/>
              <w:right w:val="nil"/>
            </w:tcBorders>
          </w:tcPr>
          <w:p w14:paraId="2BC28B96"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(3.78e-07)</w:t>
            </w:r>
          </w:p>
        </w:tc>
        <w:tc>
          <w:tcPr>
            <w:tcW w:w="869" w:type="pct"/>
            <w:tcBorders>
              <w:top w:val="nil"/>
              <w:left w:val="nil"/>
              <w:bottom w:val="nil"/>
              <w:right w:val="nil"/>
            </w:tcBorders>
          </w:tcPr>
          <w:p w14:paraId="6171D308"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(4.12e-07)</w:t>
            </w:r>
          </w:p>
        </w:tc>
        <w:tc>
          <w:tcPr>
            <w:tcW w:w="869" w:type="pct"/>
            <w:tcBorders>
              <w:top w:val="nil"/>
              <w:left w:val="nil"/>
              <w:bottom w:val="nil"/>
              <w:right w:val="nil"/>
            </w:tcBorders>
          </w:tcPr>
          <w:p w14:paraId="66B9B611"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(3.43e-07)</w:t>
            </w:r>
          </w:p>
        </w:tc>
      </w:tr>
      <w:tr w:rsidR="00E94F5F" w:rsidRPr="006A05A1" w14:paraId="7F96A178" w14:textId="77777777" w:rsidTr="006A05A1">
        <w:trPr>
          <w:trHeight w:val="20"/>
          <w:jc w:val="center"/>
        </w:trPr>
        <w:tc>
          <w:tcPr>
            <w:tcW w:w="1524" w:type="pct"/>
            <w:tcBorders>
              <w:top w:val="nil"/>
              <w:left w:val="nil"/>
              <w:bottom w:val="nil"/>
              <w:right w:val="nil"/>
            </w:tcBorders>
          </w:tcPr>
          <w:p w14:paraId="485E8373" w14:textId="77777777" w:rsidR="00E94F5F" w:rsidRPr="006A05A1" w:rsidRDefault="00E94F5F" w:rsidP="00155715">
            <w:pPr>
              <w:widowControl w:val="0"/>
              <w:autoSpaceDE w:val="0"/>
              <w:autoSpaceDN w:val="0"/>
              <w:adjustRightInd w:val="0"/>
              <w:jc w:val="both"/>
              <w:rPr>
                <w:rFonts w:ascii="Garamond" w:hAnsi="Garamond"/>
                <w:sz w:val="20"/>
                <w:szCs w:val="20"/>
              </w:rPr>
            </w:pPr>
            <w:proofErr w:type="spellStart"/>
            <w:r w:rsidRPr="006A05A1">
              <w:rPr>
                <w:rFonts w:ascii="Garamond" w:hAnsi="Garamond"/>
                <w:sz w:val="20"/>
                <w:szCs w:val="20"/>
              </w:rPr>
              <w:t>Acuerdo_comercial</w:t>
            </w:r>
            <w:proofErr w:type="spellEnd"/>
          </w:p>
        </w:tc>
        <w:tc>
          <w:tcPr>
            <w:tcW w:w="870" w:type="pct"/>
            <w:tcBorders>
              <w:top w:val="nil"/>
              <w:left w:val="nil"/>
              <w:bottom w:val="nil"/>
              <w:right w:val="nil"/>
            </w:tcBorders>
          </w:tcPr>
          <w:p w14:paraId="6CE5AC9D" w14:textId="77777777" w:rsidR="00E94F5F" w:rsidRPr="006A05A1" w:rsidRDefault="00E94F5F" w:rsidP="00155715">
            <w:pPr>
              <w:widowControl w:val="0"/>
              <w:autoSpaceDE w:val="0"/>
              <w:autoSpaceDN w:val="0"/>
              <w:adjustRightInd w:val="0"/>
              <w:jc w:val="both"/>
              <w:rPr>
                <w:rFonts w:ascii="Garamond" w:hAnsi="Garamond"/>
                <w:sz w:val="20"/>
                <w:szCs w:val="20"/>
              </w:rPr>
            </w:pPr>
          </w:p>
        </w:tc>
        <w:tc>
          <w:tcPr>
            <w:tcW w:w="869" w:type="pct"/>
            <w:tcBorders>
              <w:top w:val="nil"/>
              <w:left w:val="nil"/>
              <w:bottom w:val="nil"/>
              <w:right w:val="nil"/>
            </w:tcBorders>
          </w:tcPr>
          <w:p w14:paraId="421BFB12" w14:textId="77777777" w:rsidR="00E94F5F" w:rsidRPr="006A05A1" w:rsidRDefault="00E94F5F" w:rsidP="00155715">
            <w:pPr>
              <w:widowControl w:val="0"/>
              <w:autoSpaceDE w:val="0"/>
              <w:autoSpaceDN w:val="0"/>
              <w:adjustRightInd w:val="0"/>
              <w:jc w:val="both"/>
              <w:rPr>
                <w:rFonts w:ascii="Garamond" w:hAnsi="Garamond"/>
                <w:sz w:val="20"/>
                <w:szCs w:val="20"/>
              </w:rPr>
            </w:pPr>
          </w:p>
        </w:tc>
        <w:tc>
          <w:tcPr>
            <w:tcW w:w="869" w:type="pct"/>
            <w:tcBorders>
              <w:top w:val="nil"/>
              <w:left w:val="nil"/>
              <w:bottom w:val="nil"/>
              <w:right w:val="nil"/>
            </w:tcBorders>
          </w:tcPr>
          <w:p w14:paraId="467BBB14"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0.605**</w:t>
            </w:r>
          </w:p>
        </w:tc>
        <w:tc>
          <w:tcPr>
            <w:tcW w:w="869" w:type="pct"/>
            <w:tcBorders>
              <w:top w:val="nil"/>
              <w:left w:val="nil"/>
              <w:bottom w:val="nil"/>
              <w:right w:val="nil"/>
            </w:tcBorders>
          </w:tcPr>
          <w:p w14:paraId="13C4CA6E"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0.447</w:t>
            </w:r>
          </w:p>
        </w:tc>
      </w:tr>
      <w:tr w:rsidR="00E94F5F" w:rsidRPr="006A05A1" w14:paraId="2A3ADD3D" w14:textId="77777777" w:rsidTr="006A05A1">
        <w:trPr>
          <w:trHeight w:val="20"/>
          <w:jc w:val="center"/>
        </w:trPr>
        <w:tc>
          <w:tcPr>
            <w:tcW w:w="1524" w:type="pct"/>
            <w:tcBorders>
              <w:top w:val="nil"/>
              <w:left w:val="nil"/>
              <w:bottom w:val="nil"/>
              <w:right w:val="nil"/>
            </w:tcBorders>
          </w:tcPr>
          <w:p w14:paraId="50BD6BAF" w14:textId="77777777" w:rsidR="00E94F5F" w:rsidRPr="006A05A1" w:rsidRDefault="00E94F5F" w:rsidP="00155715">
            <w:pPr>
              <w:widowControl w:val="0"/>
              <w:autoSpaceDE w:val="0"/>
              <w:autoSpaceDN w:val="0"/>
              <w:adjustRightInd w:val="0"/>
              <w:jc w:val="both"/>
              <w:rPr>
                <w:rFonts w:ascii="Garamond" w:hAnsi="Garamond"/>
                <w:sz w:val="20"/>
                <w:szCs w:val="20"/>
              </w:rPr>
            </w:pPr>
          </w:p>
        </w:tc>
        <w:tc>
          <w:tcPr>
            <w:tcW w:w="870" w:type="pct"/>
            <w:tcBorders>
              <w:top w:val="nil"/>
              <w:left w:val="nil"/>
              <w:bottom w:val="nil"/>
              <w:right w:val="nil"/>
            </w:tcBorders>
          </w:tcPr>
          <w:p w14:paraId="0DD8F26B" w14:textId="77777777" w:rsidR="00E94F5F" w:rsidRPr="006A05A1" w:rsidRDefault="00E94F5F" w:rsidP="00155715">
            <w:pPr>
              <w:widowControl w:val="0"/>
              <w:autoSpaceDE w:val="0"/>
              <w:autoSpaceDN w:val="0"/>
              <w:adjustRightInd w:val="0"/>
              <w:jc w:val="both"/>
              <w:rPr>
                <w:rFonts w:ascii="Garamond" w:hAnsi="Garamond"/>
                <w:sz w:val="20"/>
                <w:szCs w:val="20"/>
              </w:rPr>
            </w:pPr>
          </w:p>
        </w:tc>
        <w:tc>
          <w:tcPr>
            <w:tcW w:w="869" w:type="pct"/>
            <w:tcBorders>
              <w:top w:val="nil"/>
              <w:left w:val="nil"/>
              <w:bottom w:val="nil"/>
              <w:right w:val="nil"/>
            </w:tcBorders>
          </w:tcPr>
          <w:p w14:paraId="56D89E2E" w14:textId="77777777" w:rsidR="00E94F5F" w:rsidRPr="006A05A1" w:rsidRDefault="00E94F5F" w:rsidP="00155715">
            <w:pPr>
              <w:widowControl w:val="0"/>
              <w:autoSpaceDE w:val="0"/>
              <w:autoSpaceDN w:val="0"/>
              <w:adjustRightInd w:val="0"/>
              <w:jc w:val="both"/>
              <w:rPr>
                <w:rFonts w:ascii="Garamond" w:hAnsi="Garamond"/>
                <w:sz w:val="20"/>
                <w:szCs w:val="20"/>
              </w:rPr>
            </w:pPr>
          </w:p>
        </w:tc>
        <w:tc>
          <w:tcPr>
            <w:tcW w:w="869" w:type="pct"/>
            <w:tcBorders>
              <w:top w:val="nil"/>
              <w:left w:val="nil"/>
              <w:bottom w:val="nil"/>
              <w:right w:val="nil"/>
            </w:tcBorders>
          </w:tcPr>
          <w:p w14:paraId="4F39241A"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(0.291)</w:t>
            </w:r>
          </w:p>
        </w:tc>
        <w:tc>
          <w:tcPr>
            <w:tcW w:w="869" w:type="pct"/>
            <w:tcBorders>
              <w:top w:val="nil"/>
              <w:left w:val="nil"/>
              <w:bottom w:val="nil"/>
              <w:right w:val="nil"/>
            </w:tcBorders>
          </w:tcPr>
          <w:p w14:paraId="5E2AC7AB"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(0.290)</w:t>
            </w:r>
          </w:p>
        </w:tc>
      </w:tr>
      <w:tr w:rsidR="00E94F5F" w:rsidRPr="006A05A1" w14:paraId="2DA95651" w14:textId="77777777" w:rsidTr="006A05A1">
        <w:trPr>
          <w:trHeight w:val="20"/>
          <w:jc w:val="center"/>
        </w:trPr>
        <w:tc>
          <w:tcPr>
            <w:tcW w:w="1524" w:type="pct"/>
            <w:tcBorders>
              <w:top w:val="nil"/>
              <w:left w:val="nil"/>
              <w:bottom w:val="nil"/>
              <w:right w:val="nil"/>
            </w:tcBorders>
          </w:tcPr>
          <w:p w14:paraId="2F463924" w14:textId="77777777" w:rsidR="00E94F5F" w:rsidRPr="006A05A1" w:rsidRDefault="00E94F5F" w:rsidP="00155715">
            <w:pPr>
              <w:widowControl w:val="0"/>
              <w:autoSpaceDE w:val="0"/>
              <w:autoSpaceDN w:val="0"/>
              <w:adjustRightInd w:val="0"/>
              <w:jc w:val="both"/>
              <w:rPr>
                <w:rFonts w:ascii="Garamond" w:hAnsi="Garamond"/>
                <w:sz w:val="20"/>
                <w:szCs w:val="20"/>
              </w:rPr>
            </w:pPr>
            <w:proofErr w:type="spellStart"/>
            <w:r w:rsidRPr="006A05A1">
              <w:rPr>
                <w:rFonts w:ascii="Garamond" w:hAnsi="Garamond"/>
                <w:sz w:val="20"/>
                <w:szCs w:val="20"/>
              </w:rPr>
              <w:t>Acuerdo_prot_inversion</w:t>
            </w:r>
            <w:proofErr w:type="spellEnd"/>
          </w:p>
        </w:tc>
        <w:tc>
          <w:tcPr>
            <w:tcW w:w="870" w:type="pct"/>
            <w:tcBorders>
              <w:top w:val="nil"/>
              <w:left w:val="nil"/>
              <w:bottom w:val="nil"/>
              <w:right w:val="nil"/>
            </w:tcBorders>
          </w:tcPr>
          <w:p w14:paraId="340AD499" w14:textId="77777777" w:rsidR="00E94F5F" w:rsidRPr="006A05A1" w:rsidRDefault="00E94F5F" w:rsidP="00155715">
            <w:pPr>
              <w:widowControl w:val="0"/>
              <w:autoSpaceDE w:val="0"/>
              <w:autoSpaceDN w:val="0"/>
              <w:adjustRightInd w:val="0"/>
              <w:jc w:val="both"/>
              <w:rPr>
                <w:rFonts w:ascii="Garamond" w:hAnsi="Garamond"/>
                <w:sz w:val="20"/>
                <w:szCs w:val="20"/>
              </w:rPr>
            </w:pPr>
          </w:p>
        </w:tc>
        <w:tc>
          <w:tcPr>
            <w:tcW w:w="869" w:type="pct"/>
            <w:tcBorders>
              <w:top w:val="nil"/>
              <w:left w:val="nil"/>
              <w:bottom w:val="nil"/>
              <w:right w:val="nil"/>
            </w:tcBorders>
          </w:tcPr>
          <w:p w14:paraId="1E8AC61A" w14:textId="77777777" w:rsidR="00E94F5F" w:rsidRPr="006A05A1" w:rsidRDefault="00E94F5F" w:rsidP="00155715">
            <w:pPr>
              <w:widowControl w:val="0"/>
              <w:autoSpaceDE w:val="0"/>
              <w:autoSpaceDN w:val="0"/>
              <w:adjustRightInd w:val="0"/>
              <w:jc w:val="both"/>
              <w:rPr>
                <w:rFonts w:ascii="Garamond" w:hAnsi="Garamond"/>
                <w:sz w:val="20"/>
                <w:szCs w:val="20"/>
              </w:rPr>
            </w:pPr>
          </w:p>
        </w:tc>
        <w:tc>
          <w:tcPr>
            <w:tcW w:w="869" w:type="pct"/>
            <w:tcBorders>
              <w:top w:val="nil"/>
              <w:left w:val="nil"/>
              <w:bottom w:val="nil"/>
              <w:right w:val="nil"/>
            </w:tcBorders>
          </w:tcPr>
          <w:p w14:paraId="4CDEA917" w14:textId="18698B1C" w:rsidR="00E94F5F" w:rsidRPr="006A05A1" w:rsidRDefault="00F53947"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w:t>
            </w:r>
            <w:r w:rsidR="00E94F5F" w:rsidRPr="006A05A1">
              <w:rPr>
                <w:rFonts w:ascii="Garamond" w:hAnsi="Garamond"/>
                <w:sz w:val="20"/>
                <w:szCs w:val="20"/>
              </w:rPr>
              <w:t>.276**</w:t>
            </w:r>
          </w:p>
        </w:tc>
        <w:tc>
          <w:tcPr>
            <w:tcW w:w="869" w:type="pct"/>
            <w:tcBorders>
              <w:top w:val="nil"/>
              <w:left w:val="nil"/>
              <w:bottom w:val="nil"/>
              <w:right w:val="nil"/>
            </w:tcBorders>
          </w:tcPr>
          <w:p w14:paraId="1509A270" w14:textId="3CEF4F8C" w:rsidR="00E94F5F" w:rsidRPr="006A05A1" w:rsidRDefault="00F53947"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w:t>
            </w:r>
            <w:r w:rsidR="00E94F5F" w:rsidRPr="006A05A1">
              <w:rPr>
                <w:rFonts w:ascii="Garamond" w:hAnsi="Garamond"/>
                <w:sz w:val="20"/>
                <w:szCs w:val="20"/>
              </w:rPr>
              <w:t>.976***</w:t>
            </w:r>
          </w:p>
        </w:tc>
      </w:tr>
      <w:tr w:rsidR="00E94F5F" w:rsidRPr="006A05A1" w14:paraId="695A12A7" w14:textId="77777777" w:rsidTr="006A05A1">
        <w:trPr>
          <w:trHeight w:val="20"/>
          <w:jc w:val="center"/>
        </w:trPr>
        <w:tc>
          <w:tcPr>
            <w:tcW w:w="1524" w:type="pct"/>
            <w:tcBorders>
              <w:top w:val="nil"/>
              <w:left w:val="nil"/>
              <w:bottom w:val="nil"/>
              <w:right w:val="nil"/>
            </w:tcBorders>
          </w:tcPr>
          <w:p w14:paraId="54611AAC" w14:textId="77777777" w:rsidR="00E94F5F" w:rsidRPr="006A05A1" w:rsidRDefault="00E94F5F" w:rsidP="00155715">
            <w:pPr>
              <w:widowControl w:val="0"/>
              <w:autoSpaceDE w:val="0"/>
              <w:autoSpaceDN w:val="0"/>
              <w:adjustRightInd w:val="0"/>
              <w:jc w:val="both"/>
              <w:rPr>
                <w:rFonts w:ascii="Garamond" w:hAnsi="Garamond"/>
                <w:sz w:val="20"/>
                <w:szCs w:val="20"/>
              </w:rPr>
            </w:pPr>
          </w:p>
        </w:tc>
        <w:tc>
          <w:tcPr>
            <w:tcW w:w="870" w:type="pct"/>
            <w:tcBorders>
              <w:top w:val="nil"/>
              <w:left w:val="nil"/>
              <w:bottom w:val="nil"/>
              <w:right w:val="nil"/>
            </w:tcBorders>
          </w:tcPr>
          <w:p w14:paraId="2C4909A2" w14:textId="77777777" w:rsidR="00E94F5F" w:rsidRPr="006A05A1" w:rsidRDefault="00E94F5F" w:rsidP="00155715">
            <w:pPr>
              <w:widowControl w:val="0"/>
              <w:autoSpaceDE w:val="0"/>
              <w:autoSpaceDN w:val="0"/>
              <w:adjustRightInd w:val="0"/>
              <w:jc w:val="both"/>
              <w:rPr>
                <w:rFonts w:ascii="Garamond" w:hAnsi="Garamond"/>
                <w:sz w:val="20"/>
                <w:szCs w:val="20"/>
              </w:rPr>
            </w:pPr>
          </w:p>
        </w:tc>
        <w:tc>
          <w:tcPr>
            <w:tcW w:w="869" w:type="pct"/>
            <w:tcBorders>
              <w:top w:val="nil"/>
              <w:left w:val="nil"/>
              <w:bottom w:val="nil"/>
              <w:right w:val="nil"/>
            </w:tcBorders>
          </w:tcPr>
          <w:p w14:paraId="09035AD4" w14:textId="77777777" w:rsidR="00E94F5F" w:rsidRPr="006A05A1" w:rsidRDefault="00E94F5F" w:rsidP="00155715">
            <w:pPr>
              <w:widowControl w:val="0"/>
              <w:autoSpaceDE w:val="0"/>
              <w:autoSpaceDN w:val="0"/>
              <w:adjustRightInd w:val="0"/>
              <w:jc w:val="both"/>
              <w:rPr>
                <w:rFonts w:ascii="Garamond" w:hAnsi="Garamond"/>
                <w:sz w:val="20"/>
                <w:szCs w:val="20"/>
              </w:rPr>
            </w:pPr>
          </w:p>
        </w:tc>
        <w:tc>
          <w:tcPr>
            <w:tcW w:w="869" w:type="pct"/>
            <w:tcBorders>
              <w:top w:val="nil"/>
              <w:left w:val="nil"/>
              <w:bottom w:val="nil"/>
              <w:right w:val="nil"/>
            </w:tcBorders>
          </w:tcPr>
          <w:p w14:paraId="60C03BB9"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(0.594)</w:t>
            </w:r>
          </w:p>
        </w:tc>
        <w:tc>
          <w:tcPr>
            <w:tcW w:w="869" w:type="pct"/>
            <w:tcBorders>
              <w:top w:val="nil"/>
              <w:left w:val="nil"/>
              <w:bottom w:val="nil"/>
              <w:right w:val="nil"/>
            </w:tcBorders>
          </w:tcPr>
          <w:p w14:paraId="49C017B3"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(0.475)</w:t>
            </w:r>
          </w:p>
        </w:tc>
      </w:tr>
      <w:tr w:rsidR="00E94F5F" w:rsidRPr="006A05A1" w14:paraId="56072309" w14:textId="77777777" w:rsidTr="006A05A1">
        <w:trPr>
          <w:trHeight w:val="20"/>
          <w:jc w:val="center"/>
        </w:trPr>
        <w:tc>
          <w:tcPr>
            <w:tcW w:w="1524" w:type="pct"/>
            <w:tcBorders>
              <w:top w:val="nil"/>
              <w:left w:val="nil"/>
              <w:bottom w:val="nil"/>
              <w:right w:val="nil"/>
            </w:tcBorders>
          </w:tcPr>
          <w:p w14:paraId="3F8A8EB3" w14:textId="77777777" w:rsidR="00E94F5F" w:rsidRPr="006A05A1" w:rsidRDefault="00E94F5F" w:rsidP="00155715">
            <w:pPr>
              <w:widowControl w:val="0"/>
              <w:autoSpaceDE w:val="0"/>
              <w:autoSpaceDN w:val="0"/>
              <w:adjustRightInd w:val="0"/>
              <w:jc w:val="both"/>
              <w:rPr>
                <w:rFonts w:ascii="Garamond" w:hAnsi="Garamond"/>
                <w:sz w:val="20"/>
                <w:szCs w:val="20"/>
              </w:rPr>
            </w:pPr>
            <w:proofErr w:type="spellStart"/>
            <w:r w:rsidRPr="006A05A1">
              <w:rPr>
                <w:rFonts w:ascii="Garamond" w:hAnsi="Garamond"/>
                <w:sz w:val="20"/>
                <w:szCs w:val="20"/>
              </w:rPr>
              <w:t>Distancia_km</w:t>
            </w:r>
            <w:proofErr w:type="spellEnd"/>
          </w:p>
        </w:tc>
        <w:tc>
          <w:tcPr>
            <w:tcW w:w="870" w:type="pct"/>
            <w:tcBorders>
              <w:top w:val="nil"/>
              <w:left w:val="nil"/>
              <w:bottom w:val="nil"/>
              <w:right w:val="nil"/>
            </w:tcBorders>
          </w:tcPr>
          <w:p w14:paraId="4191306F" w14:textId="77777777" w:rsidR="00E94F5F" w:rsidRPr="006A05A1" w:rsidRDefault="00E94F5F" w:rsidP="00155715">
            <w:pPr>
              <w:widowControl w:val="0"/>
              <w:autoSpaceDE w:val="0"/>
              <w:autoSpaceDN w:val="0"/>
              <w:adjustRightInd w:val="0"/>
              <w:jc w:val="both"/>
              <w:rPr>
                <w:rFonts w:ascii="Garamond" w:hAnsi="Garamond"/>
                <w:sz w:val="20"/>
                <w:szCs w:val="20"/>
              </w:rPr>
            </w:pPr>
          </w:p>
        </w:tc>
        <w:tc>
          <w:tcPr>
            <w:tcW w:w="869" w:type="pct"/>
            <w:tcBorders>
              <w:top w:val="nil"/>
              <w:left w:val="nil"/>
              <w:bottom w:val="nil"/>
              <w:right w:val="nil"/>
            </w:tcBorders>
          </w:tcPr>
          <w:p w14:paraId="79FBF022" w14:textId="77777777" w:rsidR="00E94F5F" w:rsidRPr="006A05A1" w:rsidRDefault="00E94F5F" w:rsidP="00155715">
            <w:pPr>
              <w:widowControl w:val="0"/>
              <w:autoSpaceDE w:val="0"/>
              <w:autoSpaceDN w:val="0"/>
              <w:adjustRightInd w:val="0"/>
              <w:jc w:val="both"/>
              <w:rPr>
                <w:rFonts w:ascii="Garamond" w:hAnsi="Garamond"/>
                <w:sz w:val="20"/>
                <w:szCs w:val="20"/>
              </w:rPr>
            </w:pPr>
          </w:p>
        </w:tc>
        <w:tc>
          <w:tcPr>
            <w:tcW w:w="869" w:type="pct"/>
            <w:tcBorders>
              <w:top w:val="nil"/>
              <w:left w:val="nil"/>
              <w:bottom w:val="nil"/>
              <w:right w:val="nil"/>
            </w:tcBorders>
          </w:tcPr>
          <w:p w14:paraId="51383213" w14:textId="77777777" w:rsidR="00E94F5F" w:rsidRPr="006A05A1" w:rsidRDefault="00E94F5F" w:rsidP="00155715">
            <w:pPr>
              <w:widowControl w:val="0"/>
              <w:autoSpaceDE w:val="0"/>
              <w:autoSpaceDN w:val="0"/>
              <w:adjustRightInd w:val="0"/>
              <w:jc w:val="both"/>
              <w:rPr>
                <w:rFonts w:ascii="Garamond" w:hAnsi="Garamond"/>
                <w:sz w:val="20"/>
                <w:szCs w:val="20"/>
              </w:rPr>
            </w:pPr>
          </w:p>
        </w:tc>
        <w:tc>
          <w:tcPr>
            <w:tcW w:w="869" w:type="pct"/>
            <w:tcBorders>
              <w:top w:val="nil"/>
              <w:left w:val="nil"/>
              <w:bottom w:val="nil"/>
              <w:right w:val="nil"/>
            </w:tcBorders>
          </w:tcPr>
          <w:p w14:paraId="73E5E821"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-0.000212***</w:t>
            </w:r>
          </w:p>
        </w:tc>
      </w:tr>
      <w:tr w:rsidR="00E94F5F" w:rsidRPr="006A05A1" w14:paraId="2EE4276A" w14:textId="77777777" w:rsidTr="006A05A1">
        <w:trPr>
          <w:trHeight w:val="20"/>
          <w:jc w:val="center"/>
        </w:trPr>
        <w:tc>
          <w:tcPr>
            <w:tcW w:w="1524" w:type="pct"/>
            <w:tcBorders>
              <w:top w:val="nil"/>
              <w:left w:val="nil"/>
              <w:bottom w:val="nil"/>
              <w:right w:val="nil"/>
            </w:tcBorders>
          </w:tcPr>
          <w:p w14:paraId="6AD80395" w14:textId="77777777" w:rsidR="00E94F5F" w:rsidRPr="006A05A1" w:rsidRDefault="00E94F5F" w:rsidP="00155715">
            <w:pPr>
              <w:widowControl w:val="0"/>
              <w:autoSpaceDE w:val="0"/>
              <w:autoSpaceDN w:val="0"/>
              <w:adjustRightInd w:val="0"/>
              <w:jc w:val="both"/>
              <w:rPr>
                <w:rFonts w:ascii="Garamond" w:hAnsi="Garamond"/>
                <w:sz w:val="20"/>
                <w:szCs w:val="20"/>
              </w:rPr>
            </w:pPr>
          </w:p>
        </w:tc>
        <w:tc>
          <w:tcPr>
            <w:tcW w:w="870" w:type="pct"/>
            <w:tcBorders>
              <w:top w:val="nil"/>
              <w:left w:val="nil"/>
              <w:bottom w:val="nil"/>
              <w:right w:val="nil"/>
            </w:tcBorders>
          </w:tcPr>
          <w:p w14:paraId="7C0E59DF" w14:textId="77777777" w:rsidR="00E94F5F" w:rsidRPr="006A05A1" w:rsidRDefault="00E94F5F" w:rsidP="00155715">
            <w:pPr>
              <w:widowControl w:val="0"/>
              <w:autoSpaceDE w:val="0"/>
              <w:autoSpaceDN w:val="0"/>
              <w:adjustRightInd w:val="0"/>
              <w:jc w:val="both"/>
              <w:rPr>
                <w:rFonts w:ascii="Garamond" w:hAnsi="Garamond"/>
                <w:sz w:val="20"/>
                <w:szCs w:val="20"/>
              </w:rPr>
            </w:pPr>
          </w:p>
        </w:tc>
        <w:tc>
          <w:tcPr>
            <w:tcW w:w="869" w:type="pct"/>
            <w:tcBorders>
              <w:top w:val="nil"/>
              <w:left w:val="nil"/>
              <w:bottom w:val="nil"/>
              <w:right w:val="nil"/>
            </w:tcBorders>
          </w:tcPr>
          <w:p w14:paraId="4D9AABD5" w14:textId="77777777" w:rsidR="00E94F5F" w:rsidRPr="006A05A1" w:rsidRDefault="00E94F5F" w:rsidP="00155715">
            <w:pPr>
              <w:widowControl w:val="0"/>
              <w:autoSpaceDE w:val="0"/>
              <w:autoSpaceDN w:val="0"/>
              <w:adjustRightInd w:val="0"/>
              <w:jc w:val="both"/>
              <w:rPr>
                <w:rFonts w:ascii="Garamond" w:hAnsi="Garamond"/>
                <w:sz w:val="20"/>
                <w:szCs w:val="20"/>
              </w:rPr>
            </w:pPr>
          </w:p>
        </w:tc>
        <w:tc>
          <w:tcPr>
            <w:tcW w:w="869" w:type="pct"/>
            <w:tcBorders>
              <w:top w:val="nil"/>
              <w:left w:val="nil"/>
              <w:bottom w:val="nil"/>
              <w:right w:val="nil"/>
            </w:tcBorders>
          </w:tcPr>
          <w:p w14:paraId="41BEF2E7" w14:textId="77777777" w:rsidR="00E94F5F" w:rsidRPr="006A05A1" w:rsidRDefault="00E94F5F" w:rsidP="00155715">
            <w:pPr>
              <w:widowControl w:val="0"/>
              <w:autoSpaceDE w:val="0"/>
              <w:autoSpaceDN w:val="0"/>
              <w:adjustRightInd w:val="0"/>
              <w:jc w:val="both"/>
              <w:rPr>
                <w:rFonts w:ascii="Garamond" w:hAnsi="Garamond"/>
                <w:sz w:val="20"/>
                <w:szCs w:val="20"/>
              </w:rPr>
            </w:pPr>
          </w:p>
        </w:tc>
        <w:tc>
          <w:tcPr>
            <w:tcW w:w="869" w:type="pct"/>
            <w:tcBorders>
              <w:top w:val="nil"/>
              <w:left w:val="nil"/>
              <w:bottom w:val="nil"/>
              <w:right w:val="nil"/>
            </w:tcBorders>
          </w:tcPr>
          <w:p w14:paraId="557970AB"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(3.63e-05)</w:t>
            </w:r>
          </w:p>
        </w:tc>
      </w:tr>
      <w:tr w:rsidR="00E94F5F" w:rsidRPr="006A05A1" w14:paraId="5CB07873" w14:textId="77777777" w:rsidTr="006A05A1">
        <w:trPr>
          <w:trHeight w:val="20"/>
          <w:jc w:val="center"/>
        </w:trPr>
        <w:tc>
          <w:tcPr>
            <w:tcW w:w="1524" w:type="pct"/>
            <w:tcBorders>
              <w:top w:val="nil"/>
              <w:left w:val="nil"/>
              <w:bottom w:val="nil"/>
              <w:right w:val="nil"/>
            </w:tcBorders>
          </w:tcPr>
          <w:p w14:paraId="01C8D871"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SP_500</w:t>
            </w:r>
          </w:p>
        </w:tc>
        <w:tc>
          <w:tcPr>
            <w:tcW w:w="870" w:type="pct"/>
            <w:tcBorders>
              <w:top w:val="nil"/>
              <w:left w:val="nil"/>
              <w:bottom w:val="nil"/>
              <w:right w:val="nil"/>
            </w:tcBorders>
          </w:tcPr>
          <w:p w14:paraId="11240CBE" w14:textId="77777777" w:rsidR="00E94F5F" w:rsidRPr="006A05A1" w:rsidRDefault="00E94F5F" w:rsidP="00155715">
            <w:pPr>
              <w:widowControl w:val="0"/>
              <w:autoSpaceDE w:val="0"/>
              <w:autoSpaceDN w:val="0"/>
              <w:adjustRightInd w:val="0"/>
              <w:jc w:val="both"/>
              <w:rPr>
                <w:rFonts w:ascii="Garamond" w:hAnsi="Garamond"/>
                <w:sz w:val="20"/>
                <w:szCs w:val="20"/>
              </w:rPr>
            </w:pPr>
          </w:p>
        </w:tc>
        <w:tc>
          <w:tcPr>
            <w:tcW w:w="869" w:type="pct"/>
            <w:tcBorders>
              <w:top w:val="nil"/>
              <w:left w:val="nil"/>
              <w:bottom w:val="nil"/>
              <w:right w:val="nil"/>
            </w:tcBorders>
          </w:tcPr>
          <w:p w14:paraId="2F099684" w14:textId="77777777" w:rsidR="00E94F5F" w:rsidRPr="006A05A1" w:rsidRDefault="00E94F5F" w:rsidP="00155715">
            <w:pPr>
              <w:widowControl w:val="0"/>
              <w:autoSpaceDE w:val="0"/>
              <w:autoSpaceDN w:val="0"/>
              <w:adjustRightInd w:val="0"/>
              <w:jc w:val="both"/>
              <w:rPr>
                <w:rFonts w:ascii="Garamond" w:hAnsi="Garamond"/>
                <w:sz w:val="20"/>
                <w:szCs w:val="20"/>
              </w:rPr>
            </w:pPr>
          </w:p>
        </w:tc>
        <w:tc>
          <w:tcPr>
            <w:tcW w:w="869" w:type="pct"/>
            <w:tcBorders>
              <w:top w:val="nil"/>
              <w:left w:val="nil"/>
              <w:bottom w:val="nil"/>
              <w:right w:val="nil"/>
            </w:tcBorders>
          </w:tcPr>
          <w:p w14:paraId="1DE006FE" w14:textId="77777777" w:rsidR="00E94F5F" w:rsidRPr="006A05A1" w:rsidRDefault="00E94F5F" w:rsidP="00155715">
            <w:pPr>
              <w:widowControl w:val="0"/>
              <w:autoSpaceDE w:val="0"/>
              <w:autoSpaceDN w:val="0"/>
              <w:adjustRightInd w:val="0"/>
              <w:jc w:val="both"/>
              <w:rPr>
                <w:rFonts w:ascii="Garamond" w:hAnsi="Garamond"/>
                <w:sz w:val="20"/>
                <w:szCs w:val="20"/>
              </w:rPr>
            </w:pPr>
          </w:p>
        </w:tc>
        <w:tc>
          <w:tcPr>
            <w:tcW w:w="869" w:type="pct"/>
            <w:tcBorders>
              <w:top w:val="nil"/>
              <w:left w:val="nil"/>
              <w:bottom w:val="nil"/>
              <w:right w:val="nil"/>
            </w:tcBorders>
          </w:tcPr>
          <w:p w14:paraId="36790B3A"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-5.82e-05</w:t>
            </w:r>
          </w:p>
        </w:tc>
      </w:tr>
      <w:tr w:rsidR="00E94F5F" w:rsidRPr="006A05A1" w14:paraId="7547EC02" w14:textId="77777777" w:rsidTr="006A05A1">
        <w:trPr>
          <w:trHeight w:val="20"/>
          <w:jc w:val="center"/>
        </w:trPr>
        <w:tc>
          <w:tcPr>
            <w:tcW w:w="1524" w:type="pct"/>
            <w:tcBorders>
              <w:top w:val="nil"/>
              <w:left w:val="nil"/>
              <w:bottom w:val="nil"/>
              <w:right w:val="nil"/>
            </w:tcBorders>
          </w:tcPr>
          <w:p w14:paraId="7909BF72" w14:textId="77777777" w:rsidR="00E94F5F" w:rsidRPr="006A05A1" w:rsidRDefault="00E94F5F" w:rsidP="00155715">
            <w:pPr>
              <w:widowControl w:val="0"/>
              <w:autoSpaceDE w:val="0"/>
              <w:autoSpaceDN w:val="0"/>
              <w:adjustRightInd w:val="0"/>
              <w:jc w:val="both"/>
              <w:rPr>
                <w:rFonts w:ascii="Garamond" w:hAnsi="Garamond"/>
                <w:sz w:val="20"/>
                <w:szCs w:val="20"/>
              </w:rPr>
            </w:pPr>
          </w:p>
        </w:tc>
        <w:tc>
          <w:tcPr>
            <w:tcW w:w="870" w:type="pct"/>
            <w:tcBorders>
              <w:top w:val="nil"/>
              <w:left w:val="nil"/>
              <w:bottom w:val="nil"/>
              <w:right w:val="nil"/>
            </w:tcBorders>
          </w:tcPr>
          <w:p w14:paraId="0602794B" w14:textId="77777777" w:rsidR="00E94F5F" w:rsidRPr="006A05A1" w:rsidRDefault="00E94F5F" w:rsidP="00155715">
            <w:pPr>
              <w:widowControl w:val="0"/>
              <w:autoSpaceDE w:val="0"/>
              <w:autoSpaceDN w:val="0"/>
              <w:adjustRightInd w:val="0"/>
              <w:jc w:val="both"/>
              <w:rPr>
                <w:rFonts w:ascii="Garamond" w:hAnsi="Garamond"/>
                <w:sz w:val="20"/>
                <w:szCs w:val="20"/>
              </w:rPr>
            </w:pPr>
          </w:p>
        </w:tc>
        <w:tc>
          <w:tcPr>
            <w:tcW w:w="869" w:type="pct"/>
            <w:tcBorders>
              <w:top w:val="nil"/>
              <w:left w:val="nil"/>
              <w:bottom w:val="nil"/>
              <w:right w:val="nil"/>
            </w:tcBorders>
          </w:tcPr>
          <w:p w14:paraId="27F3F5E8" w14:textId="77777777" w:rsidR="00E94F5F" w:rsidRPr="006A05A1" w:rsidRDefault="00E94F5F" w:rsidP="00155715">
            <w:pPr>
              <w:widowControl w:val="0"/>
              <w:autoSpaceDE w:val="0"/>
              <w:autoSpaceDN w:val="0"/>
              <w:adjustRightInd w:val="0"/>
              <w:jc w:val="both"/>
              <w:rPr>
                <w:rFonts w:ascii="Garamond" w:hAnsi="Garamond"/>
                <w:sz w:val="20"/>
                <w:szCs w:val="20"/>
              </w:rPr>
            </w:pPr>
          </w:p>
        </w:tc>
        <w:tc>
          <w:tcPr>
            <w:tcW w:w="869" w:type="pct"/>
            <w:tcBorders>
              <w:top w:val="nil"/>
              <w:left w:val="nil"/>
              <w:bottom w:val="nil"/>
              <w:right w:val="nil"/>
            </w:tcBorders>
          </w:tcPr>
          <w:p w14:paraId="552D9FF2" w14:textId="77777777" w:rsidR="00E94F5F" w:rsidRPr="006A05A1" w:rsidRDefault="00E94F5F" w:rsidP="00155715">
            <w:pPr>
              <w:widowControl w:val="0"/>
              <w:autoSpaceDE w:val="0"/>
              <w:autoSpaceDN w:val="0"/>
              <w:adjustRightInd w:val="0"/>
              <w:jc w:val="both"/>
              <w:rPr>
                <w:rFonts w:ascii="Garamond" w:hAnsi="Garamond"/>
                <w:sz w:val="20"/>
                <w:szCs w:val="20"/>
              </w:rPr>
            </w:pPr>
          </w:p>
        </w:tc>
        <w:tc>
          <w:tcPr>
            <w:tcW w:w="869" w:type="pct"/>
            <w:tcBorders>
              <w:top w:val="nil"/>
              <w:left w:val="nil"/>
              <w:bottom w:val="nil"/>
              <w:right w:val="nil"/>
            </w:tcBorders>
          </w:tcPr>
          <w:p w14:paraId="525DD883"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(7.58e-05)</w:t>
            </w:r>
          </w:p>
        </w:tc>
      </w:tr>
      <w:tr w:rsidR="00E94F5F" w:rsidRPr="006A05A1" w14:paraId="2363B611" w14:textId="77777777" w:rsidTr="006A05A1">
        <w:trPr>
          <w:trHeight w:val="20"/>
          <w:jc w:val="center"/>
        </w:trPr>
        <w:tc>
          <w:tcPr>
            <w:tcW w:w="1524" w:type="pct"/>
            <w:tcBorders>
              <w:top w:val="nil"/>
              <w:left w:val="nil"/>
              <w:bottom w:val="nil"/>
              <w:right w:val="nil"/>
            </w:tcBorders>
          </w:tcPr>
          <w:p w14:paraId="6336016F"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Brent</w:t>
            </w:r>
          </w:p>
        </w:tc>
        <w:tc>
          <w:tcPr>
            <w:tcW w:w="870" w:type="pct"/>
            <w:tcBorders>
              <w:top w:val="nil"/>
              <w:left w:val="nil"/>
              <w:bottom w:val="nil"/>
              <w:right w:val="nil"/>
            </w:tcBorders>
          </w:tcPr>
          <w:p w14:paraId="29E1F124" w14:textId="77777777" w:rsidR="00E94F5F" w:rsidRPr="006A05A1" w:rsidRDefault="00E94F5F" w:rsidP="00155715">
            <w:pPr>
              <w:widowControl w:val="0"/>
              <w:autoSpaceDE w:val="0"/>
              <w:autoSpaceDN w:val="0"/>
              <w:adjustRightInd w:val="0"/>
              <w:jc w:val="both"/>
              <w:rPr>
                <w:rFonts w:ascii="Garamond" w:hAnsi="Garamond"/>
                <w:sz w:val="20"/>
                <w:szCs w:val="20"/>
              </w:rPr>
            </w:pPr>
          </w:p>
        </w:tc>
        <w:tc>
          <w:tcPr>
            <w:tcW w:w="869" w:type="pct"/>
            <w:tcBorders>
              <w:top w:val="nil"/>
              <w:left w:val="nil"/>
              <w:bottom w:val="nil"/>
              <w:right w:val="nil"/>
            </w:tcBorders>
          </w:tcPr>
          <w:p w14:paraId="5BECC88B" w14:textId="77777777" w:rsidR="00E94F5F" w:rsidRPr="006A05A1" w:rsidRDefault="00E94F5F" w:rsidP="00155715">
            <w:pPr>
              <w:widowControl w:val="0"/>
              <w:autoSpaceDE w:val="0"/>
              <w:autoSpaceDN w:val="0"/>
              <w:adjustRightInd w:val="0"/>
              <w:jc w:val="both"/>
              <w:rPr>
                <w:rFonts w:ascii="Garamond" w:hAnsi="Garamond"/>
                <w:sz w:val="20"/>
                <w:szCs w:val="20"/>
              </w:rPr>
            </w:pPr>
          </w:p>
        </w:tc>
        <w:tc>
          <w:tcPr>
            <w:tcW w:w="869" w:type="pct"/>
            <w:tcBorders>
              <w:top w:val="nil"/>
              <w:left w:val="nil"/>
              <w:bottom w:val="nil"/>
              <w:right w:val="nil"/>
            </w:tcBorders>
          </w:tcPr>
          <w:p w14:paraId="25D66DDD" w14:textId="77777777" w:rsidR="00E94F5F" w:rsidRPr="006A05A1" w:rsidRDefault="00E94F5F" w:rsidP="00155715">
            <w:pPr>
              <w:widowControl w:val="0"/>
              <w:autoSpaceDE w:val="0"/>
              <w:autoSpaceDN w:val="0"/>
              <w:adjustRightInd w:val="0"/>
              <w:jc w:val="both"/>
              <w:rPr>
                <w:rFonts w:ascii="Garamond" w:hAnsi="Garamond"/>
                <w:sz w:val="20"/>
                <w:szCs w:val="20"/>
              </w:rPr>
            </w:pPr>
          </w:p>
        </w:tc>
        <w:tc>
          <w:tcPr>
            <w:tcW w:w="869" w:type="pct"/>
            <w:tcBorders>
              <w:top w:val="nil"/>
              <w:left w:val="nil"/>
              <w:bottom w:val="nil"/>
              <w:right w:val="nil"/>
            </w:tcBorders>
          </w:tcPr>
          <w:p w14:paraId="2E418A4F"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0.00596***</w:t>
            </w:r>
          </w:p>
        </w:tc>
      </w:tr>
      <w:tr w:rsidR="00E94F5F" w:rsidRPr="006A05A1" w14:paraId="62877D07" w14:textId="77777777" w:rsidTr="006A05A1">
        <w:trPr>
          <w:trHeight w:val="20"/>
          <w:jc w:val="center"/>
        </w:trPr>
        <w:tc>
          <w:tcPr>
            <w:tcW w:w="1524" w:type="pct"/>
            <w:tcBorders>
              <w:top w:val="nil"/>
              <w:left w:val="nil"/>
              <w:bottom w:val="nil"/>
              <w:right w:val="nil"/>
            </w:tcBorders>
          </w:tcPr>
          <w:p w14:paraId="434C7AF3" w14:textId="77777777" w:rsidR="00E94F5F" w:rsidRPr="006A05A1" w:rsidRDefault="00E94F5F" w:rsidP="00155715">
            <w:pPr>
              <w:widowControl w:val="0"/>
              <w:autoSpaceDE w:val="0"/>
              <w:autoSpaceDN w:val="0"/>
              <w:adjustRightInd w:val="0"/>
              <w:jc w:val="both"/>
              <w:rPr>
                <w:rFonts w:ascii="Garamond" w:hAnsi="Garamond"/>
                <w:sz w:val="20"/>
                <w:szCs w:val="20"/>
              </w:rPr>
            </w:pPr>
          </w:p>
        </w:tc>
        <w:tc>
          <w:tcPr>
            <w:tcW w:w="870" w:type="pct"/>
            <w:tcBorders>
              <w:top w:val="nil"/>
              <w:left w:val="nil"/>
              <w:bottom w:val="nil"/>
              <w:right w:val="nil"/>
            </w:tcBorders>
          </w:tcPr>
          <w:p w14:paraId="68158EC5" w14:textId="77777777" w:rsidR="00E94F5F" w:rsidRPr="006A05A1" w:rsidRDefault="00E94F5F" w:rsidP="00155715">
            <w:pPr>
              <w:widowControl w:val="0"/>
              <w:autoSpaceDE w:val="0"/>
              <w:autoSpaceDN w:val="0"/>
              <w:adjustRightInd w:val="0"/>
              <w:jc w:val="both"/>
              <w:rPr>
                <w:rFonts w:ascii="Garamond" w:hAnsi="Garamond"/>
                <w:sz w:val="20"/>
                <w:szCs w:val="20"/>
              </w:rPr>
            </w:pPr>
          </w:p>
        </w:tc>
        <w:tc>
          <w:tcPr>
            <w:tcW w:w="869" w:type="pct"/>
            <w:tcBorders>
              <w:top w:val="nil"/>
              <w:left w:val="nil"/>
              <w:bottom w:val="nil"/>
              <w:right w:val="nil"/>
            </w:tcBorders>
          </w:tcPr>
          <w:p w14:paraId="1E131B3F" w14:textId="77777777" w:rsidR="00E94F5F" w:rsidRPr="006A05A1" w:rsidRDefault="00E94F5F" w:rsidP="00155715">
            <w:pPr>
              <w:widowControl w:val="0"/>
              <w:autoSpaceDE w:val="0"/>
              <w:autoSpaceDN w:val="0"/>
              <w:adjustRightInd w:val="0"/>
              <w:jc w:val="both"/>
              <w:rPr>
                <w:rFonts w:ascii="Garamond" w:hAnsi="Garamond"/>
                <w:sz w:val="20"/>
                <w:szCs w:val="20"/>
              </w:rPr>
            </w:pPr>
          </w:p>
        </w:tc>
        <w:tc>
          <w:tcPr>
            <w:tcW w:w="869" w:type="pct"/>
            <w:tcBorders>
              <w:top w:val="nil"/>
              <w:left w:val="nil"/>
              <w:bottom w:val="nil"/>
              <w:right w:val="nil"/>
            </w:tcBorders>
          </w:tcPr>
          <w:p w14:paraId="5E090724" w14:textId="77777777" w:rsidR="00E94F5F" w:rsidRPr="006A05A1" w:rsidRDefault="00E94F5F" w:rsidP="00155715">
            <w:pPr>
              <w:widowControl w:val="0"/>
              <w:autoSpaceDE w:val="0"/>
              <w:autoSpaceDN w:val="0"/>
              <w:adjustRightInd w:val="0"/>
              <w:jc w:val="both"/>
              <w:rPr>
                <w:rFonts w:ascii="Garamond" w:hAnsi="Garamond"/>
                <w:sz w:val="20"/>
                <w:szCs w:val="20"/>
              </w:rPr>
            </w:pPr>
          </w:p>
        </w:tc>
        <w:tc>
          <w:tcPr>
            <w:tcW w:w="869" w:type="pct"/>
            <w:tcBorders>
              <w:top w:val="nil"/>
              <w:left w:val="nil"/>
              <w:bottom w:val="nil"/>
              <w:right w:val="nil"/>
            </w:tcBorders>
          </w:tcPr>
          <w:p w14:paraId="1B63E651"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(0.00174)</w:t>
            </w:r>
          </w:p>
        </w:tc>
      </w:tr>
      <w:tr w:rsidR="00E94F5F" w:rsidRPr="006A05A1" w14:paraId="5B9540F9" w14:textId="77777777" w:rsidTr="006A05A1">
        <w:trPr>
          <w:trHeight w:val="20"/>
          <w:jc w:val="center"/>
        </w:trPr>
        <w:tc>
          <w:tcPr>
            <w:tcW w:w="1524" w:type="pct"/>
            <w:tcBorders>
              <w:top w:val="nil"/>
              <w:left w:val="nil"/>
              <w:bottom w:val="nil"/>
              <w:right w:val="nil"/>
            </w:tcBorders>
          </w:tcPr>
          <w:p w14:paraId="02D459F3"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Constant</w:t>
            </w:r>
          </w:p>
        </w:tc>
        <w:tc>
          <w:tcPr>
            <w:tcW w:w="870" w:type="pct"/>
            <w:tcBorders>
              <w:top w:val="nil"/>
              <w:left w:val="nil"/>
              <w:bottom w:val="nil"/>
              <w:right w:val="nil"/>
            </w:tcBorders>
          </w:tcPr>
          <w:p w14:paraId="278B820A"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2.743***</w:t>
            </w:r>
          </w:p>
        </w:tc>
        <w:tc>
          <w:tcPr>
            <w:tcW w:w="869" w:type="pct"/>
            <w:tcBorders>
              <w:top w:val="nil"/>
              <w:left w:val="nil"/>
              <w:bottom w:val="nil"/>
              <w:right w:val="nil"/>
            </w:tcBorders>
          </w:tcPr>
          <w:p w14:paraId="2E088D68"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1.763***</w:t>
            </w:r>
          </w:p>
        </w:tc>
        <w:tc>
          <w:tcPr>
            <w:tcW w:w="869" w:type="pct"/>
            <w:tcBorders>
              <w:top w:val="nil"/>
              <w:left w:val="nil"/>
              <w:bottom w:val="nil"/>
              <w:right w:val="nil"/>
            </w:tcBorders>
          </w:tcPr>
          <w:p w14:paraId="19259C1C"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1.557***</w:t>
            </w:r>
          </w:p>
        </w:tc>
        <w:tc>
          <w:tcPr>
            <w:tcW w:w="869" w:type="pct"/>
            <w:tcBorders>
              <w:top w:val="nil"/>
              <w:left w:val="nil"/>
              <w:bottom w:val="nil"/>
              <w:right w:val="nil"/>
            </w:tcBorders>
          </w:tcPr>
          <w:p w14:paraId="52E2A308"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3.043***</w:t>
            </w:r>
          </w:p>
        </w:tc>
      </w:tr>
      <w:tr w:rsidR="00E94F5F" w:rsidRPr="006A05A1" w14:paraId="00AD1030" w14:textId="77777777" w:rsidTr="006A05A1">
        <w:trPr>
          <w:trHeight w:val="20"/>
          <w:jc w:val="center"/>
        </w:trPr>
        <w:tc>
          <w:tcPr>
            <w:tcW w:w="1524" w:type="pct"/>
            <w:tcBorders>
              <w:top w:val="nil"/>
              <w:left w:val="nil"/>
              <w:bottom w:val="nil"/>
              <w:right w:val="nil"/>
            </w:tcBorders>
          </w:tcPr>
          <w:p w14:paraId="07EA6CD9" w14:textId="77777777" w:rsidR="00E94F5F" w:rsidRPr="006A05A1" w:rsidRDefault="00E94F5F" w:rsidP="00155715">
            <w:pPr>
              <w:widowControl w:val="0"/>
              <w:autoSpaceDE w:val="0"/>
              <w:autoSpaceDN w:val="0"/>
              <w:adjustRightInd w:val="0"/>
              <w:jc w:val="both"/>
              <w:rPr>
                <w:rFonts w:ascii="Garamond" w:hAnsi="Garamond"/>
                <w:sz w:val="20"/>
                <w:szCs w:val="20"/>
              </w:rPr>
            </w:pPr>
          </w:p>
        </w:tc>
        <w:tc>
          <w:tcPr>
            <w:tcW w:w="870" w:type="pct"/>
            <w:tcBorders>
              <w:top w:val="nil"/>
              <w:left w:val="nil"/>
              <w:bottom w:val="nil"/>
              <w:right w:val="nil"/>
            </w:tcBorders>
          </w:tcPr>
          <w:p w14:paraId="475E72E2"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(0.412)</w:t>
            </w:r>
          </w:p>
        </w:tc>
        <w:tc>
          <w:tcPr>
            <w:tcW w:w="869" w:type="pct"/>
            <w:tcBorders>
              <w:top w:val="nil"/>
              <w:left w:val="nil"/>
              <w:bottom w:val="nil"/>
              <w:right w:val="nil"/>
            </w:tcBorders>
          </w:tcPr>
          <w:p w14:paraId="0D6A2ED5"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(0.588)</w:t>
            </w:r>
          </w:p>
        </w:tc>
        <w:tc>
          <w:tcPr>
            <w:tcW w:w="869" w:type="pct"/>
            <w:tcBorders>
              <w:top w:val="nil"/>
              <w:left w:val="nil"/>
              <w:bottom w:val="nil"/>
              <w:right w:val="nil"/>
            </w:tcBorders>
          </w:tcPr>
          <w:p w14:paraId="3D9355FB"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(0.558)</w:t>
            </w:r>
          </w:p>
        </w:tc>
        <w:tc>
          <w:tcPr>
            <w:tcW w:w="869" w:type="pct"/>
            <w:tcBorders>
              <w:top w:val="nil"/>
              <w:left w:val="nil"/>
              <w:bottom w:val="nil"/>
              <w:right w:val="nil"/>
            </w:tcBorders>
          </w:tcPr>
          <w:p w14:paraId="5856454A"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(0.782)</w:t>
            </w:r>
          </w:p>
        </w:tc>
      </w:tr>
      <w:tr w:rsidR="00E94F5F" w:rsidRPr="006A05A1" w14:paraId="24227849" w14:textId="77777777" w:rsidTr="006A05A1">
        <w:trPr>
          <w:trHeight w:val="20"/>
          <w:jc w:val="center"/>
        </w:trPr>
        <w:tc>
          <w:tcPr>
            <w:tcW w:w="1524" w:type="pct"/>
            <w:tcBorders>
              <w:top w:val="nil"/>
              <w:left w:val="nil"/>
              <w:bottom w:val="nil"/>
              <w:right w:val="nil"/>
            </w:tcBorders>
          </w:tcPr>
          <w:p w14:paraId="0A52AEEC" w14:textId="77777777" w:rsidR="00E94F5F" w:rsidRPr="006A05A1" w:rsidRDefault="00E94F5F" w:rsidP="00155715">
            <w:pPr>
              <w:widowControl w:val="0"/>
              <w:autoSpaceDE w:val="0"/>
              <w:autoSpaceDN w:val="0"/>
              <w:adjustRightInd w:val="0"/>
              <w:jc w:val="both"/>
              <w:rPr>
                <w:rFonts w:ascii="Garamond" w:hAnsi="Garamond"/>
                <w:sz w:val="20"/>
                <w:szCs w:val="20"/>
              </w:rPr>
            </w:pPr>
          </w:p>
        </w:tc>
        <w:tc>
          <w:tcPr>
            <w:tcW w:w="870" w:type="pct"/>
            <w:tcBorders>
              <w:top w:val="nil"/>
              <w:left w:val="nil"/>
              <w:bottom w:val="nil"/>
              <w:right w:val="nil"/>
            </w:tcBorders>
          </w:tcPr>
          <w:p w14:paraId="210D5107" w14:textId="77777777" w:rsidR="00E94F5F" w:rsidRPr="006A05A1" w:rsidRDefault="00E94F5F" w:rsidP="00155715">
            <w:pPr>
              <w:widowControl w:val="0"/>
              <w:autoSpaceDE w:val="0"/>
              <w:autoSpaceDN w:val="0"/>
              <w:adjustRightInd w:val="0"/>
              <w:jc w:val="both"/>
              <w:rPr>
                <w:rFonts w:ascii="Garamond" w:hAnsi="Garamond"/>
                <w:sz w:val="20"/>
                <w:szCs w:val="20"/>
              </w:rPr>
            </w:pPr>
          </w:p>
        </w:tc>
        <w:tc>
          <w:tcPr>
            <w:tcW w:w="869" w:type="pct"/>
            <w:tcBorders>
              <w:top w:val="nil"/>
              <w:left w:val="nil"/>
              <w:bottom w:val="nil"/>
              <w:right w:val="nil"/>
            </w:tcBorders>
          </w:tcPr>
          <w:p w14:paraId="16EA4EDA" w14:textId="77777777" w:rsidR="00E94F5F" w:rsidRPr="006A05A1" w:rsidRDefault="00E94F5F" w:rsidP="00155715">
            <w:pPr>
              <w:widowControl w:val="0"/>
              <w:autoSpaceDE w:val="0"/>
              <w:autoSpaceDN w:val="0"/>
              <w:adjustRightInd w:val="0"/>
              <w:jc w:val="both"/>
              <w:rPr>
                <w:rFonts w:ascii="Garamond" w:hAnsi="Garamond"/>
                <w:sz w:val="20"/>
                <w:szCs w:val="20"/>
              </w:rPr>
            </w:pPr>
          </w:p>
        </w:tc>
        <w:tc>
          <w:tcPr>
            <w:tcW w:w="869" w:type="pct"/>
            <w:tcBorders>
              <w:top w:val="nil"/>
              <w:left w:val="nil"/>
              <w:bottom w:val="nil"/>
              <w:right w:val="nil"/>
            </w:tcBorders>
          </w:tcPr>
          <w:p w14:paraId="35DFC019" w14:textId="77777777" w:rsidR="00E94F5F" w:rsidRPr="006A05A1" w:rsidRDefault="00E94F5F" w:rsidP="00155715">
            <w:pPr>
              <w:widowControl w:val="0"/>
              <w:autoSpaceDE w:val="0"/>
              <w:autoSpaceDN w:val="0"/>
              <w:adjustRightInd w:val="0"/>
              <w:jc w:val="both"/>
              <w:rPr>
                <w:rFonts w:ascii="Garamond" w:hAnsi="Garamond"/>
                <w:sz w:val="20"/>
                <w:szCs w:val="20"/>
              </w:rPr>
            </w:pPr>
          </w:p>
        </w:tc>
        <w:tc>
          <w:tcPr>
            <w:tcW w:w="869" w:type="pct"/>
            <w:tcBorders>
              <w:top w:val="nil"/>
              <w:left w:val="nil"/>
              <w:bottom w:val="nil"/>
              <w:right w:val="nil"/>
            </w:tcBorders>
          </w:tcPr>
          <w:p w14:paraId="63D9586F" w14:textId="77777777" w:rsidR="00E94F5F" w:rsidRPr="006A05A1" w:rsidRDefault="00E94F5F" w:rsidP="00155715">
            <w:pPr>
              <w:widowControl w:val="0"/>
              <w:autoSpaceDE w:val="0"/>
              <w:autoSpaceDN w:val="0"/>
              <w:adjustRightInd w:val="0"/>
              <w:jc w:val="both"/>
              <w:rPr>
                <w:rFonts w:ascii="Garamond" w:hAnsi="Garamond"/>
                <w:sz w:val="20"/>
                <w:szCs w:val="20"/>
              </w:rPr>
            </w:pPr>
          </w:p>
        </w:tc>
      </w:tr>
      <w:tr w:rsidR="00E94F5F" w:rsidRPr="006A05A1" w14:paraId="74D9C8EA" w14:textId="77777777" w:rsidTr="006A05A1">
        <w:trPr>
          <w:trHeight w:val="20"/>
          <w:jc w:val="center"/>
        </w:trPr>
        <w:tc>
          <w:tcPr>
            <w:tcW w:w="1524" w:type="pct"/>
            <w:tcBorders>
              <w:top w:val="nil"/>
              <w:left w:val="nil"/>
              <w:bottom w:val="nil"/>
              <w:right w:val="nil"/>
            </w:tcBorders>
          </w:tcPr>
          <w:p w14:paraId="596D59D1"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Observations</w:t>
            </w:r>
          </w:p>
        </w:tc>
        <w:tc>
          <w:tcPr>
            <w:tcW w:w="870" w:type="pct"/>
            <w:tcBorders>
              <w:top w:val="nil"/>
              <w:left w:val="nil"/>
              <w:bottom w:val="nil"/>
              <w:right w:val="nil"/>
            </w:tcBorders>
          </w:tcPr>
          <w:p w14:paraId="531B83D6"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2,521</w:t>
            </w:r>
          </w:p>
        </w:tc>
        <w:tc>
          <w:tcPr>
            <w:tcW w:w="869" w:type="pct"/>
            <w:tcBorders>
              <w:top w:val="nil"/>
              <w:left w:val="nil"/>
              <w:bottom w:val="nil"/>
              <w:right w:val="nil"/>
            </w:tcBorders>
          </w:tcPr>
          <w:p w14:paraId="619D8B92"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2,521</w:t>
            </w:r>
          </w:p>
        </w:tc>
        <w:tc>
          <w:tcPr>
            <w:tcW w:w="869" w:type="pct"/>
            <w:tcBorders>
              <w:top w:val="nil"/>
              <w:left w:val="nil"/>
              <w:bottom w:val="nil"/>
              <w:right w:val="nil"/>
            </w:tcBorders>
          </w:tcPr>
          <w:p w14:paraId="74005047"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2,521</w:t>
            </w:r>
          </w:p>
        </w:tc>
        <w:tc>
          <w:tcPr>
            <w:tcW w:w="869" w:type="pct"/>
            <w:tcBorders>
              <w:top w:val="nil"/>
              <w:left w:val="nil"/>
              <w:bottom w:val="nil"/>
              <w:right w:val="nil"/>
            </w:tcBorders>
          </w:tcPr>
          <w:p w14:paraId="4B14B7BE"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2,521</w:t>
            </w:r>
          </w:p>
        </w:tc>
      </w:tr>
      <w:tr w:rsidR="00E94F5F" w:rsidRPr="006A05A1" w14:paraId="60D60881" w14:textId="77777777" w:rsidTr="006A05A1">
        <w:tblPrEx>
          <w:tblBorders>
            <w:bottom w:val="single" w:sz="6" w:space="0" w:color="auto"/>
          </w:tblBorders>
        </w:tblPrEx>
        <w:trPr>
          <w:trHeight w:val="20"/>
          <w:jc w:val="center"/>
        </w:trPr>
        <w:tc>
          <w:tcPr>
            <w:tcW w:w="1524" w:type="pct"/>
            <w:tcBorders>
              <w:top w:val="nil"/>
              <w:left w:val="nil"/>
              <w:bottom w:val="single" w:sz="6" w:space="0" w:color="auto"/>
              <w:right w:val="nil"/>
            </w:tcBorders>
          </w:tcPr>
          <w:p w14:paraId="61FDB17E"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R-squared</w:t>
            </w:r>
          </w:p>
        </w:tc>
        <w:tc>
          <w:tcPr>
            <w:tcW w:w="870" w:type="pct"/>
            <w:tcBorders>
              <w:top w:val="nil"/>
              <w:left w:val="nil"/>
              <w:bottom w:val="single" w:sz="6" w:space="0" w:color="auto"/>
              <w:right w:val="nil"/>
            </w:tcBorders>
          </w:tcPr>
          <w:p w14:paraId="5C8F0B9C"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0.023</w:t>
            </w:r>
          </w:p>
        </w:tc>
        <w:tc>
          <w:tcPr>
            <w:tcW w:w="869" w:type="pct"/>
            <w:tcBorders>
              <w:top w:val="nil"/>
              <w:left w:val="nil"/>
              <w:bottom w:val="single" w:sz="6" w:space="0" w:color="auto"/>
              <w:right w:val="nil"/>
            </w:tcBorders>
          </w:tcPr>
          <w:p w14:paraId="76BD3B88"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0.045</w:t>
            </w:r>
          </w:p>
        </w:tc>
        <w:tc>
          <w:tcPr>
            <w:tcW w:w="869" w:type="pct"/>
            <w:tcBorders>
              <w:top w:val="nil"/>
              <w:left w:val="nil"/>
              <w:bottom w:val="single" w:sz="6" w:space="0" w:color="auto"/>
              <w:right w:val="nil"/>
            </w:tcBorders>
          </w:tcPr>
          <w:p w14:paraId="54A1C4C5"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0.091</w:t>
            </w:r>
          </w:p>
        </w:tc>
        <w:tc>
          <w:tcPr>
            <w:tcW w:w="869" w:type="pct"/>
            <w:tcBorders>
              <w:top w:val="nil"/>
              <w:left w:val="nil"/>
              <w:bottom w:val="single" w:sz="6" w:space="0" w:color="auto"/>
              <w:right w:val="nil"/>
            </w:tcBorders>
          </w:tcPr>
          <w:p w14:paraId="5D0696DA" w14:textId="77777777" w:rsidR="00E94F5F" w:rsidRPr="006A05A1" w:rsidRDefault="00E94F5F" w:rsidP="00155715">
            <w:pPr>
              <w:widowControl w:val="0"/>
              <w:autoSpaceDE w:val="0"/>
              <w:autoSpaceDN w:val="0"/>
              <w:adjustRightInd w:val="0"/>
              <w:jc w:val="both"/>
              <w:rPr>
                <w:rFonts w:ascii="Garamond" w:hAnsi="Garamond"/>
                <w:sz w:val="20"/>
                <w:szCs w:val="20"/>
              </w:rPr>
            </w:pPr>
            <w:r w:rsidRPr="006A05A1">
              <w:rPr>
                <w:rFonts w:ascii="Garamond" w:hAnsi="Garamond"/>
                <w:sz w:val="20"/>
                <w:szCs w:val="20"/>
              </w:rPr>
              <w:t>0.300</w:t>
            </w:r>
          </w:p>
        </w:tc>
      </w:tr>
    </w:tbl>
    <w:p w14:paraId="45CA9F29" w14:textId="77777777" w:rsidR="00DA593F" w:rsidRPr="00AC26F3" w:rsidRDefault="00DA593F" w:rsidP="00155715">
      <w:pPr>
        <w:jc w:val="both"/>
        <w:rPr>
          <w:lang w:val="es-ES"/>
        </w:rPr>
      </w:pPr>
    </w:p>
    <w:sectPr w:rsidR="00DA593F" w:rsidRPr="00AC26F3" w:rsidSect="00383EA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0BCCA" w14:textId="77777777" w:rsidR="00822A21" w:rsidRDefault="00822A21" w:rsidP="00B45A0E">
      <w:r>
        <w:separator/>
      </w:r>
    </w:p>
  </w:endnote>
  <w:endnote w:type="continuationSeparator" w:id="0">
    <w:p w14:paraId="4B4EC989" w14:textId="77777777" w:rsidR="00822A21" w:rsidRDefault="00822A21" w:rsidP="00B45A0E">
      <w:r>
        <w:continuationSeparator/>
      </w:r>
    </w:p>
  </w:endnote>
  <w:endnote w:type="continuationNotice" w:id="1">
    <w:p w14:paraId="2B3933E0" w14:textId="77777777" w:rsidR="00822A21" w:rsidRDefault="00822A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aramond">
    <w:altName w:val="Cambria"/>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EABB5" w14:textId="77777777" w:rsidR="00822A21" w:rsidRDefault="00822A21" w:rsidP="00B45A0E">
      <w:r>
        <w:separator/>
      </w:r>
    </w:p>
  </w:footnote>
  <w:footnote w:type="continuationSeparator" w:id="0">
    <w:p w14:paraId="6398FEFC" w14:textId="77777777" w:rsidR="00822A21" w:rsidRDefault="00822A21" w:rsidP="00B45A0E">
      <w:r>
        <w:continuationSeparator/>
      </w:r>
    </w:p>
  </w:footnote>
  <w:footnote w:type="continuationNotice" w:id="1">
    <w:p w14:paraId="2C745078" w14:textId="77777777" w:rsidR="00822A21" w:rsidRDefault="00822A21"/>
  </w:footnote>
  <w:footnote w:id="2">
    <w:p w14:paraId="6DC7F7EA" w14:textId="21209B2E" w:rsidR="00175BD8" w:rsidRPr="00E87090" w:rsidRDefault="00175BD8" w:rsidP="00301F64">
      <w:pPr>
        <w:pStyle w:val="FootnoteText"/>
        <w:jc w:val="both"/>
        <w:rPr>
          <w:lang w:val="es-ES"/>
        </w:rPr>
      </w:pPr>
      <w:r>
        <w:rPr>
          <w:rStyle w:val="FootnoteReference"/>
        </w:rPr>
        <w:footnoteRef/>
      </w:r>
      <w:r w:rsidRPr="00E87090">
        <w:rPr>
          <w:lang w:val="es-ES"/>
        </w:rPr>
        <w:t xml:space="preserve"> </w:t>
      </w:r>
      <w:r w:rsidR="00E87090" w:rsidRPr="00E87090">
        <w:rPr>
          <w:lang w:val="es-ES"/>
        </w:rPr>
        <w:t xml:space="preserve">Primer acuerdo </w:t>
      </w:r>
      <w:r w:rsidR="009C36E2">
        <w:rPr>
          <w:lang w:val="es-ES"/>
        </w:rPr>
        <w:t>de libre comercio</w:t>
      </w:r>
      <w:r w:rsidR="00E87090">
        <w:rPr>
          <w:lang w:val="es-ES"/>
        </w:rPr>
        <w:t xml:space="preserve"> establecido en 1947</w:t>
      </w:r>
      <w:r w:rsidR="009C36E2">
        <w:rPr>
          <w:lang w:val="es-ES"/>
        </w:rPr>
        <w:t xml:space="preserve">, </w:t>
      </w:r>
      <w:r w:rsidR="00E87090">
        <w:rPr>
          <w:lang w:val="es-ES"/>
        </w:rPr>
        <w:t>para promover el comercio internacional</w:t>
      </w:r>
    </w:p>
  </w:footnote>
  <w:footnote w:id="3">
    <w:p w14:paraId="2F1C71F4" w14:textId="77777777" w:rsidR="00B45A0E" w:rsidRPr="00000A8A" w:rsidRDefault="00B45A0E" w:rsidP="00301F64">
      <w:pPr>
        <w:pStyle w:val="FootnoteText"/>
        <w:jc w:val="both"/>
        <w:rPr>
          <w:lang w:val="es-ES"/>
        </w:rPr>
      </w:pPr>
      <w:r w:rsidRPr="008E4EFB">
        <w:rPr>
          <w:rStyle w:val="FootnoteReference"/>
        </w:rPr>
        <w:footnoteRef/>
      </w:r>
      <w:r w:rsidRPr="00E87090">
        <w:rPr>
          <w:lang w:val="es-ES"/>
        </w:rPr>
        <w:t xml:space="preserve"> </w:t>
      </w:r>
      <w:proofErr w:type="spellStart"/>
      <w:r w:rsidRPr="00E87090">
        <w:rPr>
          <w:lang w:val="es-ES"/>
        </w:rPr>
        <w:t>United</w:t>
      </w:r>
      <w:proofErr w:type="spellEnd"/>
      <w:r w:rsidRPr="00E87090">
        <w:rPr>
          <w:lang w:val="es-ES"/>
        </w:rPr>
        <w:t xml:space="preserve"> </w:t>
      </w:r>
      <w:proofErr w:type="spellStart"/>
      <w:r w:rsidRPr="00E87090">
        <w:rPr>
          <w:lang w:val="es-ES"/>
        </w:rPr>
        <w:t>Nations</w:t>
      </w:r>
      <w:proofErr w:type="spellEnd"/>
      <w:r w:rsidRPr="00E87090">
        <w:rPr>
          <w:lang w:val="es-ES"/>
        </w:rPr>
        <w:t xml:space="preserve"> (2013). </w:t>
      </w:r>
      <w:r w:rsidRPr="008E4EFB">
        <w:t>Administration of double tax treaties</w:t>
      </w:r>
      <w:r>
        <w:t xml:space="preserve"> for developing countries. </w:t>
      </w:r>
      <w:r w:rsidRPr="00000A8A">
        <w:rPr>
          <w:lang w:val="es-ES"/>
        </w:rPr>
        <w:t xml:space="preserve">Disponible en: </w:t>
      </w:r>
      <w:hyperlink r:id="rId1" w:history="1">
        <w:r w:rsidRPr="00000A8A">
          <w:rPr>
            <w:rStyle w:val="Hyperlink"/>
            <w:lang w:val="es-ES"/>
          </w:rPr>
          <w:t>https://www.un.org/esa/ffd/wp-content/uploads/2014/08/UN_Handbook_DTT_Admin.pdf</w:t>
        </w:r>
      </w:hyperlink>
      <w:r w:rsidRPr="00000A8A">
        <w:rPr>
          <w:lang w:val="es-ES"/>
        </w:rPr>
        <w:t xml:space="preserve"> (Consultado el 21 de mayo de 2023).</w:t>
      </w:r>
    </w:p>
  </w:footnote>
  <w:footnote w:id="4">
    <w:p w14:paraId="714C718F" w14:textId="77777777" w:rsidR="00B45A0E" w:rsidRPr="00935130" w:rsidRDefault="00B45A0E" w:rsidP="00B45A0E">
      <w:pPr>
        <w:pStyle w:val="FootnoteText"/>
        <w:rPr>
          <w:lang w:val="es-ES"/>
        </w:rPr>
      </w:pPr>
      <w:r w:rsidRPr="00935130">
        <w:rPr>
          <w:rStyle w:val="FootnoteReference"/>
        </w:rPr>
        <w:footnoteRef/>
      </w:r>
      <w:r w:rsidRPr="00000A8A">
        <w:rPr>
          <w:lang w:val="es-ES"/>
        </w:rPr>
        <w:t xml:space="preserve"> </w:t>
      </w:r>
      <w:proofErr w:type="spellStart"/>
      <w:r w:rsidRPr="00935130">
        <w:rPr>
          <w:lang w:val="es-ES"/>
        </w:rPr>
        <w:t>Ibid</w:t>
      </w:r>
      <w:proofErr w:type="spellEnd"/>
    </w:p>
  </w:footnote>
  <w:footnote w:id="5">
    <w:p w14:paraId="51E8ACA9" w14:textId="1E720B2A" w:rsidR="00CD6119" w:rsidRPr="00CD6119" w:rsidRDefault="00CD6119" w:rsidP="009435AA">
      <w:pPr>
        <w:pStyle w:val="FootnoteText"/>
        <w:jc w:val="both"/>
        <w:rPr>
          <w:lang w:val="es-ES"/>
        </w:rPr>
      </w:pPr>
      <w:r>
        <w:rPr>
          <w:rStyle w:val="FootnoteReference"/>
        </w:rPr>
        <w:footnoteRef/>
      </w:r>
      <w:r w:rsidRPr="00CD6119">
        <w:rPr>
          <w:lang w:val="es-ES"/>
        </w:rPr>
        <w:t xml:space="preserve"> </w:t>
      </w:r>
      <w:r>
        <w:rPr>
          <w:lang w:val="es-ES"/>
        </w:rPr>
        <w:t xml:space="preserve">Fuente: elaboración propia con datos de </w:t>
      </w:r>
      <w:proofErr w:type="spellStart"/>
      <w:r>
        <w:rPr>
          <w:lang w:val="es-ES"/>
        </w:rPr>
        <w:t>Tax</w:t>
      </w:r>
      <w:proofErr w:type="spellEnd"/>
      <w:r>
        <w:rPr>
          <w:lang w:val="es-ES"/>
        </w:rPr>
        <w:t xml:space="preserve"> </w:t>
      </w:r>
      <w:proofErr w:type="spellStart"/>
      <w:r>
        <w:rPr>
          <w:lang w:val="es-ES"/>
        </w:rPr>
        <w:t>Treaties</w:t>
      </w:r>
      <w:proofErr w:type="spellEnd"/>
      <w:r>
        <w:rPr>
          <w:lang w:val="es-ES"/>
        </w:rPr>
        <w:t xml:space="preserve"> Explorer</w:t>
      </w:r>
    </w:p>
  </w:footnote>
  <w:footnote w:id="6">
    <w:p w14:paraId="1CAD6593" w14:textId="7D5037AF" w:rsidR="00B45A0E" w:rsidRPr="001012BE" w:rsidRDefault="00B45A0E" w:rsidP="009435AA">
      <w:pPr>
        <w:pStyle w:val="FootnoteText"/>
        <w:jc w:val="both"/>
        <w:rPr>
          <w:lang w:val="es-ES"/>
        </w:rPr>
      </w:pPr>
      <w:r w:rsidRPr="00935130">
        <w:rPr>
          <w:rStyle w:val="FootnoteReference"/>
        </w:rPr>
        <w:footnoteRef/>
      </w:r>
      <w:r w:rsidRPr="00000A8A">
        <w:rPr>
          <w:lang w:val="es-ES"/>
        </w:rPr>
        <w:t xml:space="preserve"> </w:t>
      </w:r>
      <w:r w:rsidRPr="00935130">
        <w:rPr>
          <w:lang w:val="es-ES"/>
        </w:rPr>
        <w:t xml:space="preserve">Banco de la </w:t>
      </w:r>
      <w:r w:rsidR="00186459" w:rsidRPr="00935130">
        <w:rPr>
          <w:lang w:val="es-ES"/>
        </w:rPr>
        <w:t>República</w:t>
      </w:r>
      <w:r w:rsidRPr="00935130">
        <w:rPr>
          <w:lang w:val="es-ES"/>
        </w:rPr>
        <w:t xml:space="preserve"> (2023). Flujos de inversiones directas en la economía colombiana. Disponible en: </w:t>
      </w:r>
      <w:hyperlink r:id="rId2" w:history="1">
        <w:r w:rsidRPr="00935130">
          <w:rPr>
            <w:rStyle w:val="Hyperlink"/>
            <w:lang w:val="es-ES"/>
          </w:rPr>
          <w:t>https://www.banrep.gov.co/sites/default/files/nota_de_prensa_inversion_directa.pdf</w:t>
        </w:r>
      </w:hyperlink>
      <w:r w:rsidRPr="00935130">
        <w:rPr>
          <w:lang w:val="es-ES"/>
        </w:rPr>
        <w:t xml:space="preserve"> (Consultado el 21 de abril de 2023).</w:t>
      </w:r>
      <w:r>
        <w:rPr>
          <w:lang w:val="es-ES"/>
        </w:rPr>
        <w:t xml:space="preserve"> </w:t>
      </w:r>
    </w:p>
  </w:footnote>
  <w:footnote w:id="7">
    <w:p w14:paraId="15B0E94D" w14:textId="1E76D699" w:rsidR="00B0777D" w:rsidRPr="00B0777D" w:rsidRDefault="00B0777D" w:rsidP="00B56794">
      <w:pPr>
        <w:pStyle w:val="FootnoteText"/>
        <w:jc w:val="both"/>
        <w:rPr>
          <w:lang w:val="es-ES_tradnl"/>
        </w:rPr>
      </w:pPr>
      <w:r>
        <w:rPr>
          <w:rStyle w:val="FootnoteReference"/>
        </w:rPr>
        <w:footnoteRef/>
      </w:r>
      <w:r w:rsidRPr="0035465C">
        <w:rPr>
          <w:lang w:val="es-ES"/>
        </w:rPr>
        <w:t xml:space="preserve"> </w:t>
      </w:r>
      <w:r w:rsidR="0035465C">
        <w:rPr>
          <w:lang w:val="es-ES_tradnl"/>
        </w:rPr>
        <w:t xml:space="preserve">Fuerzas Armadas Revolucionarias de Colombia – </w:t>
      </w:r>
      <w:r w:rsidR="009135BC">
        <w:rPr>
          <w:lang w:val="es-ES_tradnl"/>
        </w:rPr>
        <w:t>Ejército</w:t>
      </w:r>
      <w:r w:rsidR="0035465C">
        <w:rPr>
          <w:lang w:val="es-ES_tradnl"/>
        </w:rPr>
        <w:t xml:space="preserve"> del Pueblo</w:t>
      </w:r>
    </w:p>
  </w:footnote>
  <w:footnote w:id="8">
    <w:p w14:paraId="0CD2AA31" w14:textId="77777777" w:rsidR="00921802" w:rsidRPr="00B1019B" w:rsidRDefault="00921802" w:rsidP="00B56794">
      <w:pPr>
        <w:pStyle w:val="FootnoteText"/>
        <w:jc w:val="both"/>
        <w:rPr>
          <w:lang w:val="es-ES"/>
        </w:rPr>
      </w:pPr>
      <w:r>
        <w:rPr>
          <w:rStyle w:val="FootnoteReference"/>
        </w:rPr>
        <w:footnoteRef/>
      </w:r>
      <w:r w:rsidRPr="00000A8A">
        <w:rPr>
          <w:lang w:val="es-ES"/>
        </w:rPr>
        <w:t xml:space="preserve"> </w:t>
      </w:r>
      <w:r>
        <w:rPr>
          <w:lang w:val="es-ES"/>
        </w:rPr>
        <w:t xml:space="preserve">Banco de la República (2022). Flujo de Inversión Extranjera Directa en Colombia (Por país de origen). Disponible en: </w:t>
      </w:r>
      <w:hyperlink r:id="rId3" w:history="1">
        <w:r w:rsidRPr="003B752B">
          <w:rPr>
            <w:rStyle w:val="Hyperlink"/>
            <w:lang w:val="es-ES"/>
          </w:rPr>
          <w:t>https://totoro.banrep.gov.co/analytics/saw.dll?Go</w:t>
        </w:r>
      </w:hyperlink>
      <w:r>
        <w:rPr>
          <w:lang w:val="es-ES"/>
        </w:rPr>
        <w:t xml:space="preserve"> (Consultado el 25 de mayo de 2023). </w:t>
      </w:r>
    </w:p>
  </w:footnote>
  <w:footnote w:id="9">
    <w:p w14:paraId="08D7CA22" w14:textId="6693FC47" w:rsidR="00921802" w:rsidRPr="008F65F3" w:rsidRDefault="00921802" w:rsidP="00B56794">
      <w:pPr>
        <w:pStyle w:val="FootnoteText"/>
        <w:jc w:val="both"/>
        <w:rPr>
          <w:lang w:val="es-ES"/>
        </w:rPr>
      </w:pPr>
      <w:r>
        <w:rPr>
          <w:rStyle w:val="FootnoteReference"/>
        </w:rPr>
        <w:footnoteRef/>
      </w:r>
      <w:r w:rsidRPr="00086F01">
        <w:rPr>
          <w:lang w:val="es-ES"/>
        </w:rPr>
        <w:t xml:space="preserve"> </w:t>
      </w:r>
      <w:r>
        <w:rPr>
          <w:lang w:val="es-ES"/>
        </w:rPr>
        <w:t xml:space="preserve">Número que se le dio al proceso de investigación judicial en contra del </w:t>
      </w:r>
      <w:r w:rsidR="00B56794">
        <w:rPr>
          <w:lang w:val="es-ES"/>
        </w:rPr>
        <w:t>presidente</w:t>
      </w:r>
      <w:r>
        <w:rPr>
          <w:lang w:val="es-ES"/>
        </w:rPr>
        <w:t xml:space="preserve"> Ernesto Samper por posibles vínculos con el narcotráfico. </w:t>
      </w:r>
    </w:p>
  </w:footnote>
  <w:footnote w:id="10">
    <w:p w14:paraId="189AB10E" w14:textId="766883C5" w:rsidR="003865E2" w:rsidRPr="003865E2" w:rsidRDefault="003865E2">
      <w:pPr>
        <w:pStyle w:val="FootnoteText"/>
        <w:rPr>
          <w:lang w:val="es-ES"/>
        </w:rPr>
      </w:pPr>
      <w:r>
        <w:rPr>
          <w:rStyle w:val="FootnoteReference"/>
        </w:rPr>
        <w:footnoteRef/>
      </w:r>
      <w:r w:rsidRPr="003865E2">
        <w:rPr>
          <w:lang w:val="es-ES"/>
        </w:rPr>
        <w:t xml:space="preserve"> </w:t>
      </w:r>
      <w:r>
        <w:rPr>
          <w:lang w:val="es-ES"/>
        </w:rPr>
        <w:t>El presidente Álvaro Uribe desconocía a las FARC como un interlocutor legítimo y estableció su condición de terroristas a través de la política de Seguridad Democrática.</w:t>
      </w:r>
    </w:p>
  </w:footnote>
  <w:footnote w:id="11">
    <w:p w14:paraId="0D3DC537" w14:textId="77777777" w:rsidR="00921802" w:rsidRPr="008F65F3" w:rsidRDefault="00921802" w:rsidP="00B56794">
      <w:pPr>
        <w:pStyle w:val="FootnoteText"/>
        <w:jc w:val="both"/>
        <w:rPr>
          <w:lang w:val="es-ES"/>
        </w:rPr>
      </w:pPr>
      <w:r>
        <w:rPr>
          <w:rStyle w:val="FootnoteReference"/>
        </w:rPr>
        <w:footnoteRef/>
      </w:r>
      <w:r w:rsidRPr="00000A8A">
        <w:rPr>
          <w:lang w:val="es-ES"/>
        </w:rPr>
        <w:t xml:space="preserve"> Ministerio de Defensa Nacional (2003). Política de Defensa y Seguridad Democrática. Disponible en: </w:t>
      </w:r>
      <w:hyperlink r:id="rId4" w:history="1">
        <w:r w:rsidRPr="00000A8A">
          <w:rPr>
            <w:rStyle w:val="Hyperlink"/>
            <w:lang w:val="es-ES"/>
          </w:rPr>
          <w:t>https://www.oas.org/csh/spanish/documentos/colombia.pdf</w:t>
        </w:r>
      </w:hyperlink>
      <w:r w:rsidRPr="00000A8A">
        <w:rPr>
          <w:lang w:val="es-ES"/>
        </w:rPr>
        <w:t xml:space="preserve"> (Consultado el 25 de mayo de 2023). </w:t>
      </w:r>
    </w:p>
  </w:footnote>
  <w:footnote w:id="12">
    <w:p w14:paraId="15C38D79" w14:textId="77777777" w:rsidR="00921802" w:rsidRPr="00CB718D" w:rsidRDefault="00921802" w:rsidP="00B56794">
      <w:pPr>
        <w:pStyle w:val="FootnoteText"/>
        <w:jc w:val="both"/>
        <w:rPr>
          <w:lang w:val="es-ES"/>
        </w:rPr>
      </w:pPr>
      <w:r>
        <w:rPr>
          <w:rStyle w:val="FootnoteReference"/>
        </w:rPr>
        <w:footnoteRef/>
      </w:r>
      <w:r w:rsidRPr="00000A8A">
        <w:rPr>
          <w:lang w:val="es-ES"/>
        </w:rPr>
        <w:t xml:space="preserve"> </w:t>
      </w:r>
      <w:r>
        <w:rPr>
          <w:lang w:val="es-ES"/>
        </w:rPr>
        <w:t xml:space="preserve">Decreto 970 de 2004. </w:t>
      </w:r>
    </w:p>
  </w:footnote>
  <w:footnote w:id="13">
    <w:p w14:paraId="53AFABA7" w14:textId="77777777" w:rsidR="00423BAD" w:rsidRDefault="00921802" w:rsidP="00B56794">
      <w:pPr>
        <w:pStyle w:val="FootnoteText"/>
        <w:jc w:val="both"/>
        <w:rPr>
          <w:lang w:val="es-ES"/>
        </w:rPr>
      </w:pPr>
      <w:r>
        <w:rPr>
          <w:rStyle w:val="FootnoteReference"/>
        </w:rPr>
        <w:footnoteRef/>
      </w:r>
      <w:r w:rsidRPr="00000A8A">
        <w:rPr>
          <w:lang w:val="es-ES"/>
        </w:rPr>
        <w:t xml:space="preserve"> </w:t>
      </w:r>
      <w:r>
        <w:rPr>
          <w:lang w:val="es-ES"/>
        </w:rPr>
        <w:t>Asociación Nacional de Empresarios (ANDI) (2009). Estudio de impacto jurídico, económico y fiscal de las Zonas Francas. Disponible en:</w:t>
      </w:r>
    </w:p>
    <w:p w14:paraId="0A17212B" w14:textId="352A7BD3" w:rsidR="00921802" w:rsidRPr="0011618F" w:rsidRDefault="00423BAD" w:rsidP="00B56794">
      <w:pPr>
        <w:pStyle w:val="FootnoteText"/>
        <w:jc w:val="both"/>
        <w:rPr>
          <w:lang w:val="es-ES"/>
        </w:rPr>
      </w:pPr>
      <w:hyperlink r:id="rId5" w:history="1">
        <w:r w:rsidRPr="004126B7">
          <w:rPr>
            <w:rStyle w:val="Hyperlink"/>
            <w:lang w:val="es-ES"/>
          </w:rPr>
          <w:t>https://www.andi.com.co/Uploads/ESTUDIO%20DE%20IMPACTO%20JURÍDICO%20ECONÓMICO%20Y%20FISCAL%20DE%20LAS%20ZONAS%20FRANCAS%20-%20Consorcio%20Araújo%20Ibarra%20Ibarra%20Abogados%20HJ%20Gómez.pdf</w:t>
        </w:r>
      </w:hyperlink>
      <w:r w:rsidR="00921802">
        <w:rPr>
          <w:lang w:val="es-ES"/>
        </w:rPr>
        <w:t xml:space="preserve"> (Consultado el 20 de mayo de 2023). </w:t>
      </w:r>
    </w:p>
  </w:footnote>
  <w:footnote w:id="14">
    <w:p w14:paraId="7B584ADA" w14:textId="77777777" w:rsidR="005B14BF" w:rsidRPr="006C5810" w:rsidRDefault="005B14BF" w:rsidP="005B14BF">
      <w:pPr>
        <w:pStyle w:val="FootnoteText"/>
        <w:rPr>
          <w:lang w:val="es-ES"/>
        </w:rPr>
      </w:pPr>
      <w:r w:rsidRPr="006C5810">
        <w:rPr>
          <w:rStyle w:val="FootnoteReference"/>
        </w:rPr>
        <w:footnoteRef/>
      </w:r>
      <w:r w:rsidRPr="00086F01">
        <w:rPr>
          <w:lang w:val="es-ES"/>
        </w:rPr>
        <w:t xml:space="preserve"> </w:t>
      </w:r>
      <w:r w:rsidRPr="006C5810">
        <w:rPr>
          <w:lang w:val="es-ES"/>
        </w:rPr>
        <w:t xml:space="preserve">Elaboración propia a partir de la especificación funcional en inglés descrita en el </w:t>
      </w:r>
      <w:proofErr w:type="spellStart"/>
      <w:proofErr w:type="gramStart"/>
      <w:r w:rsidRPr="006C5810">
        <w:rPr>
          <w:lang w:val="es-ES"/>
        </w:rPr>
        <w:t>paper</w:t>
      </w:r>
      <w:proofErr w:type="spellEnd"/>
      <w:proofErr w:type="gramEnd"/>
      <w:r w:rsidRPr="006C5810">
        <w:rPr>
          <w:lang w:val="es-ES"/>
        </w:rPr>
        <w:t xml:space="preserve">. </w:t>
      </w:r>
    </w:p>
  </w:footnote>
  <w:footnote w:id="15">
    <w:p w14:paraId="053C9079" w14:textId="77777777" w:rsidR="005B14BF" w:rsidRPr="00931299" w:rsidRDefault="005B14BF" w:rsidP="005B14BF">
      <w:pPr>
        <w:pStyle w:val="FootnoteText"/>
        <w:rPr>
          <w:lang w:val="es-ES"/>
        </w:rPr>
      </w:pPr>
      <w:r>
        <w:rPr>
          <w:rStyle w:val="FootnoteReference"/>
        </w:rPr>
        <w:footnoteRef/>
      </w:r>
      <w:r w:rsidRPr="00000A8A">
        <w:rPr>
          <w:lang w:val="es-ES"/>
        </w:rPr>
        <w:t xml:space="preserve"> </w:t>
      </w:r>
      <w:r>
        <w:rPr>
          <w:lang w:val="es-ES"/>
        </w:rPr>
        <w:t>Se utiliza únicamente en el modelo Arellano Bond</w:t>
      </w:r>
    </w:p>
  </w:footnote>
  <w:footnote w:id="16">
    <w:p w14:paraId="4B375B6C" w14:textId="0140FA74" w:rsidR="001A0070" w:rsidRPr="001A0070" w:rsidRDefault="001A0070" w:rsidP="006104BB">
      <w:pPr>
        <w:pStyle w:val="FootnoteText"/>
        <w:jc w:val="both"/>
        <w:rPr>
          <w:lang w:val="es-CO"/>
        </w:rPr>
      </w:pPr>
      <w:r>
        <w:rPr>
          <w:rStyle w:val="FootnoteReference"/>
        </w:rPr>
        <w:footnoteRef/>
      </w:r>
      <w:r w:rsidRPr="00000A8A">
        <w:rPr>
          <w:lang w:val="es-ES"/>
        </w:rPr>
        <w:t xml:space="preserve"> Para el modelo de Diferencias en Diferencias, </w:t>
      </w:r>
      <w:r w:rsidR="000C7851" w:rsidRPr="00000A8A">
        <w:rPr>
          <w:lang w:val="es-ES"/>
        </w:rPr>
        <w:t xml:space="preserve">no se tuvo en cuenta a los países </w:t>
      </w:r>
      <w:r w:rsidR="008D38A4" w:rsidRPr="00000A8A">
        <w:rPr>
          <w:lang w:val="es-ES"/>
        </w:rPr>
        <w:t>miembro de la Comunidad Andina de Naciones (CAN)</w:t>
      </w:r>
      <w:r w:rsidR="004C7236" w:rsidRPr="00000A8A">
        <w:rPr>
          <w:lang w:val="es-ES"/>
        </w:rPr>
        <w:t>,</w:t>
      </w:r>
      <w:r w:rsidR="005B7046" w:rsidRPr="00000A8A">
        <w:rPr>
          <w:lang w:val="es-ES"/>
        </w:rPr>
        <w:t xml:space="preserve"> ya que el acuerdo </w:t>
      </w:r>
      <w:r w:rsidR="00A14F64" w:rsidRPr="00000A8A">
        <w:rPr>
          <w:lang w:val="es-ES"/>
        </w:rPr>
        <w:t xml:space="preserve">entró en vigor </w:t>
      </w:r>
      <w:r w:rsidR="00371A61" w:rsidRPr="00000A8A">
        <w:rPr>
          <w:lang w:val="es-ES"/>
        </w:rPr>
        <w:t>en 200</w:t>
      </w:r>
      <w:r w:rsidR="00E21070" w:rsidRPr="00000A8A">
        <w:rPr>
          <w:lang w:val="es-ES"/>
        </w:rPr>
        <w:t>5</w:t>
      </w:r>
      <w:r w:rsidR="00694145" w:rsidRPr="00000A8A">
        <w:rPr>
          <w:lang w:val="es-ES"/>
        </w:rPr>
        <w:t>, dos a</w:t>
      </w:r>
      <w:r w:rsidR="00FA57D6" w:rsidRPr="00000A8A">
        <w:rPr>
          <w:lang w:val="es-ES"/>
        </w:rPr>
        <w:t>ños antes</w:t>
      </w:r>
      <w:r w:rsidR="00F97CB8" w:rsidRPr="00000A8A">
        <w:rPr>
          <w:lang w:val="es-ES"/>
        </w:rPr>
        <w:t xml:space="preserve"> de los flujos </w:t>
      </w:r>
      <w:r w:rsidR="0057523B" w:rsidRPr="00000A8A">
        <w:rPr>
          <w:lang w:val="es-ES"/>
        </w:rPr>
        <w:t>registrados del Banco de la República</w:t>
      </w:r>
      <w:r w:rsidR="008E5597" w:rsidRPr="00000A8A">
        <w:rPr>
          <w:lang w:val="es-ES"/>
        </w:rPr>
        <w:t>, y por lo tanto no se p</w:t>
      </w:r>
      <w:r w:rsidR="00F27C16" w:rsidRPr="00000A8A">
        <w:rPr>
          <w:lang w:val="es-ES"/>
        </w:rPr>
        <w:t>uede evalu</w:t>
      </w:r>
      <w:r w:rsidR="00466023" w:rsidRPr="00000A8A">
        <w:rPr>
          <w:lang w:val="es-ES"/>
        </w:rPr>
        <w:t>a</w:t>
      </w:r>
      <w:r w:rsidR="006F0D10" w:rsidRPr="00000A8A">
        <w:rPr>
          <w:lang w:val="es-ES"/>
        </w:rPr>
        <w:t xml:space="preserve">r el supuesto de tendencias </w:t>
      </w:r>
      <w:r w:rsidR="006B4C8A" w:rsidRPr="00000A8A">
        <w:rPr>
          <w:lang w:val="es-ES"/>
        </w:rPr>
        <w:t>paralelas.</w:t>
      </w:r>
    </w:p>
  </w:footnote>
  <w:footnote w:id="17">
    <w:p w14:paraId="7EB28C5D" w14:textId="5C0FAD2C" w:rsidR="00BA2CA5" w:rsidRPr="00BA2CA5" w:rsidRDefault="00BA2CA5" w:rsidP="006104BB">
      <w:pPr>
        <w:pStyle w:val="FootnoteText"/>
        <w:jc w:val="both"/>
        <w:rPr>
          <w:lang w:val="es-ES_tradnl"/>
        </w:rPr>
      </w:pPr>
      <w:r>
        <w:rPr>
          <w:rStyle w:val="FootnoteReference"/>
        </w:rPr>
        <w:footnoteRef/>
      </w:r>
      <w:r w:rsidRPr="00177AC8">
        <w:rPr>
          <w:lang w:val="es-ES"/>
        </w:rPr>
        <w:t xml:space="preserve"> </w:t>
      </w:r>
      <w:r>
        <w:rPr>
          <w:lang w:val="es-ES_tradnl"/>
        </w:rPr>
        <w:t xml:space="preserve">Véase </w:t>
      </w:r>
      <w:r w:rsidR="00597E1A">
        <w:rPr>
          <w:lang w:val="es-ES_tradnl"/>
        </w:rPr>
        <w:t>Anexo 1</w:t>
      </w:r>
      <w:r w:rsidR="00BC2317">
        <w:rPr>
          <w:lang w:val="es-ES_tradnl"/>
        </w:rPr>
        <w:t xml:space="preserve"> en donde se específica la entrada en </w:t>
      </w:r>
      <w:r w:rsidR="00295BB3">
        <w:rPr>
          <w:lang w:val="es-ES_tradnl"/>
        </w:rPr>
        <w:t>vigor</w:t>
      </w:r>
      <w:r w:rsidR="00BC2317">
        <w:rPr>
          <w:lang w:val="es-ES_tradnl"/>
        </w:rPr>
        <w:t xml:space="preserve"> del ADT</w:t>
      </w:r>
      <w:r w:rsidR="0080150E">
        <w:rPr>
          <w:lang w:val="es-ES_tradnl"/>
        </w:rPr>
        <w:t xml:space="preserve"> y</w:t>
      </w:r>
      <w:r w:rsidR="00B0605F">
        <w:rPr>
          <w:lang w:val="es-ES_tradnl"/>
        </w:rPr>
        <w:t xml:space="preserve"> la ley que lo reglamenta en Colombia</w:t>
      </w:r>
    </w:p>
  </w:footnote>
  <w:footnote w:id="18">
    <w:p w14:paraId="2C807CB8" w14:textId="52773AD5" w:rsidR="00AC17A4" w:rsidRPr="00AC17A4" w:rsidRDefault="00AC17A4">
      <w:pPr>
        <w:pStyle w:val="FootnoteText"/>
        <w:rPr>
          <w:lang w:val="es-ES_tradnl"/>
        </w:rPr>
      </w:pPr>
      <w:r>
        <w:rPr>
          <w:rStyle w:val="FootnoteReference"/>
        </w:rPr>
        <w:footnoteRef/>
      </w:r>
      <w:r w:rsidRPr="00CE293A">
        <w:rPr>
          <w:lang w:val="es-ES"/>
        </w:rPr>
        <w:t xml:space="preserve"> </w:t>
      </w:r>
      <w:r>
        <w:rPr>
          <w:lang w:val="es-ES_tradnl"/>
        </w:rPr>
        <w:t>Acuerdos de Promoción</w:t>
      </w:r>
      <w:r w:rsidR="00CE293A">
        <w:rPr>
          <w:lang w:val="es-ES_tradnl"/>
        </w:rPr>
        <w:t xml:space="preserve"> y Protección </w:t>
      </w:r>
      <w:r w:rsidR="00990872">
        <w:rPr>
          <w:lang w:val="es-ES_tradnl"/>
        </w:rPr>
        <w:t>Recíproca</w:t>
      </w:r>
      <w:r w:rsidR="00CE293A">
        <w:rPr>
          <w:lang w:val="es-ES_tradnl"/>
        </w:rPr>
        <w:t xml:space="preserve"> de inversiones</w:t>
      </w:r>
      <w:r w:rsidR="00990872">
        <w:rPr>
          <w:lang w:val="es-ES_tradnl"/>
        </w:rPr>
        <w:t xml:space="preserve"> en España</w:t>
      </w:r>
      <w:r w:rsidR="005E71ED">
        <w:rPr>
          <w:lang w:val="es-ES_tradnl"/>
        </w:rPr>
        <w:t xml:space="preserve">. Disponible en: </w:t>
      </w:r>
      <w:r w:rsidR="00990872" w:rsidRPr="00990872">
        <w:rPr>
          <w:lang w:val="es-ES_tradnl"/>
        </w:rPr>
        <w:t>https://comercio.gob.es/InversionesExteriores/AcuerdosInternacionales/Paginas/APPRIs.aspx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1447F"/>
    <w:multiLevelType w:val="multilevel"/>
    <w:tmpl w:val="1F64B6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3623C7"/>
    <w:multiLevelType w:val="hybridMultilevel"/>
    <w:tmpl w:val="35763BF4"/>
    <w:lvl w:ilvl="0" w:tplc="080A000F">
      <w:start w:val="1"/>
      <w:numFmt w:val="decimal"/>
      <w:lvlText w:val="%1."/>
      <w:lvlJc w:val="left"/>
      <w:pPr>
        <w:ind w:left="720" w:hanging="360"/>
      </w:pPr>
      <w:rPr>
        <w:rFonts w:hint="default"/>
        <w:b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90B1DAB"/>
    <w:multiLevelType w:val="hybridMultilevel"/>
    <w:tmpl w:val="6E1C89B4"/>
    <w:lvl w:ilvl="0" w:tplc="080A000F">
      <w:start w:val="1"/>
      <w:numFmt w:val="decimal"/>
      <w:lvlText w:val="%1."/>
      <w:lvlJc w:val="left"/>
      <w:pPr>
        <w:ind w:left="720" w:hanging="360"/>
      </w:pPr>
      <w:rPr>
        <w:rFonts w:hint="default"/>
        <w:b w:val="0"/>
      </w:rPr>
    </w:lvl>
    <w:lvl w:ilvl="1" w:tplc="FFFFFFFF" w:tentative="1">
      <w:start w:val="1"/>
      <w:numFmt w:val="bullet"/>
      <w:lvlText w:val="o"/>
      <w:lvlJc w:val="left"/>
      <w:pPr>
        <w:ind w:left="1785" w:hanging="360"/>
      </w:pPr>
      <w:rPr>
        <w:rFonts w:ascii="Courier New" w:hAnsi="Courier New" w:cs="Courier New" w:hint="default"/>
      </w:rPr>
    </w:lvl>
    <w:lvl w:ilvl="2" w:tplc="FFFFFFFF" w:tentative="1">
      <w:start w:val="1"/>
      <w:numFmt w:val="bullet"/>
      <w:lvlText w:val=""/>
      <w:lvlJc w:val="left"/>
      <w:pPr>
        <w:ind w:left="2505" w:hanging="360"/>
      </w:pPr>
      <w:rPr>
        <w:rFonts w:ascii="Wingdings" w:hAnsi="Wingdings" w:hint="default"/>
      </w:rPr>
    </w:lvl>
    <w:lvl w:ilvl="3" w:tplc="FFFFFFFF" w:tentative="1">
      <w:start w:val="1"/>
      <w:numFmt w:val="bullet"/>
      <w:lvlText w:val=""/>
      <w:lvlJc w:val="left"/>
      <w:pPr>
        <w:ind w:left="3225" w:hanging="360"/>
      </w:pPr>
      <w:rPr>
        <w:rFonts w:ascii="Symbol" w:hAnsi="Symbol" w:hint="default"/>
      </w:rPr>
    </w:lvl>
    <w:lvl w:ilvl="4" w:tplc="FFFFFFFF" w:tentative="1">
      <w:start w:val="1"/>
      <w:numFmt w:val="bullet"/>
      <w:lvlText w:val="o"/>
      <w:lvlJc w:val="left"/>
      <w:pPr>
        <w:ind w:left="3945" w:hanging="360"/>
      </w:pPr>
      <w:rPr>
        <w:rFonts w:ascii="Courier New" w:hAnsi="Courier New" w:cs="Courier New" w:hint="default"/>
      </w:rPr>
    </w:lvl>
    <w:lvl w:ilvl="5" w:tplc="FFFFFFFF" w:tentative="1">
      <w:start w:val="1"/>
      <w:numFmt w:val="bullet"/>
      <w:lvlText w:val=""/>
      <w:lvlJc w:val="left"/>
      <w:pPr>
        <w:ind w:left="4665" w:hanging="360"/>
      </w:pPr>
      <w:rPr>
        <w:rFonts w:ascii="Wingdings" w:hAnsi="Wingdings" w:hint="default"/>
      </w:rPr>
    </w:lvl>
    <w:lvl w:ilvl="6" w:tplc="FFFFFFFF" w:tentative="1">
      <w:start w:val="1"/>
      <w:numFmt w:val="bullet"/>
      <w:lvlText w:val=""/>
      <w:lvlJc w:val="left"/>
      <w:pPr>
        <w:ind w:left="5385" w:hanging="360"/>
      </w:pPr>
      <w:rPr>
        <w:rFonts w:ascii="Symbol" w:hAnsi="Symbol" w:hint="default"/>
      </w:rPr>
    </w:lvl>
    <w:lvl w:ilvl="7" w:tplc="FFFFFFFF" w:tentative="1">
      <w:start w:val="1"/>
      <w:numFmt w:val="bullet"/>
      <w:lvlText w:val="o"/>
      <w:lvlJc w:val="left"/>
      <w:pPr>
        <w:ind w:left="6105" w:hanging="360"/>
      </w:pPr>
      <w:rPr>
        <w:rFonts w:ascii="Courier New" w:hAnsi="Courier New" w:cs="Courier New" w:hint="default"/>
      </w:rPr>
    </w:lvl>
    <w:lvl w:ilvl="8" w:tplc="FFFFFFFF" w:tentative="1">
      <w:start w:val="1"/>
      <w:numFmt w:val="bullet"/>
      <w:lvlText w:val=""/>
      <w:lvlJc w:val="left"/>
      <w:pPr>
        <w:ind w:left="6825" w:hanging="360"/>
      </w:pPr>
      <w:rPr>
        <w:rFonts w:ascii="Wingdings" w:hAnsi="Wingdings" w:hint="default"/>
      </w:rPr>
    </w:lvl>
  </w:abstractNum>
  <w:abstractNum w:abstractNumId="3" w15:restartNumberingAfterBreak="0">
    <w:nsid w:val="1EDF0D02"/>
    <w:multiLevelType w:val="multilevel"/>
    <w:tmpl w:val="F4CE4CAE"/>
    <w:lvl w:ilvl="0">
      <w:start w:val="1"/>
      <w:numFmt w:val="decimal"/>
      <w:lvlText w:val="%1."/>
      <w:lvlJc w:val="left"/>
      <w:pPr>
        <w:ind w:left="720" w:hanging="360"/>
      </w:pPr>
      <w:rPr>
        <w:rFonts w:hint="default"/>
      </w:rPr>
    </w:lvl>
    <w:lvl w:ilvl="1">
      <w:start w:val="1"/>
      <w:numFmt w:val="decimal"/>
      <w:isLgl/>
      <w:lvlText w:val="%1.%2"/>
      <w:lvlJc w:val="left"/>
      <w:pPr>
        <w:ind w:left="1060" w:hanging="7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4D5321B"/>
    <w:multiLevelType w:val="hybridMultilevel"/>
    <w:tmpl w:val="93140210"/>
    <w:lvl w:ilvl="0" w:tplc="080A0001">
      <w:start w:val="1"/>
      <w:numFmt w:val="bullet"/>
      <w:lvlText w:val=""/>
      <w:lvlJc w:val="left"/>
      <w:pPr>
        <w:ind w:left="720" w:hanging="360"/>
      </w:pPr>
      <w:rPr>
        <w:rFonts w:ascii="Symbol" w:hAnsi="Symbol"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A775D5A"/>
    <w:multiLevelType w:val="hybridMultilevel"/>
    <w:tmpl w:val="63481B3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0FF56AE"/>
    <w:multiLevelType w:val="hybridMultilevel"/>
    <w:tmpl w:val="60BEB3C6"/>
    <w:lvl w:ilvl="0" w:tplc="33AA9012">
      <w:start w:val="1"/>
      <w:numFmt w:val="bullet"/>
      <w:lvlText w:val="-"/>
      <w:lvlJc w:val="left"/>
      <w:pPr>
        <w:ind w:left="720" w:hanging="360"/>
      </w:pPr>
      <w:rPr>
        <w:rFonts w:ascii="Garamond" w:eastAsiaTheme="minorHAnsi" w:hAnsi="Garamond" w:cstheme="minorBidi" w:hint="default"/>
        <w:b w:val="0"/>
      </w:rPr>
    </w:lvl>
    <w:lvl w:ilvl="1" w:tplc="FFFFFFFF" w:tentative="1">
      <w:start w:val="1"/>
      <w:numFmt w:val="bullet"/>
      <w:lvlText w:val="o"/>
      <w:lvlJc w:val="left"/>
      <w:pPr>
        <w:ind w:left="1785" w:hanging="360"/>
      </w:pPr>
      <w:rPr>
        <w:rFonts w:ascii="Courier New" w:hAnsi="Courier New" w:cs="Courier New" w:hint="default"/>
      </w:rPr>
    </w:lvl>
    <w:lvl w:ilvl="2" w:tplc="FFFFFFFF" w:tentative="1">
      <w:start w:val="1"/>
      <w:numFmt w:val="bullet"/>
      <w:lvlText w:val=""/>
      <w:lvlJc w:val="left"/>
      <w:pPr>
        <w:ind w:left="2505" w:hanging="360"/>
      </w:pPr>
      <w:rPr>
        <w:rFonts w:ascii="Wingdings" w:hAnsi="Wingdings" w:hint="default"/>
      </w:rPr>
    </w:lvl>
    <w:lvl w:ilvl="3" w:tplc="FFFFFFFF" w:tentative="1">
      <w:start w:val="1"/>
      <w:numFmt w:val="bullet"/>
      <w:lvlText w:val=""/>
      <w:lvlJc w:val="left"/>
      <w:pPr>
        <w:ind w:left="3225" w:hanging="360"/>
      </w:pPr>
      <w:rPr>
        <w:rFonts w:ascii="Symbol" w:hAnsi="Symbol" w:hint="default"/>
      </w:rPr>
    </w:lvl>
    <w:lvl w:ilvl="4" w:tplc="FFFFFFFF" w:tentative="1">
      <w:start w:val="1"/>
      <w:numFmt w:val="bullet"/>
      <w:lvlText w:val="o"/>
      <w:lvlJc w:val="left"/>
      <w:pPr>
        <w:ind w:left="3945" w:hanging="360"/>
      </w:pPr>
      <w:rPr>
        <w:rFonts w:ascii="Courier New" w:hAnsi="Courier New" w:cs="Courier New" w:hint="default"/>
      </w:rPr>
    </w:lvl>
    <w:lvl w:ilvl="5" w:tplc="FFFFFFFF" w:tentative="1">
      <w:start w:val="1"/>
      <w:numFmt w:val="bullet"/>
      <w:lvlText w:val=""/>
      <w:lvlJc w:val="left"/>
      <w:pPr>
        <w:ind w:left="4665" w:hanging="360"/>
      </w:pPr>
      <w:rPr>
        <w:rFonts w:ascii="Wingdings" w:hAnsi="Wingdings" w:hint="default"/>
      </w:rPr>
    </w:lvl>
    <w:lvl w:ilvl="6" w:tplc="FFFFFFFF" w:tentative="1">
      <w:start w:val="1"/>
      <w:numFmt w:val="bullet"/>
      <w:lvlText w:val=""/>
      <w:lvlJc w:val="left"/>
      <w:pPr>
        <w:ind w:left="5385" w:hanging="360"/>
      </w:pPr>
      <w:rPr>
        <w:rFonts w:ascii="Symbol" w:hAnsi="Symbol" w:hint="default"/>
      </w:rPr>
    </w:lvl>
    <w:lvl w:ilvl="7" w:tplc="FFFFFFFF" w:tentative="1">
      <w:start w:val="1"/>
      <w:numFmt w:val="bullet"/>
      <w:lvlText w:val="o"/>
      <w:lvlJc w:val="left"/>
      <w:pPr>
        <w:ind w:left="6105" w:hanging="360"/>
      </w:pPr>
      <w:rPr>
        <w:rFonts w:ascii="Courier New" w:hAnsi="Courier New" w:cs="Courier New" w:hint="default"/>
      </w:rPr>
    </w:lvl>
    <w:lvl w:ilvl="8" w:tplc="FFFFFFFF" w:tentative="1">
      <w:start w:val="1"/>
      <w:numFmt w:val="bullet"/>
      <w:lvlText w:val=""/>
      <w:lvlJc w:val="left"/>
      <w:pPr>
        <w:ind w:left="6825" w:hanging="360"/>
      </w:pPr>
      <w:rPr>
        <w:rFonts w:ascii="Wingdings" w:hAnsi="Wingdings" w:hint="default"/>
      </w:rPr>
    </w:lvl>
  </w:abstractNum>
  <w:abstractNum w:abstractNumId="7" w15:restartNumberingAfterBreak="0">
    <w:nsid w:val="34AE4832"/>
    <w:multiLevelType w:val="multilevel"/>
    <w:tmpl w:val="E46A3A42"/>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97870D2"/>
    <w:multiLevelType w:val="multilevel"/>
    <w:tmpl w:val="FC584E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4A5155BE"/>
    <w:multiLevelType w:val="hybridMultilevel"/>
    <w:tmpl w:val="37F647D8"/>
    <w:lvl w:ilvl="0" w:tplc="93C0BF88">
      <w:start w:val="2"/>
      <w:numFmt w:val="bullet"/>
      <w:lvlText w:val="-"/>
      <w:lvlJc w:val="left"/>
      <w:pPr>
        <w:ind w:left="1428" w:hanging="360"/>
      </w:pPr>
      <w:rPr>
        <w:rFonts w:ascii="Calibri Light" w:eastAsiaTheme="majorEastAsia" w:hAnsi="Calibri Light" w:cs="Calibri Light"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0" w15:restartNumberingAfterBreak="0">
    <w:nsid w:val="4B536A14"/>
    <w:multiLevelType w:val="hybridMultilevel"/>
    <w:tmpl w:val="574A04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E0A1614"/>
    <w:multiLevelType w:val="hybridMultilevel"/>
    <w:tmpl w:val="10B68D1E"/>
    <w:lvl w:ilvl="0" w:tplc="B0A2B99C">
      <w:start w:val="1"/>
      <w:numFmt w:val="bullet"/>
      <w:lvlText w:val="-"/>
      <w:lvlJc w:val="left"/>
      <w:pPr>
        <w:ind w:left="1428" w:hanging="360"/>
      </w:pPr>
      <w:rPr>
        <w:rFonts w:ascii="Garamond" w:eastAsiaTheme="minorHAnsi" w:hAnsi="Garamond" w:cstheme="minorBidi"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2" w15:restartNumberingAfterBreak="0">
    <w:nsid w:val="4E7810CF"/>
    <w:multiLevelType w:val="hybridMultilevel"/>
    <w:tmpl w:val="379CC870"/>
    <w:lvl w:ilvl="0" w:tplc="080A000F">
      <w:start w:val="1"/>
      <w:numFmt w:val="decimal"/>
      <w:lvlText w:val="%1."/>
      <w:lvlJc w:val="left"/>
      <w:pPr>
        <w:ind w:left="720" w:hanging="360"/>
      </w:pPr>
      <w:rPr>
        <w:rFonts w:hint="default"/>
        <w:b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EAC5CD0"/>
    <w:multiLevelType w:val="hybridMultilevel"/>
    <w:tmpl w:val="DC9CEC8E"/>
    <w:lvl w:ilvl="0" w:tplc="AD705004">
      <w:start w:val="1"/>
      <w:numFmt w:val="decimal"/>
      <w:pStyle w:val="Heading4"/>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1310DEB"/>
    <w:multiLevelType w:val="multilevel"/>
    <w:tmpl w:val="795A0514"/>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517363B9"/>
    <w:multiLevelType w:val="hybridMultilevel"/>
    <w:tmpl w:val="6C4E72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3EB1BF0"/>
    <w:multiLevelType w:val="hybridMultilevel"/>
    <w:tmpl w:val="5B0A2AEA"/>
    <w:lvl w:ilvl="0" w:tplc="33AA9012">
      <w:start w:val="1"/>
      <w:numFmt w:val="bullet"/>
      <w:lvlText w:val="-"/>
      <w:lvlJc w:val="left"/>
      <w:pPr>
        <w:ind w:left="720" w:hanging="360"/>
      </w:pPr>
      <w:rPr>
        <w:rFonts w:ascii="Garamond" w:eastAsiaTheme="minorHAnsi" w:hAnsi="Garamond" w:cstheme="minorBid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407492F"/>
    <w:multiLevelType w:val="hybridMultilevel"/>
    <w:tmpl w:val="84C0483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8" w15:restartNumberingAfterBreak="0">
    <w:nsid w:val="57466727"/>
    <w:multiLevelType w:val="multilevel"/>
    <w:tmpl w:val="6DBAF2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A010E87"/>
    <w:multiLevelType w:val="multilevel"/>
    <w:tmpl w:val="FC584E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5A8C65F8"/>
    <w:multiLevelType w:val="multilevel"/>
    <w:tmpl w:val="BC56DCCE"/>
    <w:lvl w:ilvl="0">
      <w:start w:val="1"/>
      <w:numFmt w:val="decimal"/>
      <w:lvlText w:val="%1."/>
      <w:lvlJc w:val="left"/>
      <w:pPr>
        <w:ind w:left="720" w:hanging="360"/>
      </w:pPr>
      <w:rPr>
        <w:rFonts w:hint="default"/>
      </w:rPr>
    </w:lvl>
    <w:lvl w:ilvl="1">
      <w:start w:val="1"/>
      <w:numFmt w:val="decimal"/>
      <w:isLgl/>
      <w:lvlText w:val="%1.%2"/>
      <w:lvlJc w:val="left"/>
      <w:pPr>
        <w:ind w:left="920" w:hanging="560"/>
      </w:pPr>
      <w:rPr>
        <w:rFonts w:hint="default"/>
      </w:rPr>
    </w:lvl>
    <w:lvl w:ilvl="2">
      <w:start w:val="1"/>
      <w:numFmt w:val="decimal"/>
      <w:isLgl/>
      <w:lvlText w:val="%1.%2.%3"/>
      <w:lvlJc w:val="left"/>
      <w:pPr>
        <w:ind w:left="1080" w:hanging="72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B521C85"/>
    <w:multiLevelType w:val="multilevel"/>
    <w:tmpl w:val="C9DE04A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60933106"/>
    <w:multiLevelType w:val="hybridMultilevel"/>
    <w:tmpl w:val="C04E0070"/>
    <w:lvl w:ilvl="0" w:tplc="080A000F">
      <w:start w:val="1"/>
      <w:numFmt w:val="decimal"/>
      <w:lvlText w:val="%1."/>
      <w:lvlJc w:val="left"/>
      <w:pPr>
        <w:ind w:left="720" w:hanging="360"/>
      </w:pPr>
      <w:rPr>
        <w:rFonts w:hint="default"/>
        <w:b w:val="0"/>
      </w:rPr>
    </w:lvl>
    <w:lvl w:ilvl="1" w:tplc="FFFFFFFF" w:tentative="1">
      <w:start w:val="1"/>
      <w:numFmt w:val="bullet"/>
      <w:lvlText w:val="o"/>
      <w:lvlJc w:val="left"/>
      <w:pPr>
        <w:ind w:left="1785" w:hanging="360"/>
      </w:pPr>
      <w:rPr>
        <w:rFonts w:ascii="Courier New" w:hAnsi="Courier New" w:cs="Courier New" w:hint="default"/>
      </w:rPr>
    </w:lvl>
    <w:lvl w:ilvl="2" w:tplc="FFFFFFFF" w:tentative="1">
      <w:start w:val="1"/>
      <w:numFmt w:val="bullet"/>
      <w:lvlText w:val=""/>
      <w:lvlJc w:val="left"/>
      <w:pPr>
        <w:ind w:left="2505" w:hanging="360"/>
      </w:pPr>
      <w:rPr>
        <w:rFonts w:ascii="Wingdings" w:hAnsi="Wingdings" w:hint="default"/>
      </w:rPr>
    </w:lvl>
    <w:lvl w:ilvl="3" w:tplc="FFFFFFFF" w:tentative="1">
      <w:start w:val="1"/>
      <w:numFmt w:val="bullet"/>
      <w:lvlText w:val=""/>
      <w:lvlJc w:val="left"/>
      <w:pPr>
        <w:ind w:left="3225" w:hanging="360"/>
      </w:pPr>
      <w:rPr>
        <w:rFonts w:ascii="Symbol" w:hAnsi="Symbol" w:hint="default"/>
      </w:rPr>
    </w:lvl>
    <w:lvl w:ilvl="4" w:tplc="FFFFFFFF" w:tentative="1">
      <w:start w:val="1"/>
      <w:numFmt w:val="bullet"/>
      <w:lvlText w:val="o"/>
      <w:lvlJc w:val="left"/>
      <w:pPr>
        <w:ind w:left="3945" w:hanging="360"/>
      </w:pPr>
      <w:rPr>
        <w:rFonts w:ascii="Courier New" w:hAnsi="Courier New" w:cs="Courier New" w:hint="default"/>
      </w:rPr>
    </w:lvl>
    <w:lvl w:ilvl="5" w:tplc="FFFFFFFF" w:tentative="1">
      <w:start w:val="1"/>
      <w:numFmt w:val="bullet"/>
      <w:lvlText w:val=""/>
      <w:lvlJc w:val="left"/>
      <w:pPr>
        <w:ind w:left="4665" w:hanging="360"/>
      </w:pPr>
      <w:rPr>
        <w:rFonts w:ascii="Wingdings" w:hAnsi="Wingdings" w:hint="default"/>
      </w:rPr>
    </w:lvl>
    <w:lvl w:ilvl="6" w:tplc="FFFFFFFF" w:tentative="1">
      <w:start w:val="1"/>
      <w:numFmt w:val="bullet"/>
      <w:lvlText w:val=""/>
      <w:lvlJc w:val="left"/>
      <w:pPr>
        <w:ind w:left="5385" w:hanging="360"/>
      </w:pPr>
      <w:rPr>
        <w:rFonts w:ascii="Symbol" w:hAnsi="Symbol" w:hint="default"/>
      </w:rPr>
    </w:lvl>
    <w:lvl w:ilvl="7" w:tplc="FFFFFFFF" w:tentative="1">
      <w:start w:val="1"/>
      <w:numFmt w:val="bullet"/>
      <w:lvlText w:val="o"/>
      <w:lvlJc w:val="left"/>
      <w:pPr>
        <w:ind w:left="6105" w:hanging="360"/>
      </w:pPr>
      <w:rPr>
        <w:rFonts w:ascii="Courier New" w:hAnsi="Courier New" w:cs="Courier New" w:hint="default"/>
      </w:rPr>
    </w:lvl>
    <w:lvl w:ilvl="8" w:tplc="FFFFFFFF" w:tentative="1">
      <w:start w:val="1"/>
      <w:numFmt w:val="bullet"/>
      <w:lvlText w:val=""/>
      <w:lvlJc w:val="left"/>
      <w:pPr>
        <w:ind w:left="6825" w:hanging="360"/>
      </w:pPr>
      <w:rPr>
        <w:rFonts w:ascii="Wingdings" w:hAnsi="Wingdings" w:hint="default"/>
      </w:rPr>
    </w:lvl>
  </w:abstractNum>
  <w:abstractNum w:abstractNumId="23" w15:restartNumberingAfterBreak="0">
    <w:nsid w:val="68567FAB"/>
    <w:multiLevelType w:val="multilevel"/>
    <w:tmpl w:val="4C0E3E7C"/>
    <w:lvl w:ilvl="0">
      <w:start w:val="1"/>
      <w:numFmt w:val="decimal"/>
      <w:lvlText w:val="%1"/>
      <w:lvlJc w:val="left"/>
      <w:pPr>
        <w:ind w:left="440" w:hanging="440"/>
      </w:pPr>
      <w:rPr>
        <w:rFonts w:hint="default"/>
      </w:rPr>
    </w:lvl>
    <w:lvl w:ilvl="1">
      <w:start w:val="1"/>
      <w:numFmt w:val="decimal"/>
      <w:lvlText w:val="%1.%2"/>
      <w:lvlJc w:val="left"/>
      <w:pPr>
        <w:ind w:left="800" w:hanging="4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FD462C3"/>
    <w:multiLevelType w:val="hybridMultilevel"/>
    <w:tmpl w:val="6E1C89B4"/>
    <w:lvl w:ilvl="0" w:tplc="FFFFFFFF">
      <w:start w:val="1"/>
      <w:numFmt w:val="decimal"/>
      <w:lvlText w:val="%1."/>
      <w:lvlJc w:val="left"/>
      <w:pPr>
        <w:ind w:left="720" w:hanging="360"/>
      </w:pPr>
      <w:rPr>
        <w:rFonts w:hint="default"/>
        <w:b w:val="0"/>
      </w:rPr>
    </w:lvl>
    <w:lvl w:ilvl="1" w:tplc="FFFFFFFF" w:tentative="1">
      <w:start w:val="1"/>
      <w:numFmt w:val="bullet"/>
      <w:lvlText w:val="o"/>
      <w:lvlJc w:val="left"/>
      <w:pPr>
        <w:ind w:left="1785" w:hanging="360"/>
      </w:pPr>
      <w:rPr>
        <w:rFonts w:ascii="Courier New" w:hAnsi="Courier New" w:cs="Courier New" w:hint="default"/>
      </w:rPr>
    </w:lvl>
    <w:lvl w:ilvl="2" w:tplc="FFFFFFFF" w:tentative="1">
      <w:start w:val="1"/>
      <w:numFmt w:val="bullet"/>
      <w:lvlText w:val=""/>
      <w:lvlJc w:val="left"/>
      <w:pPr>
        <w:ind w:left="2505" w:hanging="360"/>
      </w:pPr>
      <w:rPr>
        <w:rFonts w:ascii="Wingdings" w:hAnsi="Wingdings" w:hint="default"/>
      </w:rPr>
    </w:lvl>
    <w:lvl w:ilvl="3" w:tplc="FFFFFFFF" w:tentative="1">
      <w:start w:val="1"/>
      <w:numFmt w:val="bullet"/>
      <w:lvlText w:val=""/>
      <w:lvlJc w:val="left"/>
      <w:pPr>
        <w:ind w:left="3225" w:hanging="360"/>
      </w:pPr>
      <w:rPr>
        <w:rFonts w:ascii="Symbol" w:hAnsi="Symbol" w:hint="default"/>
      </w:rPr>
    </w:lvl>
    <w:lvl w:ilvl="4" w:tplc="FFFFFFFF" w:tentative="1">
      <w:start w:val="1"/>
      <w:numFmt w:val="bullet"/>
      <w:lvlText w:val="o"/>
      <w:lvlJc w:val="left"/>
      <w:pPr>
        <w:ind w:left="3945" w:hanging="360"/>
      </w:pPr>
      <w:rPr>
        <w:rFonts w:ascii="Courier New" w:hAnsi="Courier New" w:cs="Courier New" w:hint="default"/>
      </w:rPr>
    </w:lvl>
    <w:lvl w:ilvl="5" w:tplc="FFFFFFFF" w:tentative="1">
      <w:start w:val="1"/>
      <w:numFmt w:val="bullet"/>
      <w:lvlText w:val=""/>
      <w:lvlJc w:val="left"/>
      <w:pPr>
        <w:ind w:left="4665" w:hanging="360"/>
      </w:pPr>
      <w:rPr>
        <w:rFonts w:ascii="Wingdings" w:hAnsi="Wingdings" w:hint="default"/>
      </w:rPr>
    </w:lvl>
    <w:lvl w:ilvl="6" w:tplc="FFFFFFFF" w:tentative="1">
      <w:start w:val="1"/>
      <w:numFmt w:val="bullet"/>
      <w:lvlText w:val=""/>
      <w:lvlJc w:val="left"/>
      <w:pPr>
        <w:ind w:left="5385" w:hanging="360"/>
      </w:pPr>
      <w:rPr>
        <w:rFonts w:ascii="Symbol" w:hAnsi="Symbol" w:hint="default"/>
      </w:rPr>
    </w:lvl>
    <w:lvl w:ilvl="7" w:tplc="FFFFFFFF" w:tentative="1">
      <w:start w:val="1"/>
      <w:numFmt w:val="bullet"/>
      <w:lvlText w:val="o"/>
      <w:lvlJc w:val="left"/>
      <w:pPr>
        <w:ind w:left="6105" w:hanging="360"/>
      </w:pPr>
      <w:rPr>
        <w:rFonts w:ascii="Courier New" w:hAnsi="Courier New" w:cs="Courier New" w:hint="default"/>
      </w:rPr>
    </w:lvl>
    <w:lvl w:ilvl="8" w:tplc="FFFFFFFF" w:tentative="1">
      <w:start w:val="1"/>
      <w:numFmt w:val="bullet"/>
      <w:lvlText w:val=""/>
      <w:lvlJc w:val="left"/>
      <w:pPr>
        <w:ind w:left="6825" w:hanging="360"/>
      </w:pPr>
      <w:rPr>
        <w:rFonts w:ascii="Wingdings" w:hAnsi="Wingdings" w:hint="default"/>
      </w:rPr>
    </w:lvl>
  </w:abstractNum>
  <w:abstractNum w:abstractNumId="25" w15:restartNumberingAfterBreak="0">
    <w:nsid w:val="71F80C64"/>
    <w:multiLevelType w:val="multilevel"/>
    <w:tmpl w:val="05FE49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72805CA1"/>
    <w:multiLevelType w:val="hybridMultilevel"/>
    <w:tmpl w:val="9684BD4C"/>
    <w:lvl w:ilvl="0" w:tplc="33AA9012">
      <w:start w:val="1"/>
      <w:numFmt w:val="bullet"/>
      <w:lvlText w:val="-"/>
      <w:lvlJc w:val="left"/>
      <w:pPr>
        <w:ind w:left="720" w:hanging="360"/>
      </w:pPr>
      <w:rPr>
        <w:rFonts w:ascii="Garamond" w:eastAsiaTheme="minorHAnsi" w:hAnsi="Garamond" w:cstheme="minorBid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329481E"/>
    <w:multiLevelType w:val="multilevel"/>
    <w:tmpl w:val="CA20A8EE"/>
    <w:lvl w:ilvl="0">
      <w:start w:val="14"/>
      <w:numFmt w:val="decimal"/>
      <w:lvlText w:val="%1"/>
      <w:lvlJc w:val="left"/>
      <w:pPr>
        <w:ind w:left="465" w:hanging="465"/>
      </w:pPr>
      <w:rPr>
        <w:rFonts w:hint="default"/>
      </w:rPr>
    </w:lvl>
    <w:lvl w:ilvl="1">
      <w:start w:val="1"/>
      <w:numFmt w:val="decimal"/>
      <w:lvlText w:val="%1.%2"/>
      <w:lvlJc w:val="left"/>
      <w:pPr>
        <w:ind w:left="1173" w:hanging="46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8" w15:restartNumberingAfterBreak="0">
    <w:nsid w:val="775D0E93"/>
    <w:multiLevelType w:val="hybridMultilevel"/>
    <w:tmpl w:val="2542BFAA"/>
    <w:lvl w:ilvl="0" w:tplc="080A000F">
      <w:start w:val="1"/>
      <w:numFmt w:val="decimal"/>
      <w:lvlText w:val="%1."/>
      <w:lvlJc w:val="left"/>
      <w:pPr>
        <w:ind w:left="720" w:hanging="360"/>
      </w:pPr>
      <w:rPr>
        <w:rFonts w:hint="default"/>
        <w:b w:val="0"/>
      </w:rPr>
    </w:lvl>
    <w:lvl w:ilvl="1" w:tplc="FFFFFFFF" w:tentative="1">
      <w:start w:val="1"/>
      <w:numFmt w:val="bullet"/>
      <w:lvlText w:val="o"/>
      <w:lvlJc w:val="left"/>
      <w:pPr>
        <w:ind w:left="1785" w:hanging="360"/>
      </w:pPr>
      <w:rPr>
        <w:rFonts w:ascii="Courier New" w:hAnsi="Courier New" w:cs="Courier New" w:hint="default"/>
      </w:rPr>
    </w:lvl>
    <w:lvl w:ilvl="2" w:tplc="FFFFFFFF" w:tentative="1">
      <w:start w:val="1"/>
      <w:numFmt w:val="bullet"/>
      <w:lvlText w:val=""/>
      <w:lvlJc w:val="left"/>
      <w:pPr>
        <w:ind w:left="2505" w:hanging="360"/>
      </w:pPr>
      <w:rPr>
        <w:rFonts w:ascii="Wingdings" w:hAnsi="Wingdings" w:hint="default"/>
      </w:rPr>
    </w:lvl>
    <w:lvl w:ilvl="3" w:tplc="FFFFFFFF" w:tentative="1">
      <w:start w:val="1"/>
      <w:numFmt w:val="bullet"/>
      <w:lvlText w:val=""/>
      <w:lvlJc w:val="left"/>
      <w:pPr>
        <w:ind w:left="3225" w:hanging="360"/>
      </w:pPr>
      <w:rPr>
        <w:rFonts w:ascii="Symbol" w:hAnsi="Symbol" w:hint="default"/>
      </w:rPr>
    </w:lvl>
    <w:lvl w:ilvl="4" w:tplc="FFFFFFFF" w:tentative="1">
      <w:start w:val="1"/>
      <w:numFmt w:val="bullet"/>
      <w:lvlText w:val="o"/>
      <w:lvlJc w:val="left"/>
      <w:pPr>
        <w:ind w:left="3945" w:hanging="360"/>
      </w:pPr>
      <w:rPr>
        <w:rFonts w:ascii="Courier New" w:hAnsi="Courier New" w:cs="Courier New" w:hint="default"/>
      </w:rPr>
    </w:lvl>
    <w:lvl w:ilvl="5" w:tplc="FFFFFFFF" w:tentative="1">
      <w:start w:val="1"/>
      <w:numFmt w:val="bullet"/>
      <w:lvlText w:val=""/>
      <w:lvlJc w:val="left"/>
      <w:pPr>
        <w:ind w:left="4665" w:hanging="360"/>
      </w:pPr>
      <w:rPr>
        <w:rFonts w:ascii="Wingdings" w:hAnsi="Wingdings" w:hint="default"/>
      </w:rPr>
    </w:lvl>
    <w:lvl w:ilvl="6" w:tplc="FFFFFFFF" w:tentative="1">
      <w:start w:val="1"/>
      <w:numFmt w:val="bullet"/>
      <w:lvlText w:val=""/>
      <w:lvlJc w:val="left"/>
      <w:pPr>
        <w:ind w:left="5385" w:hanging="360"/>
      </w:pPr>
      <w:rPr>
        <w:rFonts w:ascii="Symbol" w:hAnsi="Symbol" w:hint="default"/>
      </w:rPr>
    </w:lvl>
    <w:lvl w:ilvl="7" w:tplc="FFFFFFFF" w:tentative="1">
      <w:start w:val="1"/>
      <w:numFmt w:val="bullet"/>
      <w:lvlText w:val="o"/>
      <w:lvlJc w:val="left"/>
      <w:pPr>
        <w:ind w:left="6105" w:hanging="360"/>
      </w:pPr>
      <w:rPr>
        <w:rFonts w:ascii="Courier New" w:hAnsi="Courier New" w:cs="Courier New" w:hint="default"/>
      </w:rPr>
    </w:lvl>
    <w:lvl w:ilvl="8" w:tplc="FFFFFFFF" w:tentative="1">
      <w:start w:val="1"/>
      <w:numFmt w:val="bullet"/>
      <w:lvlText w:val=""/>
      <w:lvlJc w:val="left"/>
      <w:pPr>
        <w:ind w:left="6825" w:hanging="360"/>
      </w:pPr>
      <w:rPr>
        <w:rFonts w:ascii="Wingdings" w:hAnsi="Wingdings" w:hint="default"/>
      </w:rPr>
    </w:lvl>
  </w:abstractNum>
  <w:abstractNum w:abstractNumId="29" w15:restartNumberingAfterBreak="0">
    <w:nsid w:val="7AFA1523"/>
    <w:multiLevelType w:val="hybridMultilevel"/>
    <w:tmpl w:val="A9B04A70"/>
    <w:lvl w:ilvl="0" w:tplc="080A000F">
      <w:start w:val="1"/>
      <w:numFmt w:val="decimal"/>
      <w:lvlText w:val="%1."/>
      <w:lvlJc w:val="left"/>
      <w:pPr>
        <w:ind w:left="720" w:hanging="360"/>
      </w:pPr>
      <w:rPr>
        <w:rFonts w:hint="default"/>
        <w:b w:val="0"/>
      </w:rPr>
    </w:lvl>
    <w:lvl w:ilvl="1" w:tplc="FFFFFFFF" w:tentative="1">
      <w:start w:val="1"/>
      <w:numFmt w:val="bullet"/>
      <w:lvlText w:val="o"/>
      <w:lvlJc w:val="left"/>
      <w:pPr>
        <w:ind w:left="1785" w:hanging="360"/>
      </w:pPr>
      <w:rPr>
        <w:rFonts w:ascii="Courier New" w:hAnsi="Courier New" w:cs="Courier New" w:hint="default"/>
      </w:rPr>
    </w:lvl>
    <w:lvl w:ilvl="2" w:tplc="FFFFFFFF" w:tentative="1">
      <w:start w:val="1"/>
      <w:numFmt w:val="bullet"/>
      <w:lvlText w:val=""/>
      <w:lvlJc w:val="left"/>
      <w:pPr>
        <w:ind w:left="2505" w:hanging="360"/>
      </w:pPr>
      <w:rPr>
        <w:rFonts w:ascii="Wingdings" w:hAnsi="Wingdings" w:hint="default"/>
      </w:rPr>
    </w:lvl>
    <w:lvl w:ilvl="3" w:tplc="FFFFFFFF" w:tentative="1">
      <w:start w:val="1"/>
      <w:numFmt w:val="bullet"/>
      <w:lvlText w:val=""/>
      <w:lvlJc w:val="left"/>
      <w:pPr>
        <w:ind w:left="3225" w:hanging="360"/>
      </w:pPr>
      <w:rPr>
        <w:rFonts w:ascii="Symbol" w:hAnsi="Symbol" w:hint="default"/>
      </w:rPr>
    </w:lvl>
    <w:lvl w:ilvl="4" w:tplc="FFFFFFFF" w:tentative="1">
      <w:start w:val="1"/>
      <w:numFmt w:val="bullet"/>
      <w:lvlText w:val="o"/>
      <w:lvlJc w:val="left"/>
      <w:pPr>
        <w:ind w:left="3945" w:hanging="360"/>
      </w:pPr>
      <w:rPr>
        <w:rFonts w:ascii="Courier New" w:hAnsi="Courier New" w:cs="Courier New" w:hint="default"/>
      </w:rPr>
    </w:lvl>
    <w:lvl w:ilvl="5" w:tplc="FFFFFFFF" w:tentative="1">
      <w:start w:val="1"/>
      <w:numFmt w:val="bullet"/>
      <w:lvlText w:val=""/>
      <w:lvlJc w:val="left"/>
      <w:pPr>
        <w:ind w:left="4665" w:hanging="360"/>
      </w:pPr>
      <w:rPr>
        <w:rFonts w:ascii="Wingdings" w:hAnsi="Wingdings" w:hint="default"/>
      </w:rPr>
    </w:lvl>
    <w:lvl w:ilvl="6" w:tplc="FFFFFFFF" w:tentative="1">
      <w:start w:val="1"/>
      <w:numFmt w:val="bullet"/>
      <w:lvlText w:val=""/>
      <w:lvlJc w:val="left"/>
      <w:pPr>
        <w:ind w:left="5385" w:hanging="360"/>
      </w:pPr>
      <w:rPr>
        <w:rFonts w:ascii="Symbol" w:hAnsi="Symbol" w:hint="default"/>
      </w:rPr>
    </w:lvl>
    <w:lvl w:ilvl="7" w:tplc="FFFFFFFF" w:tentative="1">
      <w:start w:val="1"/>
      <w:numFmt w:val="bullet"/>
      <w:lvlText w:val="o"/>
      <w:lvlJc w:val="left"/>
      <w:pPr>
        <w:ind w:left="6105" w:hanging="360"/>
      </w:pPr>
      <w:rPr>
        <w:rFonts w:ascii="Courier New" w:hAnsi="Courier New" w:cs="Courier New" w:hint="default"/>
      </w:rPr>
    </w:lvl>
    <w:lvl w:ilvl="8" w:tplc="FFFFFFFF" w:tentative="1">
      <w:start w:val="1"/>
      <w:numFmt w:val="bullet"/>
      <w:lvlText w:val=""/>
      <w:lvlJc w:val="left"/>
      <w:pPr>
        <w:ind w:left="6825" w:hanging="360"/>
      </w:pPr>
      <w:rPr>
        <w:rFonts w:ascii="Wingdings" w:hAnsi="Wingdings" w:hint="default"/>
      </w:rPr>
    </w:lvl>
  </w:abstractNum>
  <w:abstractNum w:abstractNumId="30" w15:restartNumberingAfterBreak="0">
    <w:nsid w:val="7E6D7E17"/>
    <w:multiLevelType w:val="hybridMultilevel"/>
    <w:tmpl w:val="E968EB74"/>
    <w:lvl w:ilvl="0" w:tplc="4BBCCE40">
      <w:start w:val="2"/>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7FF65DCD"/>
    <w:multiLevelType w:val="multilevel"/>
    <w:tmpl w:val="FC584E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330789708">
    <w:abstractNumId w:val="10"/>
  </w:num>
  <w:num w:numId="2" w16cid:durableId="1562017481">
    <w:abstractNumId w:val="3"/>
  </w:num>
  <w:num w:numId="3" w16cid:durableId="1909916660">
    <w:abstractNumId w:val="8"/>
  </w:num>
  <w:num w:numId="4" w16cid:durableId="58292757">
    <w:abstractNumId w:val="17"/>
  </w:num>
  <w:num w:numId="5" w16cid:durableId="388960731">
    <w:abstractNumId w:val="5"/>
  </w:num>
  <w:num w:numId="6" w16cid:durableId="743527608">
    <w:abstractNumId w:val="15"/>
  </w:num>
  <w:num w:numId="7" w16cid:durableId="83034533">
    <w:abstractNumId w:val="6"/>
  </w:num>
  <w:num w:numId="8" w16cid:durableId="1298031421">
    <w:abstractNumId w:val="27"/>
  </w:num>
  <w:num w:numId="9" w16cid:durableId="794906730">
    <w:abstractNumId w:val="4"/>
  </w:num>
  <w:num w:numId="10" w16cid:durableId="519782812">
    <w:abstractNumId w:val="25"/>
  </w:num>
  <w:num w:numId="11" w16cid:durableId="1444880573">
    <w:abstractNumId w:val="26"/>
  </w:num>
  <w:num w:numId="12" w16cid:durableId="472794192">
    <w:abstractNumId w:val="16"/>
  </w:num>
  <w:num w:numId="13" w16cid:durableId="44305230">
    <w:abstractNumId w:val="23"/>
  </w:num>
  <w:num w:numId="14" w16cid:durableId="895507155">
    <w:abstractNumId w:val="20"/>
  </w:num>
  <w:num w:numId="15" w16cid:durableId="2078821048">
    <w:abstractNumId w:val="7"/>
  </w:num>
  <w:num w:numId="16" w16cid:durableId="990518587">
    <w:abstractNumId w:val="18"/>
  </w:num>
  <w:num w:numId="17" w16cid:durableId="1460101473">
    <w:abstractNumId w:val="0"/>
  </w:num>
  <w:num w:numId="18" w16cid:durableId="1327784933">
    <w:abstractNumId w:val="31"/>
  </w:num>
  <w:num w:numId="19" w16cid:durableId="269513187">
    <w:abstractNumId w:val="19"/>
  </w:num>
  <w:num w:numId="20" w16cid:durableId="319843859">
    <w:abstractNumId w:val="30"/>
  </w:num>
  <w:num w:numId="21" w16cid:durableId="1329164867">
    <w:abstractNumId w:val="9"/>
  </w:num>
  <w:num w:numId="22" w16cid:durableId="1886327516">
    <w:abstractNumId w:val="14"/>
  </w:num>
  <w:num w:numId="23" w16cid:durableId="858200494">
    <w:abstractNumId w:val="11"/>
  </w:num>
  <w:num w:numId="24" w16cid:durableId="236214252">
    <w:abstractNumId w:val="13"/>
  </w:num>
  <w:num w:numId="25" w16cid:durableId="1623074570">
    <w:abstractNumId w:val="21"/>
  </w:num>
  <w:num w:numId="26" w16cid:durableId="1203402438">
    <w:abstractNumId w:val="29"/>
  </w:num>
  <w:num w:numId="27" w16cid:durableId="1700082890">
    <w:abstractNumId w:val="22"/>
  </w:num>
  <w:num w:numId="28" w16cid:durableId="1520123709">
    <w:abstractNumId w:val="2"/>
  </w:num>
  <w:num w:numId="29" w16cid:durableId="2075853092">
    <w:abstractNumId w:val="24"/>
  </w:num>
  <w:num w:numId="30" w16cid:durableId="1884437011">
    <w:abstractNumId w:val="1"/>
  </w:num>
  <w:num w:numId="31" w16cid:durableId="1012032280">
    <w:abstractNumId w:val="28"/>
  </w:num>
  <w:num w:numId="32" w16cid:durableId="14766059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6F3"/>
    <w:rsid w:val="00000A8A"/>
    <w:rsid w:val="000019A9"/>
    <w:rsid w:val="00001B0B"/>
    <w:rsid w:val="0000371F"/>
    <w:rsid w:val="000047F8"/>
    <w:rsid w:val="0000533D"/>
    <w:rsid w:val="00005497"/>
    <w:rsid w:val="000068E7"/>
    <w:rsid w:val="00006D95"/>
    <w:rsid w:val="000107F9"/>
    <w:rsid w:val="00011B12"/>
    <w:rsid w:val="0001231C"/>
    <w:rsid w:val="00012611"/>
    <w:rsid w:val="00012828"/>
    <w:rsid w:val="00012BAE"/>
    <w:rsid w:val="0001321D"/>
    <w:rsid w:val="000142D5"/>
    <w:rsid w:val="00014556"/>
    <w:rsid w:val="00015B79"/>
    <w:rsid w:val="00016936"/>
    <w:rsid w:val="00016973"/>
    <w:rsid w:val="00016E65"/>
    <w:rsid w:val="00017062"/>
    <w:rsid w:val="000201EB"/>
    <w:rsid w:val="00020554"/>
    <w:rsid w:val="00020568"/>
    <w:rsid w:val="000221E4"/>
    <w:rsid w:val="00022E73"/>
    <w:rsid w:val="0002318E"/>
    <w:rsid w:val="00023645"/>
    <w:rsid w:val="00023C1B"/>
    <w:rsid w:val="00023FCB"/>
    <w:rsid w:val="00030621"/>
    <w:rsid w:val="00030914"/>
    <w:rsid w:val="00031080"/>
    <w:rsid w:val="00031A7D"/>
    <w:rsid w:val="00032E7D"/>
    <w:rsid w:val="000342E6"/>
    <w:rsid w:val="00034340"/>
    <w:rsid w:val="00034735"/>
    <w:rsid w:val="0003499C"/>
    <w:rsid w:val="00036C00"/>
    <w:rsid w:val="00036C83"/>
    <w:rsid w:val="0003788F"/>
    <w:rsid w:val="000421A3"/>
    <w:rsid w:val="00042234"/>
    <w:rsid w:val="00042633"/>
    <w:rsid w:val="00042AD0"/>
    <w:rsid w:val="00044697"/>
    <w:rsid w:val="000454DA"/>
    <w:rsid w:val="00045820"/>
    <w:rsid w:val="00045FB6"/>
    <w:rsid w:val="00046057"/>
    <w:rsid w:val="000460C7"/>
    <w:rsid w:val="00046BC9"/>
    <w:rsid w:val="00047244"/>
    <w:rsid w:val="00047288"/>
    <w:rsid w:val="00047ECF"/>
    <w:rsid w:val="00051113"/>
    <w:rsid w:val="0005143C"/>
    <w:rsid w:val="00051907"/>
    <w:rsid w:val="00054068"/>
    <w:rsid w:val="000546F8"/>
    <w:rsid w:val="00054998"/>
    <w:rsid w:val="00054C6D"/>
    <w:rsid w:val="00054D6D"/>
    <w:rsid w:val="00054E94"/>
    <w:rsid w:val="00055143"/>
    <w:rsid w:val="000574C8"/>
    <w:rsid w:val="000575E5"/>
    <w:rsid w:val="00057E5E"/>
    <w:rsid w:val="00060BEC"/>
    <w:rsid w:val="00060C25"/>
    <w:rsid w:val="00060EF2"/>
    <w:rsid w:val="00062BA6"/>
    <w:rsid w:val="00063A7F"/>
    <w:rsid w:val="00064EC3"/>
    <w:rsid w:val="0006505D"/>
    <w:rsid w:val="000658DA"/>
    <w:rsid w:val="000662DD"/>
    <w:rsid w:val="00066E0D"/>
    <w:rsid w:val="000670F2"/>
    <w:rsid w:val="000700C0"/>
    <w:rsid w:val="000707A3"/>
    <w:rsid w:val="00070F4B"/>
    <w:rsid w:val="00072175"/>
    <w:rsid w:val="000722ED"/>
    <w:rsid w:val="00072310"/>
    <w:rsid w:val="000725B9"/>
    <w:rsid w:val="00073D9F"/>
    <w:rsid w:val="00074F2A"/>
    <w:rsid w:val="00075A97"/>
    <w:rsid w:val="00075FA7"/>
    <w:rsid w:val="0007749A"/>
    <w:rsid w:val="00077532"/>
    <w:rsid w:val="00077F18"/>
    <w:rsid w:val="00081620"/>
    <w:rsid w:val="00082009"/>
    <w:rsid w:val="00082B8F"/>
    <w:rsid w:val="0008389B"/>
    <w:rsid w:val="00083F5F"/>
    <w:rsid w:val="0008439B"/>
    <w:rsid w:val="000843FE"/>
    <w:rsid w:val="000851B0"/>
    <w:rsid w:val="00085795"/>
    <w:rsid w:val="00086244"/>
    <w:rsid w:val="000864C2"/>
    <w:rsid w:val="000866CC"/>
    <w:rsid w:val="000868B4"/>
    <w:rsid w:val="00086F01"/>
    <w:rsid w:val="0008768B"/>
    <w:rsid w:val="00087BA7"/>
    <w:rsid w:val="00087C42"/>
    <w:rsid w:val="00090210"/>
    <w:rsid w:val="0009042C"/>
    <w:rsid w:val="00091EF1"/>
    <w:rsid w:val="000927D2"/>
    <w:rsid w:val="00092E5C"/>
    <w:rsid w:val="000931A4"/>
    <w:rsid w:val="00093485"/>
    <w:rsid w:val="000934D4"/>
    <w:rsid w:val="0009384E"/>
    <w:rsid w:val="00094190"/>
    <w:rsid w:val="000950F2"/>
    <w:rsid w:val="000968A7"/>
    <w:rsid w:val="00097552"/>
    <w:rsid w:val="000977BA"/>
    <w:rsid w:val="000A0890"/>
    <w:rsid w:val="000A3FF0"/>
    <w:rsid w:val="000A4822"/>
    <w:rsid w:val="000A4D9E"/>
    <w:rsid w:val="000A4E42"/>
    <w:rsid w:val="000A5049"/>
    <w:rsid w:val="000A687B"/>
    <w:rsid w:val="000A69F5"/>
    <w:rsid w:val="000A7939"/>
    <w:rsid w:val="000A7B0B"/>
    <w:rsid w:val="000B0520"/>
    <w:rsid w:val="000B060B"/>
    <w:rsid w:val="000B1701"/>
    <w:rsid w:val="000B223E"/>
    <w:rsid w:val="000B287F"/>
    <w:rsid w:val="000B28CF"/>
    <w:rsid w:val="000B324A"/>
    <w:rsid w:val="000B3597"/>
    <w:rsid w:val="000B374E"/>
    <w:rsid w:val="000B3C1A"/>
    <w:rsid w:val="000B3D2F"/>
    <w:rsid w:val="000B4013"/>
    <w:rsid w:val="000B4AD7"/>
    <w:rsid w:val="000B4F1F"/>
    <w:rsid w:val="000B60B1"/>
    <w:rsid w:val="000B6582"/>
    <w:rsid w:val="000C0384"/>
    <w:rsid w:val="000C0774"/>
    <w:rsid w:val="000C1376"/>
    <w:rsid w:val="000C1528"/>
    <w:rsid w:val="000C1EE5"/>
    <w:rsid w:val="000C2A30"/>
    <w:rsid w:val="000C356F"/>
    <w:rsid w:val="000C3627"/>
    <w:rsid w:val="000C478B"/>
    <w:rsid w:val="000C4CAB"/>
    <w:rsid w:val="000C4D4B"/>
    <w:rsid w:val="000C56B2"/>
    <w:rsid w:val="000C571A"/>
    <w:rsid w:val="000C5D9D"/>
    <w:rsid w:val="000C6C4E"/>
    <w:rsid w:val="000C77FB"/>
    <w:rsid w:val="000C7851"/>
    <w:rsid w:val="000D0E4C"/>
    <w:rsid w:val="000D1DC8"/>
    <w:rsid w:val="000D2990"/>
    <w:rsid w:val="000D3538"/>
    <w:rsid w:val="000D35CF"/>
    <w:rsid w:val="000D3AA5"/>
    <w:rsid w:val="000D54BB"/>
    <w:rsid w:val="000D5884"/>
    <w:rsid w:val="000D5AC6"/>
    <w:rsid w:val="000D5B07"/>
    <w:rsid w:val="000D64DB"/>
    <w:rsid w:val="000E0058"/>
    <w:rsid w:val="000E038A"/>
    <w:rsid w:val="000E1161"/>
    <w:rsid w:val="000E1D40"/>
    <w:rsid w:val="000E1FFD"/>
    <w:rsid w:val="000E2398"/>
    <w:rsid w:val="000E2B5F"/>
    <w:rsid w:val="000E383C"/>
    <w:rsid w:val="000E3F43"/>
    <w:rsid w:val="000E4580"/>
    <w:rsid w:val="000E4B77"/>
    <w:rsid w:val="000E4B89"/>
    <w:rsid w:val="000E4ECF"/>
    <w:rsid w:val="000E5340"/>
    <w:rsid w:val="000E6EDF"/>
    <w:rsid w:val="000E7468"/>
    <w:rsid w:val="000E7ABC"/>
    <w:rsid w:val="000E7B61"/>
    <w:rsid w:val="000F0559"/>
    <w:rsid w:val="000F0A34"/>
    <w:rsid w:val="000F0BC4"/>
    <w:rsid w:val="000F0E3D"/>
    <w:rsid w:val="000F1597"/>
    <w:rsid w:val="000F2348"/>
    <w:rsid w:val="000F29B9"/>
    <w:rsid w:val="000F417C"/>
    <w:rsid w:val="000F52C9"/>
    <w:rsid w:val="000F5E46"/>
    <w:rsid w:val="000F6633"/>
    <w:rsid w:val="000F685C"/>
    <w:rsid w:val="000F75F2"/>
    <w:rsid w:val="000F7F04"/>
    <w:rsid w:val="0010028D"/>
    <w:rsid w:val="00100548"/>
    <w:rsid w:val="00101278"/>
    <w:rsid w:val="001018CB"/>
    <w:rsid w:val="001018D5"/>
    <w:rsid w:val="00101AD6"/>
    <w:rsid w:val="00101D43"/>
    <w:rsid w:val="00102D72"/>
    <w:rsid w:val="00104A82"/>
    <w:rsid w:val="00104AF1"/>
    <w:rsid w:val="001056C1"/>
    <w:rsid w:val="00105895"/>
    <w:rsid w:val="00106444"/>
    <w:rsid w:val="0011004D"/>
    <w:rsid w:val="001100AC"/>
    <w:rsid w:val="001112A6"/>
    <w:rsid w:val="001114DC"/>
    <w:rsid w:val="00111964"/>
    <w:rsid w:val="00111C66"/>
    <w:rsid w:val="0011211D"/>
    <w:rsid w:val="00112214"/>
    <w:rsid w:val="0011284C"/>
    <w:rsid w:val="0011312C"/>
    <w:rsid w:val="00113D04"/>
    <w:rsid w:val="00114682"/>
    <w:rsid w:val="00114729"/>
    <w:rsid w:val="00114D69"/>
    <w:rsid w:val="00115541"/>
    <w:rsid w:val="00115B09"/>
    <w:rsid w:val="00116710"/>
    <w:rsid w:val="001167EF"/>
    <w:rsid w:val="0011762A"/>
    <w:rsid w:val="001200E9"/>
    <w:rsid w:val="0012012C"/>
    <w:rsid w:val="00120293"/>
    <w:rsid w:val="0012282B"/>
    <w:rsid w:val="00124967"/>
    <w:rsid w:val="001253BE"/>
    <w:rsid w:val="00125A7C"/>
    <w:rsid w:val="00125BCB"/>
    <w:rsid w:val="001269AB"/>
    <w:rsid w:val="00126A28"/>
    <w:rsid w:val="00127CF8"/>
    <w:rsid w:val="00127DD2"/>
    <w:rsid w:val="001300D2"/>
    <w:rsid w:val="0013035C"/>
    <w:rsid w:val="001305FC"/>
    <w:rsid w:val="00130C64"/>
    <w:rsid w:val="00130FC7"/>
    <w:rsid w:val="00131717"/>
    <w:rsid w:val="00132517"/>
    <w:rsid w:val="00133AFF"/>
    <w:rsid w:val="00135209"/>
    <w:rsid w:val="00135BB6"/>
    <w:rsid w:val="00136BD3"/>
    <w:rsid w:val="00136D9A"/>
    <w:rsid w:val="00137DF8"/>
    <w:rsid w:val="00141EF0"/>
    <w:rsid w:val="00142524"/>
    <w:rsid w:val="00142C13"/>
    <w:rsid w:val="001437A5"/>
    <w:rsid w:val="00143C7F"/>
    <w:rsid w:val="0014441B"/>
    <w:rsid w:val="00144A2E"/>
    <w:rsid w:val="001468AD"/>
    <w:rsid w:val="00146DCB"/>
    <w:rsid w:val="001471E4"/>
    <w:rsid w:val="001472DA"/>
    <w:rsid w:val="00147E6B"/>
    <w:rsid w:val="00150440"/>
    <w:rsid w:val="00150FE0"/>
    <w:rsid w:val="00151D64"/>
    <w:rsid w:val="00151DA0"/>
    <w:rsid w:val="00152917"/>
    <w:rsid w:val="001530CD"/>
    <w:rsid w:val="00154E59"/>
    <w:rsid w:val="00155715"/>
    <w:rsid w:val="0015571D"/>
    <w:rsid w:val="001558A1"/>
    <w:rsid w:val="0015661A"/>
    <w:rsid w:val="00160629"/>
    <w:rsid w:val="00161366"/>
    <w:rsid w:val="001614CC"/>
    <w:rsid w:val="00162E99"/>
    <w:rsid w:val="00162EE1"/>
    <w:rsid w:val="0016343B"/>
    <w:rsid w:val="00164583"/>
    <w:rsid w:val="00164B91"/>
    <w:rsid w:val="00165AE9"/>
    <w:rsid w:val="00165C1A"/>
    <w:rsid w:val="00166B44"/>
    <w:rsid w:val="00167023"/>
    <w:rsid w:val="0016736F"/>
    <w:rsid w:val="00170294"/>
    <w:rsid w:val="001702C6"/>
    <w:rsid w:val="0017097A"/>
    <w:rsid w:val="00172A40"/>
    <w:rsid w:val="00172CEC"/>
    <w:rsid w:val="00173951"/>
    <w:rsid w:val="00174688"/>
    <w:rsid w:val="0017492C"/>
    <w:rsid w:val="00175789"/>
    <w:rsid w:val="00175BD8"/>
    <w:rsid w:val="00176AD1"/>
    <w:rsid w:val="00176BAE"/>
    <w:rsid w:val="0017701C"/>
    <w:rsid w:val="00177AC8"/>
    <w:rsid w:val="0018096E"/>
    <w:rsid w:val="00180A45"/>
    <w:rsid w:val="001819BE"/>
    <w:rsid w:val="00181C7F"/>
    <w:rsid w:val="00181E5F"/>
    <w:rsid w:val="001834F9"/>
    <w:rsid w:val="00184F7B"/>
    <w:rsid w:val="0018582F"/>
    <w:rsid w:val="00186459"/>
    <w:rsid w:val="00187347"/>
    <w:rsid w:val="0019057F"/>
    <w:rsid w:val="001906A7"/>
    <w:rsid w:val="00190ACF"/>
    <w:rsid w:val="00191036"/>
    <w:rsid w:val="0019178D"/>
    <w:rsid w:val="00191966"/>
    <w:rsid w:val="00192266"/>
    <w:rsid w:val="0019253D"/>
    <w:rsid w:val="00192CC1"/>
    <w:rsid w:val="001947B8"/>
    <w:rsid w:val="00194FD0"/>
    <w:rsid w:val="001951AE"/>
    <w:rsid w:val="0019581C"/>
    <w:rsid w:val="0019664B"/>
    <w:rsid w:val="001970DB"/>
    <w:rsid w:val="00197A40"/>
    <w:rsid w:val="001A0070"/>
    <w:rsid w:val="001A09F4"/>
    <w:rsid w:val="001A0A09"/>
    <w:rsid w:val="001A11D7"/>
    <w:rsid w:val="001A20F6"/>
    <w:rsid w:val="001A2F13"/>
    <w:rsid w:val="001A3023"/>
    <w:rsid w:val="001A3046"/>
    <w:rsid w:val="001A330A"/>
    <w:rsid w:val="001A3684"/>
    <w:rsid w:val="001A3692"/>
    <w:rsid w:val="001A3AE3"/>
    <w:rsid w:val="001A497B"/>
    <w:rsid w:val="001A6EA8"/>
    <w:rsid w:val="001B077D"/>
    <w:rsid w:val="001B2B39"/>
    <w:rsid w:val="001B348D"/>
    <w:rsid w:val="001B3B1A"/>
    <w:rsid w:val="001B3EB6"/>
    <w:rsid w:val="001B40FA"/>
    <w:rsid w:val="001B4B10"/>
    <w:rsid w:val="001B52DB"/>
    <w:rsid w:val="001B59F0"/>
    <w:rsid w:val="001B6A65"/>
    <w:rsid w:val="001B6F76"/>
    <w:rsid w:val="001B7387"/>
    <w:rsid w:val="001B74F6"/>
    <w:rsid w:val="001B7597"/>
    <w:rsid w:val="001B7F17"/>
    <w:rsid w:val="001C10F3"/>
    <w:rsid w:val="001C1BCE"/>
    <w:rsid w:val="001C2DD1"/>
    <w:rsid w:val="001C2E57"/>
    <w:rsid w:val="001C38DA"/>
    <w:rsid w:val="001C509E"/>
    <w:rsid w:val="001C5ED8"/>
    <w:rsid w:val="001C6232"/>
    <w:rsid w:val="001C632D"/>
    <w:rsid w:val="001C6C71"/>
    <w:rsid w:val="001D093F"/>
    <w:rsid w:val="001D1DAA"/>
    <w:rsid w:val="001D2F18"/>
    <w:rsid w:val="001D496D"/>
    <w:rsid w:val="001D4EF5"/>
    <w:rsid w:val="001D5208"/>
    <w:rsid w:val="001D5F42"/>
    <w:rsid w:val="001E02AF"/>
    <w:rsid w:val="001E18A8"/>
    <w:rsid w:val="001E2025"/>
    <w:rsid w:val="001E225E"/>
    <w:rsid w:val="001E3025"/>
    <w:rsid w:val="001E3501"/>
    <w:rsid w:val="001E3C3E"/>
    <w:rsid w:val="001E4B0E"/>
    <w:rsid w:val="001E4EE8"/>
    <w:rsid w:val="001E4FD7"/>
    <w:rsid w:val="001E5516"/>
    <w:rsid w:val="001E5BE3"/>
    <w:rsid w:val="001E5EC2"/>
    <w:rsid w:val="001E6DD7"/>
    <w:rsid w:val="001E6E58"/>
    <w:rsid w:val="001E704F"/>
    <w:rsid w:val="001F0211"/>
    <w:rsid w:val="001F24DB"/>
    <w:rsid w:val="001F274E"/>
    <w:rsid w:val="001F3525"/>
    <w:rsid w:val="001F4BAA"/>
    <w:rsid w:val="001F514D"/>
    <w:rsid w:val="001F653C"/>
    <w:rsid w:val="001F7A1A"/>
    <w:rsid w:val="001F7BBB"/>
    <w:rsid w:val="001F7D2F"/>
    <w:rsid w:val="0020072E"/>
    <w:rsid w:val="00201BAA"/>
    <w:rsid w:val="00202436"/>
    <w:rsid w:val="002031EB"/>
    <w:rsid w:val="00204424"/>
    <w:rsid w:val="0020627D"/>
    <w:rsid w:val="0020695B"/>
    <w:rsid w:val="002076BC"/>
    <w:rsid w:val="00207A21"/>
    <w:rsid w:val="00211410"/>
    <w:rsid w:val="002118E1"/>
    <w:rsid w:val="00211A58"/>
    <w:rsid w:val="00211F2A"/>
    <w:rsid w:val="002134E0"/>
    <w:rsid w:val="00213769"/>
    <w:rsid w:val="002153A7"/>
    <w:rsid w:val="00215A94"/>
    <w:rsid w:val="00216414"/>
    <w:rsid w:val="00216B2C"/>
    <w:rsid w:val="00217089"/>
    <w:rsid w:val="00217EC5"/>
    <w:rsid w:val="0022043B"/>
    <w:rsid w:val="002216ED"/>
    <w:rsid w:val="0022289D"/>
    <w:rsid w:val="00223642"/>
    <w:rsid w:val="00223B06"/>
    <w:rsid w:val="002241FD"/>
    <w:rsid w:val="00225592"/>
    <w:rsid w:val="00225666"/>
    <w:rsid w:val="00227FCC"/>
    <w:rsid w:val="002306AB"/>
    <w:rsid w:val="00231372"/>
    <w:rsid w:val="00231421"/>
    <w:rsid w:val="002314E4"/>
    <w:rsid w:val="00232714"/>
    <w:rsid w:val="002329C4"/>
    <w:rsid w:val="00232FCE"/>
    <w:rsid w:val="00233E6C"/>
    <w:rsid w:val="00234BFB"/>
    <w:rsid w:val="00235722"/>
    <w:rsid w:val="00235FBB"/>
    <w:rsid w:val="0023630F"/>
    <w:rsid w:val="002372A8"/>
    <w:rsid w:val="00237784"/>
    <w:rsid w:val="0023788A"/>
    <w:rsid w:val="002378CA"/>
    <w:rsid w:val="00237CAF"/>
    <w:rsid w:val="00240180"/>
    <w:rsid w:val="00240505"/>
    <w:rsid w:val="00240DBD"/>
    <w:rsid w:val="00241095"/>
    <w:rsid w:val="002416B2"/>
    <w:rsid w:val="0024245D"/>
    <w:rsid w:val="00242A7B"/>
    <w:rsid w:val="00242AAD"/>
    <w:rsid w:val="00243ACD"/>
    <w:rsid w:val="0024409A"/>
    <w:rsid w:val="00244181"/>
    <w:rsid w:val="00244BA8"/>
    <w:rsid w:val="00245EE6"/>
    <w:rsid w:val="00246303"/>
    <w:rsid w:val="00246512"/>
    <w:rsid w:val="002477C7"/>
    <w:rsid w:val="00250036"/>
    <w:rsid w:val="00250DE6"/>
    <w:rsid w:val="00252246"/>
    <w:rsid w:val="00252D86"/>
    <w:rsid w:val="00253092"/>
    <w:rsid w:val="0025359E"/>
    <w:rsid w:val="00253FE8"/>
    <w:rsid w:val="00254F19"/>
    <w:rsid w:val="00255109"/>
    <w:rsid w:val="002567BA"/>
    <w:rsid w:val="002569E2"/>
    <w:rsid w:val="00260A3F"/>
    <w:rsid w:val="00262B61"/>
    <w:rsid w:val="00262E3C"/>
    <w:rsid w:val="00263075"/>
    <w:rsid w:val="002637DF"/>
    <w:rsid w:val="0026416E"/>
    <w:rsid w:val="0026440F"/>
    <w:rsid w:val="00264EC4"/>
    <w:rsid w:val="002651FA"/>
    <w:rsid w:val="00265822"/>
    <w:rsid w:val="002659C6"/>
    <w:rsid w:val="00266592"/>
    <w:rsid w:val="00267124"/>
    <w:rsid w:val="002679F4"/>
    <w:rsid w:val="00271F4F"/>
    <w:rsid w:val="002723DA"/>
    <w:rsid w:val="0027295C"/>
    <w:rsid w:val="00272F49"/>
    <w:rsid w:val="00274366"/>
    <w:rsid w:val="002744F2"/>
    <w:rsid w:val="00274CD5"/>
    <w:rsid w:val="002753A9"/>
    <w:rsid w:val="00275658"/>
    <w:rsid w:val="00275BD6"/>
    <w:rsid w:val="00276928"/>
    <w:rsid w:val="00277048"/>
    <w:rsid w:val="0028015B"/>
    <w:rsid w:val="00280551"/>
    <w:rsid w:val="002814E5"/>
    <w:rsid w:val="00282B23"/>
    <w:rsid w:val="00283D6D"/>
    <w:rsid w:val="0028439C"/>
    <w:rsid w:val="00284CC3"/>
    <w:rsid w:val="00284D2A"/>
    <w:rsid w:val="002856F7"/>
    <w:rsid w:val="00286199"/>
    <w:rsid w:val="00286D03"/>
    <w:rsid w:val="00291201"/>
    <w:rsid w:val="00291F82"/>
    <w:rsid w:val="00292829"/>
    <w:rsid w:val="00292A02"/>
    <w:rsid w:val="00292D8A"/>
    <w:rsid w:val="00293311"/>
    <w:rsid w:val="0029589A"/>
    <w:rsid w:val="002958C4"/>
    <w:rsid w:val="00295BB3"/>
    <w:rsid w:val="002970EB"/>
    <w:rsid w:val="002978AF"/>
    <w:rsid w:val="002A07E9"/>
    <w:rsid w:val="002A16A4"/>
    <w:rsid w:val="002A2E66"/>
    <w:rsid w:val="002A32F8"/>
    <w:rsid w:val="002A3920"/>
    <w:rsid w:val="002A399B"/>
    <w:rsid w:val="002A3C42"/>
    <w:rsid w:val="002A3D66"/>
    <w:rsid w:val="002A3FF5"/>
    <w:rsid w:val="002A579F"/>
    <w:rsid w:val="002A654D"/>
    <w:rsid w:val="002A7F4D"/>
    <w:rsid w:val="002B0173"/>
    <w:rsid w:val="002B08EF"/>
    <w:rsid w:val="002B196E"/>
    <w:rsid w:val="002B1AF4"/>
    <w:rsid w:val="002B1C2E"/>
    <w:rsid w:val="002B2CD4"/>
    <w:rsid w:val="002B3A96"/>
    <w:rsid w:val="002B401E"/>
    <w:rsid w:val="002B46D6"/>
    <w:rsid w:val="002B5004"/>
    <w:rsid w:val="002B5A65"/>
    <w:rsid w:val="002B5B72"/>
    <w:rsid w:val="002B5E96"/>
    <w:rsid w:val="002B678A"/>
    <w:rsid w:val="002B74D5"/>
    <w:rsid w:val="002B7555"/>
    <w:rsid w:val="002B7F59"/>
    <w:rsid w:val="002C1349"/>
    <w:rsid w:val="002C21C0"/>
    <w:rsid w:val="002C25F2"/>
    <w:rsid w:val="002C26BE"/>
    <w:rsid w:val="002C285D"/>
    <w:rsid w:val="002C2F46"/>
    <w:rsid w:val="002C3477"/>
    <w:rsid w:val="002C3AAE"/>
    <w:rsid w:val="002C534F"/>
    <w:rsid w:val="002C5B5B"/>
    <w:rsid w:val="002C6A9D"/>
    <w:rsid w:val="002C6EEA"/>
    <w:rsid w:val="002D0382"/>
    <w:rsid w:val="002D062A"/>
    <w:rsid w:val="002D134D"/>
    <w:rsid w:val="002D157A"/>
    <w:rsid w:val="002D1979"/>
    <w:rsid w:val="002D411C"/>
    <w:rsid w:val="002D62D2"/>
    <w:rsid w:val="002D679E"/>
    <w:rsid w:val="002D7AE5"/>
    <w:rsid w:val="002E1AFD"/>
    <w:rsid w:val="002E2649"/>
    <w:rsid w:val="002E2810"/>
    <w:rsid w:val="002E317D"/>
    <w:rsid w:val="002E3BFA"/>
    <w:rsid w:val="002E3D7F"/>
    <w:rsid w:val="002E4457"/>
    <w:rsid w:val="002E4617"/>
    <w:rsid w:val="002E50B7"/>
    <w:rsid w:val="002E549F"/>
    <w:rsid w:val="002E6940"/>
    <w:rsid w:val="002E7155"/>
    <w:rsid w:val="002E7248"/>
    <w:rsid w:val="002E7628"/>
    <w:rsid w:val="002E7A50"/>
    <w:rsid w:val="002F087F"/>
    <w:rsid w:val="002F1A14"/>
    <w:rsid w:val="002F2FAB"/>
    <w:rsid w:val="002F33A2"/>
    <w:rsid w:val="002F44A8"/>
    <w:rsid w:val="002F4A59"/>
    <w:rsid w:val="002F55C2"/>
    <w:rsid w:val="002F6177"/>
    <w:rsid w:val="002F6803"/>
    <w:rsid w:val="002F70B9"/>
    <w:rsid w:val="002F73F9"/>
    <w:rsid w:val="002F79E8"/>
    <w:rsid w:val="00300733"/>
    <w:rsid w:val="003008B1"/>
    <w:rsid w:val="003017B0"/>
    <w:rsid w:val="00301F64"/>
    <w:rsid w:val="003027D6"/>
    <w:rsid w:val="003034E9"/>
    <w:rsid w:val="00303AF7"/>
    <w:rsid w:val="003042EC"/>
    <w:rsid w:val="003100BA"/>
    <w:rsid w:val="00310198"/>
    <w:rsid w:val="003102A1"/>
    <w:rsid w:val="0031194F"/>
    <w:rsid w:val="00312048"/>
    <w:rsid w:val="003133B9"/>
    <w:rsid w:val="00313708"/>
    <w:rsid w:val="00314250"/>
    <w:rsid w:val="003150DA"/>
    <w:rsid w:val="00315847"/>
    <w:rsid w:val="00315E85"/>
    <w:rsid w:val="00316A44"/>
    <w:rsid w:val="00316BF5"/>
    <w:rsid w:val="0031762A"/>
    <w:rsid w:val="00317665"/>
    <w:rsid w:val="0032079C"/>
    <w:rsid w:val="00320B2C"/>
    <w:rsid w:val="00320E55"/>
    <w:rsid w:val="0032181A"/>
    <w:rsid w:val="0032214F"/>
    <w:rsid w:val="0032226B"/>
    <w:rsid w:val="00322626"/>
    <w:rsid w:val="003235C6"/>
    <w:rsid w:val="00324892"/>
    <w:rsid w:val="00324899"/>
    <w:rsid w:val="003254ED"/>
    <w:rsid w:val="003257CD"/>
    <w:rsid w:val="00325AB6"/>
    <w:rsid w:val="00326698"/>
    <w:rsid w:val="00326B88"/>
    <w:rsid w:val="00331A61"/>
    <w:rsid w:val="00331CC5"/>
    <w:rsid w:val="00332023"/>
    <w:rsid w:val="00332146"/>
    <w:rsid w:val="00332374"/>
    <w:rsid w:val="00332659"/>
    <w:rsid w:val="00333825"/>
    <w:rsid w:val="003345AB"/>
    <w:rsid w:val="00335A5E"/>
    <w:rsid w:val="00336377"/>
    <w:rsid w:val="0033687D"/>
    <w:rsid w:val="00336B31"/>
    <w:rsid w:val="00337048"/>
    <w:rsid w:val="00337348"/>
    <w:rsid w:val="00340ABC"/>
    <w:rsid w:val="00340D89"/>
    <w:rsid w:val="00342690"/>
    <w:rsid w:val="00344458"/>
    <w:rsid w:val="00344C6A"/>
    <w:rsid w:val="003458FC"/>
    <w:rsid w:val="00345D11"/>
    <w:rsid w:val="0034638D"/>
    <w:rsid w:val="00346687"/>
    <w:rsid w:val="00347569"/>
    <w:rsid w:val="0035115F"/>
    <w:rsid w:val="00351551"/>
    <w:rsid w:val="00352C10"/>
    <w:rsid w:val="003531BB"/>
    <w:rsid w:val="003536A8"/>
    <w:rsid w:val="00353D9C"/>
    <w:rsid w:val="00353EEF"/>
    <w:rsid w:val="0035465C"/>
    <w:rsid w:val="00354A79"/>
    <w:rsid w:val="00354FE4"/>
    <w:rsid w:val="00355D96"/>
    <w:rsid w:val="0035621C"/>
    <w:rsid w:val="00356611"/>
    <w:rsid w:val="00357DFE"/>
    <w:rsid w:val="0036051B"/>
    <w:rsid w:val="00360CD8"/>
    <w:rsid w:val="00361857"/>
    <w:rsid w:val="00362225"/>
    <w:rsid w:val="00362279"/>
    <w:rsid w:val="00363285"/>
    <w:rsid w:val="003641C2"/>
    <w:rsid w:val="0036466C"/>
    <w:rsid w:val="003646B4"/>
    <w:rsid w:val="003658C8"/>
    <w:rsid w:val="00366AC5"/>
    <w:rsid w:val="00366CCC"/>
    <w:rsid w:val="00367068"/>
    <w:rsid w:val="00367173"/>
    <w:rsid w:val="003672D9"/>
    <w:rsid w:val="00370097"/>
    <w:rsid w:val="00371167"/>
    <w:rsid w:val="0037121B"/>
    <w:rsid w:val="00371657"/>
    <w:rsid w:val="00371A61"/>
    <w:rsid w:val="00371E7E"/>
    <w:rsid w:val="0037305D"/>
    <w:rsid w:val="003731D1"/>
    <w:rsid w:val="0037380A"/>
    <w:rsid w:val="00373894"/>
    <w:rsid w:val="0037451B"/>
    <w:rsid w:val="00374780"/>
    <w:rsid w:val="003761D6"/>
    <w:rsid w:val="0037640F"/>
    <w:rsid w:val="00376F4D"/>
    <w:rsid w:val="00380018"/>
    <w:rsid w:val="003801C2"/>
    <w:rsid w:val="00380484"/>
    <w:rsid w:val="00380569"/>
    <w:rsid w:val="00380647"/>
    <w:rsid w:val="003812DB"/>
    <w:rsid w:val="00381A9C"/>
    <w:rsid w:val="00382482"/>
    <w:rsid w:val="00383A84"/>
    <w:rsid w:val="00383EAB"/>
    <w:rsid w:val="0038483B"/>
    <w:rsid w:val="00385473"/>
    <w:rsid w:val="0038597E"/>
    <w:rsid w:val="00385EFA"/>
    <w:rsid w:val="00386278"/>
    <w:rsid w:val="003865E2"/>
    <w:rsid w:val="00386C4E"/>
    <w:rsid w:val="00387B23"/>
    <w:rsid w:val="00387DDC"/>
    <w:rsid w:val="00387F9A"/>
    <w:rsid w:val="00390642"/>
    <w:rsid w:val="0039100B"/>
    <w:rsid w:val="00391374"/>
    <w:rsid w:val="00391A17"/>
    <w:rsid w:val="0039262A"/>
    <w:rsid w:val="00394C18"/>
    <w:rsid w:val="003965A6"/>
    <w:rsid w:val="0039683F"/>
    <w:rsid w:val="003969B0"/>
    <w:rsid w:val="00396BDE"/>
    <w:rsid w:val="00396C36"/>
    <w:rsid w:val="00396C52"/>
    <w:rsid w:val="0039718C"/>
    <w:rsid w:val="0039764E"/>
    <w:rsid w:val="003977AD"/>
    <w:rsid w:val="00397F4F"/>
    <w:rsid w:val="003A15E8"/>
    <w:rsid w:val="003A18B5"/>
    <w:rsid w:val="003A1AEE"/>
    <w:rsid w:val="003A2879"/>
    <w:rsid w:val="003A3157"/>
    <w:rsid w:val="003A406B"/>
    <w:rsid w:val="003A4120"/>
    <w:rsid w:val="003A5086"/>
    <w:rsid w:val="003A51AB"/>
    <w:rsid w:val="003A6A6C"/>
    <w:rsid w:val="003A7EF3"/>
    <w:rsid w:val="003A7FE3"/>
    <w:rsid w:val="003B0682"/>
    <w:rsid w:val="003B0B2C"/>
    <w:rsid w:val="003B0DB8"/>
    <w:rsid w:val="003B2088"/>
    <w:rsid w:val="003B2803"/>
    <w:rsid w:val="003B289C"/>
    <w:rsid w:val="003B541D"/>
    <w:rsid w:val="003B5CF3"/>
    <w:rsid w:val="003B5D12"/>
    <w:rsid w:val="003B5FF5"/>
    <w:rsid w:val="003B68A9"/>
    <w:rsid w:val="003C162D"/>
    <w:rsid w:val="003C1783"/>
    <w:rsid w:val="003C17C9"/>
    <w:rsid w:val="003C2390"/>
    <w:rsid w:val="003C3D28"/>
    <w:rsid w:val="003C442B"/>
    <w:rsid w:val="003C5380"/>
    <w:rsid w:val="003C6CA8"/>
    <w:rsid w:val="003C7ADA"/>
    <w:rsid w:val="003D0E5D"/>
    <w:rsid w:val="003D1009"/>
    <w:rsid w:val="003D18FF"/>
    <w:rsid w:val="003D211E"/>
    <w:rsid w:val="003D2F7B"/>
    <w:rsid w:val="003D3397"/>
    <w:rsid w:val="003D468B"/>
    <w:rsid w:val="003D4C31"/>
    <w:rsid w:val="003D54C7"/>
    <w:rsid w:val="003D5FE1"/>
    <w:rsid w:val="003D6823"/>
    <w:rsid w:val="003D7E71"/>
    <w:rsid w:val="003D7F3B"/>
    <w:rsid w:val="003E1169"/>
    <w:rsid w:val="003E1480"/>
    <w:rsid w:val="003E32A1"/>
    <w:rsid w:val="003E4492"/>
    <w:rsid w:val="003E55BF"/>
    <w:rsid w:val="003E55E9"/>
    <w:rsid w:val="003E5BAB"/>
    <w:rsid w:val="003E62EA"/>
    <w:rsid w:val="003E69DA"/>
    <w:rsid w:val="003E6E02"/>
    <w:rsid w:val="003E6F50"/>
    <w:rsid w:val="003E7175"/>
    <w:rsid w:val="003E7352"/>
    <w:rsid w:val="003E7DF8"/>
    <w:rsid w:val="003F0447"/>
    <w:rsid w:val="003F07EF"/>
    <w:rsid w:val="003F11AA"/>
    <w:rsid w:val="003F19A0"/>
    <w:rsid w:val="003F20FB"/>
    <w:rsid w:val="003F3778"/>
    <w:rsid w:val="003F4216"/>
    <w:rsid w:val="003F4FEE"/>
    <w:rsid w:val="003F58A6"/>
    <w:rsid w:val="003F69CF"/>
    <w:rsid w:val="003F6B1D"/>
    <w:rsid w:val="003F742A"/>
    <w:rsid w:val="003F7ECC"/>
    <w:rsid w:val="0040172B"/>
    <w:rsid w:val="00402A3C"/>
    <w:rsid w:val="00403533"/>
    <w:rsid w:val="0040491A"/>
    <w:rsid w:val="00404E7A"/>
    <w:rsid w:val="00405913"/>
    <w:rsid w:val="004064E9"/>
    <w:rsid w:val="004065E4"/>
    <w:rsid w:val="00406B0F"/>
    <w:rsid w:val="00406D96"/>
    <w:rsid w:val="0040718D"/>
    <w:rsid w:val="0040741C"/>
    <w:rsid w:val="004079A2"/>
    <w:rsid w:val="00410165"/>
    <w:rsid w:val="00410CEA"/>
    <w:rsid w:val="00410E4B"/>
    <w:rsid w:val="00411460"/>
    <w:rsid w:val="00411576"/>
    <w:rsid w:val="0041192A"/>
    <w:rsid w:val="004141BD"/>
    <w:rsid w:val="004146D4"/>
    <w:rsid w:val="004148B7"/>
    <w:rsid w:val="00414DD7"/>
    <w:rsid w:val="004161FA"/>
    <w:rsid w:val="004164F6"/>
    <w:rsid w:val="00416D47"/>
    <w:rsid w:val="004176C7"/>
    <w:rsid w:val="0041793A"/>
    <w:rsid w:val="004205A0"/>
    <w:rsid w:val="004208F9"/>
    <w:rsid w:val="004210DA"/>
    <w:rsid w:val="004212A2"/>
    <w:rsid w:val="0042266E"/>
    <w:rsid w:val="004232F0"/>
    <w:rsid w:val="00423BAD"/>
    <w:rsid w:val="004242E4"/>
    <w:rsid w:val="00424D0E"/>
    <w:rsid w:val="00424F0E"/>
    <w:rsid w:val="00425AE1"/>
    <w:rsid w:val="00426C1B"/>
    <w:rsid w:val="00426F3B"/>
    <w:rsid w:val="004273EC"/>
    <w:rsid w:val="004274B3"/>
    <w:rsid w:val="00427BDF"/>
    <w:rsid w:val="004304D9"/>
    <w:rsid w:val="0043055F"/>
    <w:rsid w:val="00430713"/>
    <w:rsid w:val="0043083D"/>
    <w:rsid w:val="00431606"/>
    <w:rsid w:val="00431A1C"/>
    <w:rsid w:val="00431BC2"/>
    <w:rsid w:val="0043233B"/>
    <w:rsid w:val="0043443A"/>
    <w:rsid w:val="0043513C"/>
    <w:rsid w:val="00442188"/>
    <w:rsid w:val="0044270F"/>
    <w:rsid w:val="00442BCA"/>
    <w:rsid w:val="00442DD5"/>
    <w:rsid w:val="00443B98"/>
    <w:rsid w:val="004448D6"/>
    <w:rsid w:val="00444DD7"/>
    <w:rsid w:val="004462BE"/>
    <w:rsid w:val="00446ED0"/>
    <w:rsid w:val="00450701"/>
    <w:rsid w:val="00450AA0"/>
    <w:rsid w:val="00452312"/>
    <w:rsid w:val="00453CCA"/>
    <w:rsid w:val="00454273"/>
    <w:rsid w:val="00454D33"/>
    <w:rsid w:val="0045643F"/>
    <w:rsid w:val="00456650"/>
    <w:rsid w:val="00456D88"/>
    <w:rsid w:val="00456FEF"/>
    <w:rsid w:val="00457278"/>
    <w:rsid w:val="00460098"/>
    <w:rsid w:val="0046103C"/>
    <w:rsid w:val="00461190"/>
    <w:rsid w:val="004614E2"/>
    <w:rsid w:val="00462B90"/>
    <w:rsid w:val="004641B3"/>
    <w:rsid w:val="00465084"/>
    <w:rsid w:val="00466023"/>
    <w:rsid w:val="004669AC"/>
    <w:rsid w:val="004677A6"/>
    <w:rsid w:val="004677D2"/>
    <w:rsid w:val="00470EC2"/>
    <w:rsid w:val="00472E68"/>
    <w:rsid w:val="004757FF"/>
    <w:rsid w:val="004772A0"/>
    <w:rsid w:val="00477CBE"/>
    <w:rsid w:val="0048205D"/>
    <w:rsid w:val="00482BAC"/>
    <w:rsid w:val="00482F21"/>
    <w:rsid w:val="00483B30"/>
    <w:rsid w:val="00484246"/>
    <w:rsid w:val="00484443"/>
    <w:rsid w:val="0048697C"/>
    <w:rsid w:val="00486B33"/>
    <w:rsid w:val="004875DB"/>
    <w:rsid w:val="00487785"/>
    <w:rsid w:val="00490083"/>
    <w:rsid w:val="00490228"/>
    <w:rsid w:val="004924E9"/>
    <w:rsid w:val="00493C3E"/>
    <w:rsid w:val="00493FF1"/>
    <w:rsid w:val="00494189"/>
    <w:rsid w:val="00495563"/>
    <w:rsid w:val="00495E2F"/>
    <w:rsid w:val="0049645F"/>
    <w:rsid w:val="00497930"/>
    <w:rsid w:val="004A001C"/>
    <w:rsid w:val="004A01E8"/>
    <w:rsid w:val="004A0735"/>
    <w:rsid w:val="004A0B13"/>
    <w:rsid w:val="004A2281"/>
    <w:rsid w:val="004A26F9"/>
    <w:rsid w:val="004A280D"/>
    <w:rsid w:val="004A2868"/>
    <w:rsid w:val="004A39F6"/>
    <w:rsid w:val="004A3FCF"/>
    <w:rsid w:val="004A42BB"/>
    <w:rsid w:val="004A4D68"/>
    <w:rsid w:val="004A551A"/>
    <w:rsid w:val="004A6541"/>
    <w:rsid w:val="004A7DED"/>
    <w:rsid w:val="004B0241"/>
    <w:rsid w:val="004B1086"/>
    <w:rsid w:val="004B11C2"/>
    <w:rsid w:val="004B3664"/>
    <w:rsid w:val="004B3F05"/>
    <w:rsid w:val="004B4429"/>
    <w:rsid w:val="004B5675"/>
    <w:rsid w:val="004B679E"/>
    <w:rsid w:val="004B6AC6"/>
    <w:rsid w:val="004B6F7B"/>
    <w:rsid w:val="004C0ED3"/>
    <w:rsid w:val="004C1CAD"/>
    <w:rsid w:val="004C2594"/>
    <w:rsid w:val="004C2AAB"/>
    <w:rsid w:val="004C368C"/>
    <w:rsid w:val="004C3E89"/>
    <w:rsid w:val="004C489D"/>
    <w:rsid w:val="004C53E3"/>
    <w:rsid w:val="004C5517"/>
    <w:rsid w:val="004C59D5"/>
    <w:rsid w:val="004C66E7"/>
    <w:rsid w:val="004C7236"/>
    <w:rsid w:val="004D1E76"/>
    <w:rsid w:val="004D1F40"/>
    <w:rsid w:val="004D2389"/>
    <w:rsid w:val="004D290C"/>
    <w:rsid w:val="004D39AA"/>
    <w:rsid w:val="004D3BA6"/>
    <w:rsid w:val="004D3E70"/>
    <w:rsid w:val="004D4C35"/>
    <w:rsid w:val="004D52B6"/>
    <w:rsid w:val="004D5EA8"/>
    <w:rsid w:val="004D656F"/>
    <w:rsid w:val="004E0720"/>
    <w:rsid w:val="004E27F6"/>
    <w:rsid w:val="004E2EEE"/>
    <w:rsid w:val="004E2FB5"/>
    <w:rsid w:val="004E3010"/>
    <w:rsid w:val="004E3351"/>
    <w:rsid w:val="004E3B9B"/>
    <w:rsid w:val="004E3C52"/>
    <w:rsid w:val="004E3DC6"/>
    <w:rsid w:val="004E4820"/>
    <w:rsid w:val="004E4B54"/>
    <w:rsid w:val="004E51EC"/>
    <w:rsid w:val="004E67B8"/>
    <w:rsid w:val="004E767A"/>
    <w:rsid w:val="004E7BCE"/>
    <w:rsid w:val="004F0DE0"/>
    <w:rsid w:val="004F18CE"/>
    <w:rsid w:val="004F2D26"/>
    <w:rsid w:val="004F31EB"/>
    <w:rsid w:val="004F3F4D"/>
    <w:rsid w:val="004F443C"/>
    <w:rsid w:val="004F4789"/>
    <w:rsid w:val="004F4FFF"/>
    <w:rsid w:val="004F5134"/>
    <w:rsid w:val="004F60D6"/>
    <w:rsid w:val="004F6BF5"/>
    <w:rsid w:val="004F76F0"/>
    <w:rsid w:val="00501368"/>
    <w:rsid w:val="00501413"/>
    <w:rsid w:val="00501AB6"/>
    <w:rsid w:val="00502094"/>
    <w:rsid w:val="00503DAB"/>
    <w:rsid w:val="00504061"/>
    <w:rsid w:val="00505690"/>
    <w:rsid w:val="00506034"/>
    <w:rsid w:val="0050607B"/>
    <w:rsid w:val="0050654F"/>
    <w:rsid w:val="005068D9"/>
    <w:rsid w:val="0050696F"/>
    <w:rsid w:val="0051080C"/>
    <w:rsid w:val="00511AF0"/>
    <w:rsid w:val="005142D1"/>
    <w:rsid w:val="00514B1C"/>
    <w:rsid w:val="00515187"/>
    <w:rsid w:val="005158CD"/>
    <w:rsid w:val="005163B9"/>
    <w:rsid w:val="005169B8"/>
    <w:rsid w:val="005203D6"/>
    <w:rsid w:val="00520E90"/>
    <w:rsid w:val="005210A9"/>
    <w:rsid w:val="005211E5"/>
    <w:rsid w:val="005212C8"/>
    <w:rsid w:val="00521EC1"/>
    <w:rsid w:val="005230D3"/>
    <w:rsid w:val="00524010"/>
    <w:rsid w:val="0052418B"/>
    <w:rsid w:val="005247F8"/>
    <w:rsid w:val="00526B93"/>
    <w:rsid w:val="0052702F"/>
    <w:rsid w:val="00531159"/>
    <w:rsid w:val="005317A1"/>
    <w:rsid w:val="00532765"/>
    <w:rsid w:val="005328E4"/>
    <w:rsid w:val="0053365C"/>
    <w:rsid w:val="005346BA"/>
    <w:rsid w:val="00534B14"/>
    <w:rsid w:val="00534F7B"/>
    <w:rsid w:val="00535D91"/>
    <w:rsid w:val="00540101"/>
    <w:rsid w:val="00540F24"/>
    <w:rsid w:val="00540F7C"/>
    <w:rsid w:val="00542199"/>
    <w:rsid w:val="00542E9F"/>
    <w:rsid w:val="005441AC"/>
    <w:rsid w:val="00546455"/>
    <w:rsid w:val="00546BDF"/>
    <w:rsid w:val="00546D7D"/>
    <w:rsid w:val="0055016C"/>
    <w:rsid w:val="00550BDD"/>
    <w:rsid w:val="0055115F"/>
    <w:rsid w:val="005513D8"/>
    <w:rsid w:val="00551CF0"/>
    <w:rsid w:val="005520F9"/>
    <w:rsid w:val="0055223F"/>
    <w:rsid w:val="00554097"/>
    <w:rsid w:val="00554F60"/>
    <w:rsid w:val="005559D8"/>
    <w:rsid w:val="00555A61"/>
    <w:rsid w:val="00555D20"/>
    <w:rsid w:val="00560370"/>
    <w:rsid w:val="00560A1C"/>
    <w:rsid w:val="0056126B"/>
    <w:rsid w:val="005633A6"/>
    <w:rsid w:val="0056446D"/>
    <w:rsid w:val="005646DE"/>
    <w:rsid w:val="005647DB"/>
    <w:rsid w:val="005647E8"/>
    <w:rsid w:val="005666F8"/>
    <w:rsid w:val="00566BF5"/>
    <w:rsid w:val="00567858"/>
    <w:rsid w:val="005708D6"/>
    <w:rsid w:val="0057211A"/>
    <w:rsid w:val="00572DEE"/>
    <w:rsid w:val="0057320C"/>
    <w:rsid w:val="0057523B"/>
    <w:rsid w:val="00575B00"/>
    <w:rsid w:val="00575D2A"/>
    <w:rsid w:val="00577BD9"/>
    <w:rsid w:val="005803C2"/>
    <w:rsid w:val="00580A73"/>
    <w:rsid w:val="00581552"/>
    <w:rsid w:val="00581D6A"/>
    <w:rsid w:val="00582CE8"/>
    <w:rsid w:val="0058328B"/>
    <w:rsid w:val="00583B13"/>
    <w:rsid w:val="005841BB"/>
    <w:rsid w:val="00584B67"/>
    <w:rsid w:val="00585289"/>
    <w:rsid w:val="00586395"/>
    <w:rsid w:val="005867D4"/>
    <w:rsid w:val="00586C71"/>
    <w:rsid w:val="00586CE2"/>
    <w:rsid w:val="00586D0C"/>
    <w:rsid w:val="00586E90"/>
    <w:rsid w:val="005905E7"/>
    <w:rsid w:val="00590D60"/>
    <w:rsid w:val="005910CC"/>
    <w:rsid w:val="0059161F"/>
    <w:rsid w:val="00591948"/>
    <w:rsid w:val="005923EE"/>
    <w:rsid w:val="0059273D"/>
    <w:rsid w:val="00592B8E"/>
    <w:rsid w:val="00593977"/>
    <w:rsid w:val="00593F67"/>
    <w:rsid w:val="00593FA8"/>
    <w:rsid w:val="00595AD9"/>
    <w:rsid w:val="00595EFD"/>
    <w:rsid w:val="005967C1"/>
    <w:rsid w:val="005969FB"/>
    <w:rsid w:val="00597C12"/>
    <w:rsid w:val="00597E1A"/>
    <w:rsid w:val="005A0514"/>
    <w:rsid w:val="005A05A8"/>
    <w:rsid w:val="005A0A2F"/>
    <w:rsid w:val="005A0F11"/>
    <w:rsid w:val="005A14AF"/>
    <w:rsid w:val="005A2D88"/>
    <w:rsid w:val="005A3182"/>
    <w:rsid w:val="005A321F"/>
    <w:rsid w:val="005A488C"/>
    <w:rsid w:val="005A62A4"/>
    <w:rsid w:val="005A6F2B"/>
    <w:rsid w:val="005A6F7E"/>
    <w:rsid w:val="005A779A"/>
    <w:rsid w:val="005B14BF"/>
    <w:rsid w:val="005B1517"/>
    <w:rsid w:val="005B1AD7"/>
    <w:rsid w:val="005B2823"/>
    <w:rsid w:val="005B30BF"/>
    <w:rsid w:val="005B30DC"/>
    <w:rsid w:val="005B3137"/>
    <w:rsid w:val="005B3ACF"/>
    <w:rsid w:val="005B401C"/>
    <w:rsid w:val="005B41CE"/>
    <w:rsid w:val="005B45ED"/>
    <w:rsid w:val="005B4AE7"/>
    <w:rsid w:val="005B552C"/>
    <w:rsid w:val="005B5D7A"/>
    <w:rsid w:val="005B6841"/>
    <w:rsid w:val="005B7046"/>
    <w:rsid w:val="005B7BDB"/>
    <w:rsid w:val="005C0E1C"/>
    <w:rsid w:val="005C21EB"/>
    <w:rsid w:val="005C42EE"/>
    <w:rsid w:val="005C5FF9"/>
    <w:rsid w:val="005C7133"/>
    <w:rsid w:val="005C751E"/>
    <w:rsid w:val="005D0D52"/>
    <w:rsid w:val="005D1D66"/>
    <w:rsid w:val="005D2C72"/>
    <w:rsid w:val="005D34BA"/>
    <w:rsid w:val="005D3693"/>
    <w:rsid w:val="005D36D6"/>
    <w:rsid w:val="005D42C1"/>
    <w:rsid w:val="005D46C7"/>
    <w:rsid w:val="005D52F4"/>
    <w:rsid w:val="005D542B"/>
    <w:rsid w:val="005D5CBC"/>
    <w:rsid w:val="005D5CE3"/>
    <w:rsid w:val="005D6F7B"/>
    <w:rsid w:val="005D76F1"/>
    <w:rsid w:val="005D778B"/>
    <w:rsid w:val="005D7BE1"/>
    <w:rsid w:val="005D7D42"/>
    <w:rsid w:val="005D7D4D"/>
    <w:rsid w:val="005E0039"/>
    <w:rsid w:val="005E054A"/>
    <w:rsid w:val="005E0735"/>
    <w:rsid w:val="005E1769"/>
    <w:rsid w:val="005E284B"/>
    <w:rsid w:val="005E3200"/>
    <w:rsid w:val="005E4892"/>
    <w:rsid w:val="005E50F5"/>
    <w:rsid w:val="005E52AE"/>
    <w:rsid w:val="005E5463"/>
    <w:rsid w:val="005E6785"/>
    <w:rsid w:val="005E71ED"/>
    <w:rsid w:val="005E73BD"/>
    <w:rsid w:val="005E76EE"/>
    <w:rsid w:val="005E771A"/>
    <w:rsid w:val="005E7784"/>
    <w:rsid w:val="005F00D2"/>
    <w:rsid w:val="005F02C7"/>
    <w:rsid w:val="005F16C4"/>
    <w:rsid w:val="005F2B37"/>
    <w:rsid w:val="005F4E14"/>
    <w:rsid w:val="005F6300"/>
    <w:rsid w:val="005F7332"/>
    <w:rsid w:val="005F7D8B"/>
    <w:rsid w:val="00600A56"/>
    <w:rsid w:val="00600EA6"/>
    <w:rsid w:val="006014CC"/>
    <w:rsid w:val="00601DFF"/>
    <w:rsid w:val="00602195"/>
    <w:rsid w:val="00604628"/>
    <w:rsid w:val="00604B70"/>
    <w:rsid w:val="00604EC3"/>
    <w:rsid w:val="0060512D"/>
    <w:rsid w:val="0060644A"/>
    <w:rsid w:val="0060779F"/>
    <w:rsid w:val="006104BB"/>
    <w:rsid w:val="00611592"/>
    <w:rsid w:val="00611C9D"/>
    <w:rsid w:val="00611CC5"/>
    <w:rsid w:val="00611DA4"/>
    <w:rsid w:val="00612F3C"/>
    <w:rsid w:val="00614764"/>
    <w:rsid w:val="006147D8"/>
    <w:rsid w:val="00616906"/>
    <w:rsid w:val="00616D58"/>
    <w:rsid w:val="00617961"/>
    <w:rsid w:val="0062029E"/>
    <w:rsid w:val="00621085"/>
    <w:rsid w:val="0062117F"/>
    <w:rsid w:val="00621DAA"/>
    <w:rsid w:val="00622786"/>
    <w:rsid w:val="00622B96"/>
    <w:rsid w:val="006237BB"/>
    <w:rsid w:val="0062543F"/>
    <w:rsid w:val="006257F7"/>
    <w:rsid w:val="00625E4B"/>
    <w:rsid w:val="0062633E"/>
    <w:rsid w:val="00626DCD"/>
    <w:rsid w:val="00627133"/>
    <w:rsid w:val="006274C0"/>
    <w:rsid w:val="00631415"/>
    <w:rsid w:val="00631A04"/>
    <w:rsid w:val="00631D8F"/>
    <w:rsid w:val="006330DE"/>
    <w:rsid w:val="00634441"/>
    <w:rsid w:val="00635027"/>
    <w:rsid w:val="00637330"/>
    <w:rsid w:val="00637913"/>
    <w:rsid w:val="00640DC5"/>
    <w:rsid w:val="006428FB"/>
    <w:rsid w:val="00642DDF"/>
    <w:rsid w:val="006438CC"/>
    <w:rsid w:val="00643941"/>
    <w:rsid w:val="0064444C"/>
    <w:rsid w:val="00644B79"/>
    <w:rsid w:val="006454FB"/>
    <w:rsid w:val="0064554B"/>
    <w:rsid w:val="006468A1"/>
    <w:rsid w:val="00647796"/>
    <w:rsid w:val="00647FF7"/>
    <w:rsid w:val="006500E9"/>
    <w:rsid w:val="006502F7"/>
    <w:rsid w:val="00650A48"/>
    <w:rsid w:val="00650C55"/>
    <w:rsid w:val="00651C2E"/>
    <w:rsid w:val="00651E4D"/>
    <w:rsid w:val="006527BC"/>
    <w:rsid w:val="00652DD6"/>
    <w:rsid w:val="00653224"/>
    <w:rsid w:val="00653D88"/>
    <w:rsid w:val="00654389"/>
    <w:rsid w:val="00654798"/>
    <w:rsid w:val="0065504A"/>
    <w:rsid w:val="00655404"/>
    <w:rsid w:val="00656274"/>
    <w:rsid w:val="00656FE9"/>
    <w:rsid w:val="0065762F"/>
    <w:rsid w:val="00657E43"/>
    <w:rsid w:val="00660233"/>
    <w:rsid w:val="00660423"/>
    <w:rsid w:val="00660C4A"/>
    <w:rsid w:val="00661895"/>
    <w:rsid w:val="00661F9D"/>
    <w:rsid w:val="00662592"/>
    <w:rsid w:val="00662BA6"/>
    <w:rsid w:val="006645F0"/>
    <w:rsid w:val="00664672"/>
    <w:rsid w:val="00664B23"/>
    <w:rsid w:val="006656E0"/>
    <w:rsid w:val="00665944"/>
    <w:rsid w:val="00665F9A"/>
    <w:rsid w:val="00666257"/>
    <w:rsid w:val="00666683"/>
    <w:rsid w:val="006668E3"/>
    <w:rsid w:val="00666E2C"/>
    <w:rsid w:val="00667587"/>
    <w:rsid w:val="00671036"/>
    <w:rsid w:val="0067158C"/>
    <w:rsid w:val="0067166D"/>
    <w:rsid w:val="0067389C"/>
    <w:rsid w:val="00673D6B"/>
    <w:rsid w:val="00675F7A"/>
    <w:rsid w:val="00676170"/>
    <w:rsid w:val="00676311"/>
    <w:rsid w:val="00676658"/>
    <w:rsid w:val="0067675B"/>
    <w:rsid w:val="00676830"/>
    <w:rsid w:val="00677994"/>
    <w:rsid w:val="006808CC"/>
    <w:rsid w:val="00681033"/>
    <w:rsid w:val="00681078"/>
    <w:rsid w:val="006818A1"/>
    <w:rsid w:val="006825E1"/>
    <w:rsid w:val="006827B5"/>
    <w:rsid w:val="006831F5"/>
    <w:rsid w:val="00683508"/>
    <w:rsid w:val="0068408A"/>
    <w:rsid w:val="00684459"/>
    <w:rsid w:val="00685995"/>
    <w:rsid w:val="00686540"/>
    <w:rsid w:val="00686914"/>
    <w:rsid w:val="00687282"/>
    <w:rsid w:val="00687506"/>
    <w:rsid w:val="00687C1F"/>
    <w:rsid w:val="006902C8"/>
    <w:rsid w:val="0069083D"/>
    <w:rsid w:val="0069088B"/>
    <w:rsid w:val="00694145"/>
    <w:rsid w:val="00694309"/>
    <w:rsid w:val="006947F2"/>
    <w:rsid w:val="006954F3"/>
    <w:rsid w:val="0069599A"/>
    <w:rsid w:val="006962AC"/>
    <w:rsid w:val="006969A4"/>
    <w:rsid w:val="006977DC"/>
    <w:rsid w:val="00697912"/>
    <w:rsid w:val="00697943"/>
    <w:rsid w:val="00697C15"/>
    <w:rsid w:val="00697CE1"/>
    <w:rsid w:val="00697E46"/>
    <w:rsid w:val="006A05A1"/>
    <w:rsid w:val="006A09DE"/>
    <w:rsid w:val="006A1911"/>
    <w:rsid w:val="006A1BE6"/>
    <w:rsid w:val="006A2218"/>
    <w:rsid w:val="006A2876"/>
    <w:rsid w:val="006A2E0C"/>
    <w:rsid w:val="006A325F"/>
    <w:rsid w:val="006A3C62"/>
    <w:rsid w:val="006A4D39"/>
    <w:rsid w:val="006A4D67"/>
    <w:rsid w:val="006A5154"/>
    <w:rsid w:val="006A73D3"/>
    <w:rsid w:val="006A7480"/>
    <w:rsid w:val="006A784B"/>
    <w:rsid w:val="006B09BC"/>
    <w:rsid w:val="006B0E5D"/>
    <w:rsid w:val="006B2516"/>
    <w:rsid w:val="006B2950"/>
    <w:rsid w:val="006B2E6A"/>
    <w:rsid w:val="006B35E9"/>
    <w:rsid w:val="006B3BC7"/>
    <w:rsid w:val="006B3FA9"/>
    <w:rsid w:val="006B419F"/>
    <w:rsid w:val="006B4C8A"/>
    <w:rsid w:val="006B5D66"/>
    <w:rsid w:val="006B5E99"/>
    <w:rsid w:val="006B6953"/>
    <w:rsid w:val="006B7094"/>
    <w:rsid w:val="006C0634"/>
    <w:rsid w:val="006C098C"/>
    <w:rsid w:val="006C1AB7"/>
    <w:rsid w:val="006C21F3"/>
    <w:rsid w:val="006C22DD"/>
    <w:rsid w:val="006C237D"/>
    <w:rsid w:val="006C303D"/>
    <w:rsid w:val="006C3509"/>
    <w:rsid w:val="006C4AF8"/>
    <w:rsid w:val="006C4CB2"/>
    <w:rsid w:val="006C53D2"/>
    <w:rsid w:val="006C59D2"/>
    <w:rsid w:val="006C61E6"/>
    <w:rsid w:val="006C776C"/>
    <w:rsid w:val="006D00C0"/>
    <w:rsid w:val="006D0459"/>
    <w:rsid w:val="006D050D"/>
    <w:rsid w:val="006D0F79"/>
    <w:rsid w:val="006D12CE"/>
    <w:rsid w:val="006D1E2B"/>
    <w:rsid w:val="006D2288"/>
    <w:rsid w:val="006D26F3"/>
    <w:rsid w:val="006D299F"/>
    <w:rsid w:val="006D2B63"/>
    <w:rsid w:val="006D319C"/>
    <w:rsid w:val="006D37A9"/>
    <w:rsid w:val="006D3D34"/>
    <w:rsid w:val="006D3FB9"/>
    <w:rsid w:val="006D4A6D"/>
    <w:rsid w:val="006D5A2C"/>
    <w:rsid w:val="006D64DB"/>
    <w:rsid w:val="006D717E"/>
    <w:rsid w:val="006D7A7D"/>
    <w:rsid w:val="006E02B1"/>
    <w:rsid w:val="006E0401"/>
    <w:rsid w:val="006E1762"/>
    <w:rsid w:val="006E17E1"/>
    <w:rsid w:val="006E2298"/>
    <w:rsid w:val="006E2D08"/>
    <w:rsid w:val="006E2EF3"/>
    <w:rsid w:val="006E310E"/>
    <w:rsid w:val="006E31A5"/>
    <w:rsid w:val="006E31CF"/>
    <w:rsid w:val="006E3836"/>
    <w:rsid w:val="006E4385"/>
    <w:rsid w:val="006E4DA6"/>
    <w:rsid w:val="006E516E"/>
    <w:rsid w:val="006E533C"/>
    <w:rsid w:val="006E64EE"/>
    <w:rsid w:val="006E6D3A"/>
    <w:rsid w:val="006E7481"/>
    <w:rsid w:val="006E7E9C"/>
    <w:rsid w:val="006F016A"/>
    <w:rsid w:val="006F06F2"/>
    <w:rsid w:val="006F088A"/>
    <w:rsid w:val="006F0D10"/>
    <w:rsid w:val="006F0E35"/>
    <w:rsid w:val="006F293B"/>
    <w:rsid w:val="006F4DA9"/>
    <w:rsid w:val="006F58AD"/>
    <w:rsid w:val="006F78A2"/>
    <w:rsid w:val="007009FF"/>
    <w:rsid w:val="007019F4"/>
    <w:rsid w:val="00701B6A"/>
    <w:rsid w:val="00702020"/>
    <w:rsid w:val="00703BFD"/>
    <w:rsid w:val="00703F1C"/>
    <w:rsid w:val="0070518A"/>
    <w:rsid w:val="00706E8C"/>
    <w:rsid w:val="007075CB"/>
    <w:rsid w:val="00710028"/>
    <w:rsid w:val="007100EC"/>
    <w:rsid w:val="007111A0"/>
    <w:rsid w:val="00711A2D"/>
    <w:rsid w:val="00711CAF"/>
    <w:rsid w:val="0071278B"/>
    <w:rsid w:val="00713675"/>
    <w:rsid w:val="00713B90"/>
    <w:rsid w:val="00713E74"/>
    <w:rsid w:val="00714D0B"/>
    <w:rsid w:val="007157BD"/>
    <w:rsid w:val="007169C1"/>
    <w:rsid w:val="00717990"/>
    <w:rsid w:val="00717F49"/>
    <w:rsid w:val="00720C7B"/>
    <w:rsid w:val="007229C7"/>
    <w:rsid w:val="00724B1D"/>
    <w:rsid w:val="00725A0E"/>
    <w:rsid w:val="0072608B"/>
    <w:rsid w:val="00726C2A"/>
    <w:rsid w:val="007277CC"/>
    <w:rsid w:val="00730F7B"/>
    <w:rsid w:val="00732900"/>
    <w:rsid w:val="007331D9"/>
    <w:rsid w:val="007332C8"/>
    <w:rsid w:val="00734000"/>
    <w:rsid w:val="00734DA0"/>
    <w:rsid w:val="00735339"/>
    <w:rsid w:val="007354AC"/>
    <w:rsid w:val="00735806"/>
    <w:rsid w:val="00736DCC"/>
    <w:rsid w:val="00737057"/>
    <w:rsid w:val="007374B3"/>
    <w:rsid w:val="00737702"/>
    <w:rsid w:val="00737E40"/>
    <w:rsid w:val="00741E80"/>
    <w:rsid w:val="00742FFF"/>
    <w:rsid w:val="00743A99"/>
    <w:rsid w:val="00744977"/>
    <w:rsid w:val="00744A75"/>
    <w:rsid w:val="00744DF4"/>
    <w:rsid w:val="00745014"/>
    <w:rsid w:val="007451B1"/>
    <w:rsid w:val="007457D8"/>
    <w:rsid w:val="0074626F"/>
    <w:rsid w:val="00747180"/>
    <w:rsid w:val="0074753D"/>
    <w:rsid w:val="00750182"/>
    <w:rsid w:val="0075085F"/>
    <w:rsid w:val="00750913"/>
    <w:rsid w:val="00751841"/>
    <w:rsid w:val="007528E6"/>
    <w:rsid w:val="00753DF2"/>
    <w:rsid w:val="007548DA"/>
    <w:rsid w:val="00755F0F"/>
    <w:rsid w:val="00756B70"/>
    <w:rsid w:val="00756C09"/>
    <w:rsid w:val="00756F4C"/>
    <w:rsid w:val="00756FBC"/>
    <w:rsid w:val="00757044"/>
    <w:rsid w:val="00757459"/>
    <w:rsid w:val="00757C8C"/>
    <w:rsid w:val="0076020A"/>
    <w:rsid w:val="007605B5"/>
    <w:rsid w:val="00760C0C"/>
    <w:rsid w:val="00760C2A"/>
    <w:rsid w:val="00760E11"/>
    <w:rsid w:val="00761425"/>
    <w:rsid w:val="0076444A"/>
    <w:rsid w:val="00766306"/>
    <w:rsid w:val="0076654F"/>
    <w:rsid w:val="00766965"/>
    <w:rsid w:val="00766F96"/>
    <w:rsid w:val="00767332"/>
    <w:rsid w:val="00767D1B"/>
    <w:rsid w:val="0077007A"/>
    <w:rsid w:val="00770296"/>
    <w:rsid w:val="00770969"/>
    <w:rsid w:val="007709F7"/>
    <w:rsid w:val="00771B75"/>
    <w:rsid w:val="00773177"/>
    <w:rsid w:val="007736DB"/>
    <w:rsid w:val="00773F01"/>
    <w:rsid w:val="00773FB9"/>
    <w:rsid w:val="00776D01"/>
    <w:rsid w:val="00780086"/>
    <w:rsid w:val="007816B5"/>
    <w:rsid w:val="0078187E"/>
    <w:rsid w:val="00781E95"/>
    <w:rsid w:val="00782A4A"/>
    <w:rsid w:val="00782E31"/>
    <w:rsid w:val="00784971"/>
    <w:rsid w:val="0078675A"/>
    <w:rsid w:val="00786B03"/>
    <w:rsid w:val="007874C3"/>
    <w:rsid w:val="00787EDA"/>
    <w:rsid w:val="00790B1F"/>
    <w:rsid w:val="00791668"/>
    <w:rsid w:val="00792A82"/>
    <w:rsid w:val="00793907"/>
    <w:rsid w:val="00793E85"/>
    <w:rsid w:val="00794929"/>
    <w:rsid w:val="00794B1E"/>
    <w:rsid w:val="00794E81"/>
    <w:rsid w:val="00797119"/>
    <w:rsid w:val="00797953"/>
    <w:rsid w:val="007A053B"/>
    <w:rsid w:val="007A0E1E"/>
    <w:rsid w:val="007A2169"/>
    <w:rsid w:val="007A29CB"/>
    <w:rsid w:val="007A35A8"/>
    <w:rsid w:val="007A35C6"/>
    <w:rsid w:val="007A44B6"/>
    <w:rsid w:val="007A47FD"/>
    <w:rsid w:val="007A483E"/>
    <w:rsid w:val="007A4DD5"/>
    <w:rsid w:val="007A5715"/>
    <w:rsid w:val="007A64FD"/>
    <w:rsid w:val="007A68E7"/>
    <w:rsid w:val="007A6C49"/>
    <w:rsid w:val="007A7274"/>
    <w:rsid w:val="007A79BA"/>
    <w:rsid w:val="007B0D6D"/>
    <w:rsid w:val="007B1C1C"/>
    <w:rsid w:val="007B1DF6"/>
    <w:rsid w:val="007B3EF2"/>
    <w:rsid w:val="007B3F50"/>
    <w:rsid w:val="007B48AE"/>
    <w:rsid w:val="007B495D"/>
    <w:rsid w:val="007B521F"/>
    <w:rsid w:val="007B5396"/>
    <w:rsid w:val="007B5815"/>
    <w:rsid w:val="007B58CD"/>
    <w:rsid w:val="007B5B13"/>
    <w:rsid w:val="007B5CDD"/>
    <w:rsid w:val="007B6609"/>
    <w:rsid w:val="007B6673"/>
    <w:rsid w:val="007B6966"/>
    <w:rsid w:val="007B69B2"/>
    <w:rsid w:val="007B6B9B"/>
    <w:rsid w:val="007B75CA"/>
    <w:rsid w:val="007C1576"/>
    <w:rsid w:val="007C26E7"/>
    <w:rsid w:val="007C2E8F"/>
    <w:rsid w:val="007C3148"/>
    <w:rsid w:val="007C36CF"/>
    <w:rsid w:val="007C43C3"/>
    <w:rsid w:val="007C4449"/>
    <w:rsid w:val="007C4ADA"/>
    <w:rsid w:val="007C52E9"/>
    <w:rsid w:val="007C6215"/>
    <w:rsid w:val="007C66B0"/>
    <w:rsid w:val="007D0040"/>
    <w:rsid w:val="007D04CD"/>
    <w:rsid w:val="007D083F"/>
    <w:rsid w:val="007D0965"/>
    <w:rsid w:val="007D115B"/>
    <w:rsid w:val="007D20A2"/>
    <w:rsid w:val="007D3CAD"/>
    <w:rsid w:val="007D4719"/>
    <w:rsid w:val="007D4B20"/>
    <w:rsid w:val="007D4B60"/>
    <w:rsid w:val="007D54F5"/>
    <w:rsid w:val="007D5BF4"/>
    <w:rsid w:val="007D5F12"/>
    <w:rsid w:val="007D7036"/>
    <w:rsid w:val="007D7086"/>
    <w:rsid w:val="007D7628"/>
    <w:rsid w:val="007E1ABD"/>
    <w:rsid w:val="007E2A84"/>
    <w:rsid w:val="007E2C3C"/>
    <w:rsid w:val="007E2FDC"/>
    <w:rsid w:val="007E388D"/>
    <w:rsid w:val="007E3D80"/>
    <w:rsid w:val="007E409C"/>
    <w:rsid w:val="007E4BC2"/>
    <w:rsid w:val="007E5E49"/>
    <w:rsid w:val="007E62C1"/>
    <w:rsid w:val="007E6BC9"/>
    <w:rsid w:val="007E7057"/>
    <w:rsid w:val="007E76A6"/>
    <w:rsid w:val="007E79C3"/>
    <w:rsid w:val="007E7F12"/>
    <w:rsid w:val="007F01FD"/>
    <w:rsid w:val="007F06C7"/>
    <w:rsid w:val="007F0B27"/>
    <w:rsid w:val="007F1982"/>
    <w:rsid w:val="007F2109"/>
    <w:rsid w:val="007F21CD"/>
    <w:rsid w:val="007F3498"/>
    <w:rsid w:val="007F4312"/>
    <w:rsid w:val="007F52D0"/>
    <w:rsid w:val="007F53DC"/>
    <w:rsid w:val="007F58E8"/>
    <w:rsid w:val="007F5EA0"/>
    <w:rsid w:val="007F6634"/>
    <w:rsid w:val="007F6B09"/>
    <w:rsid w:val="007F7D81"/>
    <w:rsid w:val="008010A2"/>
    <w:rsid w:val="0080150E"/>
    <w:rsid w:val="00801725"/>
    <w:rsid w:val="00804334"/>
    <w:rsid w:val="008047F2"/>
    <w:rsid w:val="0080590D"/>
    <w:rsid w:val="008065D8"/>
    <w:rsid w:val="00806F93"/>
    <w:rsid w:val="008070A5"/>
    <w:rsid w:val="00807E54"/>
    <w:rsid w:val="00810DEF"/>
    <w:rsid w:val="008114F8"/>
    <w:rsid w:val="0081203C"/>
    <w:rsid w:val="0081220B"/>
    <w:rsid w:val="00812A4F"/>
    <w:rsid w:val="00813699"/>
    <w:rsid w:val="00814919"/>
    <w:rsid w:val="00820348"/>
    <w:rsid w:val="00820C92"/>
    <w:rsid w:val="00822A21"/>
    <w:rsid w:val="00822D78"/>
    <w:rsid w:val="0082346B"/>
    <w:rsid w:val="0082383B"/>
    <w:rsid w:val="00825094"/>
    <w:rsid w:val="00825DD5"/>
    <w:rsid w:val="00826043"/>
    <w:rsid w:val="008267ED"/>
    <w:rsid w:val="008275BE"/>
    <w:rsid w:val="00827AAD"/>
    <w:rsid w:val="00830B8D"/>
    <w:rsid w:val="00831431"/>
    <w:rsid w:val="0083149F"/>
    <w:rsid w:val="00831E82"/>
    <w:rsid w:val="00833797"/>
    <w:rsid w:val="008339D3"/>
    <w:rsid w:val="00833AC4"/>
    <w:rsid w:val="00833C0C"/>
    <w:rsid w:val="00833D9E"/>
    <w:rsid w:val="00834F56"/>
    <w:rsid w:val="008367BE"/>
    <w:rsid w:val="008376D6"/>
    <w:rsid w:val="008401EF"/>
    <w:rsid w:val="008405A1"/>
    <w:rsid w:val="00840680"/>
    <w:rsid w:val="00840BB2"/>
    <w:rsid w:val="00841258"/>
    <w:rsid w:val="008423B8"/>
    <w:rsid w:val="00842B1A"/>
    <w:rsid w:val="00842C24"/>
    <w:rsid w:val="00842DAF"/>
    <w:rsid w:val="008430D7"/>
    <w:rsid w:val="00843928"/>
    <w:rsid w:val="008439A5"/>
    <w:rsid w:val="00846CE7"/>
    <w:rsid w:val="00846D62"/>
    <w:rsid w:val="00847550"/>
    <w:rsid w:val="00847A34"/>
    <w:rsid w:val="00847ADC"/>
    <w:rsid w:val="00847E76"/>
    <w:rsid w:val="00847FA1"/>
    <w:rsid w:val="00850C51"/>
    <w:rsid w:val="00850E70"/>
    <w:rsid w:val="0085111C"/>
    <w:rsid w:val="008515C7"/>
    <w:rsid w:val="00852A91"/>
    <w:rsid w:val="00853E6D"/>
    <w:rsid w:val="00854094"/>
    <w:rsid w:val="00854565"/>
    <w:rsid w:val="0085478C"/>
    <w:rsid w:val="00854F24"/>
    <w:rsid w:val="008551A9"/>
    <w:rsid w:val="008600BD"/>
    <w:rsid w:val="0086066B"/>
    <w:rsid w:val="008608C3"/>
    <w:rsid w:val="00861529"/>
    <w:rsid w:val="008616EE"/>
    <w:rsid w:val="00862E3F"/>
    <w:rsid w:val="00864E27"/>
    <w:rsid w:val="00866893"/>
    <w:rsid w:val="0087187A"/>
    <w:rsid w:val="00871CA2"/>
    <w:rsid w:val="008721B0"/>
    <w:rsid w:val="00872498"/>
    <w:rsid w:val="008731BD"/>
    <w:rsid w:val="00873B1B"/>
    <w:rsid w:val="00873EFF"/>
    <w:rsid w:val="00874C5A"/>
    <w:rsid w:val="008751B4"/>
    <w:rsid w:val="008767F7"/>
    <w:rsid w:val="00877CBB"/>
    <w:rsid w:val="008803F4"/>
    <w:rsid w:val="0088042E"/>
    <w:rsid w:val="00881114"/>
    <w:rsid w:val="008815B7"/>
    <w:rsid w:val="008828A8"/>
    <w:rsid w:val="00882D11"/>
    <w:rsid w:val="0088303E"/>
    <w:rsid w:val="00883195"/>
    <w:rsid w:val="0088351C"/>
    <w:rsid w:val="0088489A"/>
    <w:rsid w:val="00884A79"/>
    <w:rsid w:val="00884F5A"/>
    <w:rsid w:val="0088516A"/>
    <w:rsid w:val="0088528E"/>
    <w:rsid w:val="008852C9"/>
    <w:rsid w:val="00885454"/>
    <w:rsid w:val="008855F9"/>
    <w:rsid w:val="008862A2"/>
    <w:rsid w:val="00886A1F"/>
    <w:rsid w:val="0088715A"/>
    <w:rsid w:val="008872DF"/>
    <w:rsid w:val="00887B67"/>
    <w:rsid w:val="00887ED9"/>
    <w:rsid w:val="00890327"/>
    <w:rsid w:val="00890EB4"/>
    <w:rsid w:val="0089304F"/>
    <w:rsid w:val="00893F18"/>
    <w:rsid w:val="008966C8"/>
    <w:rsid w:val="00896A1D"/>
    <w:rsid w:val="00896D77"/>
    <w:rsid w:val="00896E5D"/>
    <w:rsid w:val="00897DA6"/>
    <w:rsid w:val="008A05D3"/>
    <w:rsid w:val="008A1496"/>
    <w:rsid w:val="008A2A2A"/>
    <w:rsid w:val="008A2C76"/>
    <w:rsid w:val="008A2CB8"/>
    <w:rsid w:val="008A36CE"/>
    <w:rsid w:val="008A4247"/>
    <w:rsid w:val="008A4B3E"/>
    <w:rsid w:val="008A544C"/>
    <w:rsid w:val="008A6930"/>
    <w:rsid w:val="008A69C7"/>
    <w:rsid w:val="008A6D5F"/>
    <w:rsid w:val="008A6E30"/>
    <w:rsid w:val="008A773E"/>
    <w:rsid w:val="008B0756"/>
    <w:rsid w:val="008B0B4E"/>
    <w:rsid w:val="008B12A2"/>
    <w:rsid w:val="008B4F0C"/>
    <w:rsid w:val="008B5122"/>
    <w:rsid w:val="008B6196"/>
    <w:rsid w:val="008B6A36"/>
    <w:rsid w:val="008B6AFC"/>
    <w:rsid w:val="008B6D6D"/>
    <w:rsid w:val="008B6EF7"/>
    <w:rsid w:val="008B6F63"/>
    <w:rsid w:val="008B79A8"/>
    <w:rsid w:val="008B7A35"/>
    <w:rsid w:val="008B7BFF"/>
    <w:rsid w:val="008C1C04"/>
    <w:rsid w:val="008C23EC"/>
    <w:rsid w:val="008C259A"/>
    <w:rsid w:val="008C38AE"/>
    <w:rsid w:val="008C500B"/>
    <w:rsid w:val="008C51AC"/>
    <w:rsid w:val="008C5CBB"/>
    <w:rsid w:val="008C6463"/>
    <w:rsid w:val="008C6D86"/>
    <w:rsid w:val="008C6DED"/>
    <w:rsid w:val="008C70C9"/>
    <w:rsid w:val="008C71EF"/>
    <w:rsid w:val="008C76B3"/>
    <w:rsid w:val="008D1652"/>
    <w:rsid w:val="008D23CF"/>
    <w:rsid w:val="008D24C2"/>
    <w:rsid w:val="008D2E1B"/>
    <w:rsid w:val="008D38A4"/>
    <w:rsid w:val="008D3BC3"/>
    <w:rsid w:val="008D45E2"/>
    <w:rsid w:val="008D6F5B"/>
    <w:rsid w:val="008E0C48"/>
    <w:rsid w:val="008E3E3E"/>
    <w:rsid w:val="008E405D"/>
    <w:rsid w:val="008E4096"/>
    <w:rsid w:val="008E4D81"/>
    <w:rsid w:val="008E538E"/>
    <w:rsid w:val="008E5597"/>
    <w:rsid w:val="008E55FA"/>
    <w:rsid w:val="008E584C"/>
    <w:rsid w:val="008E604E"/>
    <w:rsid w:val="008E710B"/>
    <w:rsid w:val="008E7519"/>
    <w:rsid w:val="008E78D2"/>
    <w:rsid w:val="008F1609"/>
    <w:rsid w:val="008F2557"/>
    <w:rsid w:val="008F25A1"/>
    <w:rsid w:val="008F306A"/>
    <w:rsid w:val="008F333F"/>
    <w:rsid w:val="008F335E"/>
    <w:rsid w:val="008F37F5"/>
    <w:rsid w:val="008F398D"/>
    <w:rsid w:val="008F4DFD"/>
    <w:rsid w:val="008F5355"/>
    <w:rsid w:val="008F66FC"/>
    <w:rsid w:val="008F7134"/>
    <w:rsid w:val="008F75C9"/>
    <w:rsid w:val="008F7CF9"/>
    <w:rsid w:val="008F7DAC"/>
    <w:rsid w:val="009026BB"/>
    <w:rsid w:val="00902A50"/>
    <w:rsid w:val="00903B56"/>
    <w:rsid w:val="00904402"/>
    <w:rsid w:val="00905400"/>
    <w:rsid w:val="0090588E"/>
    <w:rsid w:val="009062A2"/>
    <w:rsid w:val="00906567"/>
    <w:rsid w:val="00906D0D"/>
    <w:rsid w:val="00907010"/>
    <w:rsid w:val="0090758A"/>
    <w:rsid w:val="009100BE"/>
    <w:rsid w:val="00910D4E"/>
    <w:rsid w:val="009111EE"/>
    <w:rsid w:val="009111F7"/>
    <w:rsid w:val="009113F5"/>
    <w:rsid w:val="00911884"/>
    <w:rsid w:val="00911A15"/>
    <w:rsid w:val="00911F9A"/>
    <w:rsid w:val="00911FEF"/>
    <w:rsid w:val="00912216"/>
    <w:rsid w:val="009128EC"/>
    <w:rsid w:val="00913380"/>
    <w:rsid w:val="009134F5"/>
    <w:rsid w:val="009135BC"/>
    <w:rsid w:val="00913E1E"/>
    <w:rsid w:val="0091565D"/>
    <w:rsid w:val="00915729"/>
    <w:rsid w:val="009160BE"/>
    <w:rsid w:val="00916177"/>
    <w:rsid w:val="0091740A"/>
    <w:rsid w:val="00920BD0"/>
    <w:rsid w:val="00921802"/>
    <w:rsid w:val="00922078"/>
    <w:rsid w:val="00923712"/>
    <w:rsid w:val="00923FE6"/>
    <w:rsid w:val="00924509"/>
    <w:rsid w:val="00924B4B"/>
    <w:rsid w:val="00925071"/>
    <w:rsid w:val="00925838"/>
    <w:rsid w:val="009260BD"/>
    <w:rsid w:val="00926B8F"/>
    <w:rsid w:val="009271B7"/>
    <w:rsid w:val="00931573"/>
    <w:rsid w:val="00931F6F"/>
    <w:rsid w:val="009321B8"/>
    <w:rsid w:val="00932CBC"/>
    <w:rsid w:val="0093332F"/>
    <w:rsid w:val="0093352F"/>
    <w:rsid w:val="00936193"/>
    <w:rsid w:val="00936E6B"/>
    <w:rsid w:val="009374E9"/>
    <w:rsid w:val="009401B3"/>
    <w:rsid w:val="009401EB"/>
    <w:rsid w:val="00940B9C"/>
    <w:rsid w:val="0094165B"/>
    <w:rsid w:val="00942066"/>
    <w:rsid w:val="009435AA"/>
    <w:rsid w:val="00944477"/>
    <w:rsid w:val="009444D3"/>
    <w:rsid w:val="00944FFC"/>
    <w:rsid w:val="009451D8"/>
    <w:rsid w:val="00945237"/>
    <w:rsid w:val="00946177"/>
    <w:rsid w:val="00946B3B"/>
    <w:rsid w:val="00946D0C"/>
    <w:rsid w:val="00946F6C"/>
    <w:rsid w:val="0095231A"/>
    <w:rsid w:val="00952330"/>
    <w:rsid w:val="00953C87"/>
    <w:rsid w:val="00953D5A"/>
    <w:rsid w:val="00954921"/>
    <w:rsid w:val="00954DAE"/>
    <w:rsid w:val="00955282"/>
    <w:rsid w:val="00955730"/>
    <w:rsid w:val="0095604C"/>
    <w:rsid w:val="009564F9"/>
    <w:rsid w:val="00956A49"/>
    <w:rsid w:val="00960D3F"/>
    <w:rsid w:val="009620C8"/>
    <w:rsid w:val="00962666"/>
    <w:rsid w:val="00962F58"/>
    <w:rsid w:val="00963683"/>
    <w:rsid w:val="009639C4"/>
    <w:rsid w:val="00963E05"/>
    <w:rsid w:val="00964BA2"/>
    <w:rsid w:val="009661B6"/>
    <w:rsid w:val="0096627E"/>
    <w:rsid w:val="00966DD0"/>
    <w:rsid w:val="00966F78"/>
    <w:rsid w:val="009679D7"/>
    <w:rsid w:val="00967A8C"/>
    <w:rsid w:val="00967E02"/>
    <w:rsid w:val="0097072B"/>
    <w:rsid w:val="00970962"/>
    <w:rsid w:val="00970D59"/>
    <w:rsid w:val="00971194"/>
    <w:rsid w:val="009715FA"/>
    <w:rsid w:val="00971F4F"/>
    <w:rsid w:val="00973483"/>
    <w:rsid w:val="00973948"/>
    <w:rsid w:val="00973B44"/>
    <w:rsid w:val="00974220"/>
    <w:rsid w:val="009746AC"/>
    <w:rsid w:val="0097475A"/>
    <w:rsid w:val="00974BF1"/>
    <w:rsid w:val="00974FCC"/>
    <w:rsid w:val="00976934"/>
    <w:rsid w:val="0098023F"/>
    <w:rsid w:val="00980C12"/>
    <w:rsid w:val="00982386"/>
    <w:rsid w:val="0098309B"/>
    <w:rsid w:val="009830B1"/>
    <w:rsid w:val="009836D0"/>
    <w:rsid w:val="00983912"/>
    <w:rsid w:val="00984867"/>
    <w:rsid w:val="00984A3A"/>
    <w:rsid w:val="00985060"/>
    <w:rsid w:val="009862B4"/>
    <w:rsid w:val="00986E8C"/>
    <w:rsid w:val="00987AC9"/>
    <w:rsid w:val="009900C7"/>
    <w:rsid w:val="00990872"/>
    <w:rsid w:val="009918A6"/>
    <w:rsid w:val="00991CF5"/>
    <w:rsid w:val="00991D1C"/>
    <w:rsid w:val="00991D3D"/>
    <w:rsid w:val="00991EF3"/>
    <w:rsid w:val="00992B0E"/>
    <w:rsid w:val="00993FA4"/>
    <w:rsid w:val="00994360"/>
    <w:rsid w:val="00994626"/>
    <w:rsid w:val="0099470D"/>
    <w:rsid w:val="00995207"/>
    <w:rsid w:val="00995214"/>
    <w:rsid w:val="00997308"/>
    <w:rsid w:val="00997DD2"/>
    <w:rsid w:val="009A0114"/>
    <w:rsid w:val="009A0F18"/>
    <w:rsid w:val="009A1080"/>
    <w:rsid w:val="009A2AF5"/>
    <w:rsid w:val="009A33A1"/>
    <w:rsid w:val="009A3786"/>
    <w:rsid w:val="009A453D"/>
    <w:rsid w:val="009A4765"/>
    <w:rsid w:val="009A48A6"/>
    <w:rsid w:val="009A4B6F"/>
    <w:rsid w:val="009A4DFB"/>
    <w:rsid w:val="009A5EFF"/>
    <w:rsid w:val="009A62E6"/>
    <w:rsid w:val="009A6B6C"/>
    <w:rsid w:val="009A6F65"/>
    <w:rsid w:val="009A709B"/>
    <w:rsid w:val="009A74E0"/>
    <w:rsid w:val="009B0501"/>
    <w:rsid w:val="009B1B5E"/>
    <w:rsid w:val="009B24D4"/>
    <w:rsid w:val="009B2690"/>
    <w:rsid w:val="009B27DB"/>
    <w:rsid w:val="009B28D0"/>
    <w:rsid w:val="009B33F4"/>
    <w:rsid w:val="009B3FD3"/>
    <w:rsid w:val="009B5559"/>
    <w:rsid w:val="009B5F4E"/>
    <w:rsid w:val="009B6954"/>
    <w:rsid w:val="009B734D"/>
    <w:rsid w:val="009B7493"/>
    <w:rsid w:val="009C015A"/>
    <w:rsid w:val="009C03FE"/>
    <w:rsid w:val="009C0793"/>
    <w:rsid w:val="009C192C"/>
    <w:rsid w:val="009C1A2A"/>
    <w:rsid w:val="009C1EF6"/>
    <w:rsid w:val="009C24C8"/>
    <w:rsid w:val="009C36E2"/>
    <w:rsid w:val="009C4404"/>
    <w:rsid w:val="009C613D"/>
    <w:rsid w:val="009C7370"/>
    <w:rsid w:val="009D0353"/>
    <w:rsid w:val="009D0911"/>
    <w:rsid w:val="009D0E2A"/>
    <w:rsid w:val="009D2648"/>
    <w:rsid w:val="009D2FFB"/>
    <w:rsid w:val="009D32EC"/>
    <w:rsid w:val="009D4A04"/>
    <w:rsid w:val="009D4EB7"/>
    <w:rsid w:val="009D5947"/>
    <w:rsid w:val="009D6691"/>
    <w:rsid w:val="009D66F8"/>
    <w:rsid w:val="009D7263"/>
    <w:rsid w:val="009D74C0"/>
    <w:rsid w:val="009D79A7"/>
    <w:rsid w:val="009E015F"/>
    <w:rsid w:val="009E0930"/>
    <w:rsid w:val="009E1B27"/>
    <w:rsid w:val="009E2118"/>
    <w:rsid w:val="009E22D4"/>
    <w:rsid w:val="009E3671"/>
    <w:rsid w:val="009E36E4"/>
    <w:rsid w:val="009E486D"/>
    <w:rsid w:val="009E65A9"/>
    <w:rsid w:val="009E782E"/>
    <w:rsid w:val="009E7B84"/>
    <w:rsid w:val="009E7E93"/>
    <w:rsid w:val="009F05A0"/>
    <w:rsid w:val="009F1A9F"/>
    <w:rsid w:val="009F386B"/>
    <w:rsid w:val="009F3993"/>
    <w:rsid w:val="009F4353"/>
    <w:rsid w:val="009F50FB"/>
    <w:rsid w:val="009F5D62"/>
    <w:rsid w:val="009F7D19"/>
    <w:rsid w:val="00A00D28"/>
    <w:rsid w:val="00A00FB0"/>
    <w:rsid w:val="00A059D7"/>
    <w:rsid w:val="00A079B5"/>
    <w:rsid w:val="00A07CC0"/>
    <w:rsid w:val="00A10310"/>
    <w:rsid w:val="00A10898"/>
    <w:rsid w:val="00A1089B"/>
    <w:rsid w:val="00A10BDF"/>
    <w:rsid w:val="00A10C21"/>
    <w:rsid w:val="00A113E8"/>
    <w:rsid w:val="00A1231A"/>
    <w:rsid w:val="00A1288D"/>
    <w:rsid w:val="00A12ED8"/>
    <w:rsid w:val="00A1340D"/>
    <w:rsid w:val="00A1453D"/>
    <w:rsid w:val="00A14809"/>
    <w:rsid w:val="00A14DA8"/>
    <w:rsid w:val="00A14F64"/>
    <w:rsid w:val="00A1539D"/>
    <w:rsid w:val="00A16355"/>
    <w:rsid w:val="00A174EF"/>
    <w:rsid w:val="00A178EF"/>
    <w:rsid w:val="00A17B37"/>
    <w:rsid w:val="00A17D16"/>
    <w:rsid w:val="00A204E0"/>
    <w:rsid w:val="00A20D1A"/>
    <w:rsid w:val="00A22068"/>
    <w:rsid w:val="00A2207F"/>
    <w:rsid w:val="00A225F5"/>
    <w:rsid w:val="00A22684"/>
    <w:rsid w:val="00A227FF"/>
    <w:rsid w:val="00A24976"/>
    <w:rsid w:val="00A24C75"/>
    <w:rsid w:val="00A2511B"/>
    <w:rsid w:val="00A261C5"/>
    <w:rsid w:val="00A26660"/>
    <w:rsid w:val="00A2676B"/>
    <w:rsid w:val="00A267C9"/>
    <w:rsid w:val="00A26AEB"/>
    <w:rsid w:val="00A26C7C"/>
    <w:rsid w:val="00A26E75"/>
    <w:rsid w:val="00A27E4E"/>
    <w:rsid w:val="00A31EAE"/>
    <w:rsid w:val="00A332BA"/>
    <w:rsid w:val="00A35235"/>
    <w:rsid w:val="00A3526F"/>
    <w:rsid w:val="00A357DD"/>
    <w:rsid w:val="00A3643D"/>
    <w:rsid w:val="00A3658C"/>
    <w:rsid w:val="00A37298"/>
    <w:rsid w:val="00A3729F"/>
    <w:rsid w:val="00A37485"/>
    <w:rsid w:val="00A37B92"/>
    <w:rsid w:val="00A40ABC"/>
    <w:rsid w:val="00A40CB2"/>
    <w:rsid w:val="00A41589"/>
    <w:rsid w:val="00A419E2"/>
    <w:rsid w:val="00A42447"/>
    <w:rsid w:val="00A42818"/>
    <w:rsid w:val="00A42F6E"/>
    <w:rsid w:val="00A435E3"/>
    <w:rsid w:val="00A4372B"/>
    <w:rsid w:val="00A43DF7"/>
    <w:rsid w:val="00A45336"/>
    <w:rsid w:val="00A4559C"/>
    <w:rsid w:val="00A45E48"/>
    <w:rsid w:val="00A469B6"/>
    <w:rsid w:val="00A50125"/>
    <w:rsid w:val="00A5050B"/>
    <w:rsid w:val="00A516D5"/>
    <w:rsid w:val="00A520A2"/>
    <w:rsid w:val="00A52679"/>
    <w:rsid w:val="00A53955"/>
    <w:rsid w:val="00A53A1B"/>
    <w:rsid w:val="00A54D99"/>
    <w:rsid w:val="00A55292"/>
    <w:rsid w:val="00A55474"/>
    <w:rsid w:val="00A556FE"/>
    <w:rsid w:val="00A55D9F"/>
    <w:rsid w:val="00A5613F"/>
    <w:rsid w:val="00A569DA"/>
    <w:rsid w:val="00A57316"/>
    <w:rsid w:val="00A576A3"/>
    <w:rsid w:val="00A600B3"/>
    <w:rsid w:val="00A60C15"/>
    <w:rsid w:val="00A60DAA"/>
    <w:rsid w:val="00A61725"/>
    <w:rsid w:val="00A61A75"/>
    <w:rsid w:val="00A61C18"/>
    <w:rsid w:val="00A620C7"/>
    <w:rsid w:val="00A637E1"/>
    <w:rsid w:val="00A64BB6"/>
    <w:rsid w:val="00A64C85"/>
    <w:rsid w:val="00A651C5"/>
    <w:rsid w:val="00A65CA0"/>
    <w:rsid w:val="00A67F79"/>
    <w:rsid w:val="00A70894"/>
    <w:rsid w:val="00A71115"/>
    <w:rsid w:val="00A71999"/>
    <w:rsid w:val="00A721F2"/>
    <w:rsid w:val="00A72ACE"/>
    <w:rsid w:val="00A7313A"/>
    <w:rsid w:val="00A73F0C"/>
    <w:rsid w:val="00A74D27"/>
    <w:rsid w:val="00A76545"/>
    <w:rsid w:val="00A766C7"/>
    <w:rsid w:val="00A80398"/>
    <w:rsid w:val="00A810E4"/>
    <w:rsid w:val="00A8184E"/>
    <w:rsid w:val="00A81DB0"/>
    <w:rsid w:val="00A82430"/>
    <w:rsid w:val="00A82803"/>
    <w:rsid w:val="00A828A4"/>
    <w:rsid w:val="00A82A08"/>
    <w:rsid w:val="00A83667"/>
    <w:rsid w:val="00A847F3"/>
    <w:rsid w:val="00A84FD8"/>
    <w:rsid w:val="00A8541F"/>
    <w:rsid w:val="00A85A06"/>
    <w:rsid w:val="00A85B99"/>
    <w:rsid w:val="00A86277"/>
    <w:rsid w:val="00A8742F"/>
    <w:rsid w:val="00A90ACA"/>
    <w:rsid w:val="00A915FF"/>
    <w:rsid w:val="00A92498"/>
    <w:rsid w:val="00A92DC6"/>
    <w:rsid w:val="00A93C8C"/>
    <w:rsid w:val="00A94456"/>
    <w:rsid w:val="00A94A80"/>
    <w:rsid w:val="00A94AFF"/>
    <w:rsid w:val="00A94E08"/>
    <w:rsid w:val="00A9577E"/>
    <w:rsid w:val="00A96566"/>
    <w:rsid w:val="00A976D0"/>
    <w:rsid w:val="00A97C5C"/>
    <w:rsid w:val="00AA104E"/>
    <w:rsid w:val="00AA1E27"/>
    <w:rsid w:val="00AA2D59"/>
    <w:rsid w:val="00AA3B4D"/>
    <w:rsid w:val="00AA4528"/>
    <w:rsid w:val="00AA4E05"/>
    <w:rsid w:val="00AB0E86"/>
    <w:rsid w:val="00AB0F8E"/>
    <w:rsid w:val="00AB130C"/>
    <w:rsid w:val="00AB18D4"/>
    <w:rsid w:val="00AB1C1C"/>
    <w:rsid w:val="00AB249D"/>
    <w:rsid w:val="00AB30F1"/>
    <w:rsid w:val="00AB35E2"/>
    <w:rsid w:val="00AB371F"/>
    <w:rsid w:val="00AB3867"/>
    <w:rsid w:val="00AB3B67"/>
    <w:rsid w:val="00AB432C"/>
    <w:rsid w:val="00AB4A47"/>
    <w:rsid w:val="00AB568B"/>
    <w:rsid w:val="00AB6839"/>
    <w:rsid w:val="00AB7094"/>
    <w:rsid w:val="00AB791F"/>
    <w:rsid w:val="00AB7B90"/>
    <w:rsid w:val="00AC02AC"/>
    <w:rsid w:val="00AC073C"/>
    <w:rsid w:val="00AC139D"/>
    <w:rsid w:val="00AC154D"/>
    <w:rsid w:val="00AC15F8"/>
    <w:rsid w:val="00AC17A4"/>
    <w:rsid w:val="00AC182E"/>
    <w:rsid w:val="00AC26F3"/>
    <w:rsid w:val="00AC2897"/>
    <w:rsid w:val="00AC4F37"/>
    <w:rsid w:val="00AC5BED"/>
    <w:rsid w:val="00AC5D1C"/>
    <w:rsid w:val="00AC6592"/>
    <w:rsid w:val="00AC711D"/>
    <w:rsid w:val="00AC7782"/>
    <w:rsid w:val="00AC78EA"/>
    <w:rsid w:val="00AD01CA"/>
    <w:rsid w:val="00AD2947"/>
    <w:rsid w:val="00AD3414"/>
    <w:rsid w:val="00AD3539"/>
    <w:rsid w:val="00AD4652"/>
    <w:rsid w:val="00AD502A"/>
    <w:rsid w:val="00AD75D9"/>
    <w:rsid w:val="00AE02CC"/>
    <w:rsid w:val="00AE12EB"/>
    <w:rsid w:val="00AE19F2"/>
    <w:rsid w:val="00AE23D9"/>
    <w:rsid w:val="00AE2782"/>
    <w:rsid w:val="00AE43A7"/>
    <w:rsid w:val="00AE5474"/>
    <w:rsid w:val="00AE564C"/>
    <w:rsid w:val="00AE5FE2"/>
    <w:rsid w:val="00AE6356"/>
    <w:rsid w:val="00AE659A"/>
    <w:rsid w:val="00AE6BC2"/>
    <w:rsid w:val="00AE75FC"/>
    <w:rsid w:val="00AF0006"/>
    <w:rsid w:val="00AF0934"/>
    <w:rsid w:val="00AF0D8B"/>
    <w:rsid w:val="00AF14DE"/>
    <w:rsid w:val="00AF38FC"/>
    <w:rsid w:val="00AF4620"/>
    <w:rsid w:val="00AF464E"/>
    <w:rsid w:val="00AF49DA"/>
    <w:rsid w:val="00AF5123"/>
    <w:rsid w:val="00AF562F"/>
    <w:rsid w:val="00AF728E"/>
    <w:rsid w:val="00AF78E3"/>
    <w:rsid w:val="00B0060D"/>
    <w:rsid w:val="00B008A5"/>
    <w:rsid w:val="00B00ECE"/>
    <w:rsid w:val="00B00F78"/>
    <w:rsid w:val="00B00FB3"/>
    <w:rsid w:val="00B02B3C"/>
    <w:rsid w:val="00B02B76"/>
    <w:rsid w:val="00B0353F"/>
    <w:rsid w:val="00B047E6"/>
    <w:rsid w:val="00B04FDE"/>
    <w:rsid w:val="00B0500D"/>
    <w:rsid w:val="00B050CD"/>
    <w:rsid w:val="00B056DB"/>
    <w:rsid w:val="00B0605F"/>
    <w:rsid w:val="00B06D62"/>
    <w:rsid w:val="00B071EB"/>
    <w:rsid w:val="00B0777D"/>
    <w:rsid w:val="00B1014E"/>
    <w:rsid w:val="00B10588"/>
    <w:rsid w:val="00B10B65"/>
    <w:rsid w:val="00B11A36"/>
    <w:rsid w:val="00B120BD"/>
    <w:rsid w:val="00B12694"/>
    <w:rsid w:val="00B15F7E"/>
    <w:rsid w:val="00B17607"/>
    <w:rsid w:val="00B1775B"/>
    <w:rsid w:val="00B17D1E"/>
    <w:rsid w:val="00B2066C"/>
    <w:rsid w:val="00B21049"/>
    <w:rsid w:val="00B212CF"/>
    <w:rsid w:val="00B22474"/>
    <w:rsid w:val="00B225E8"/>
    <w:rsid w:val="00B24518"/>
    <w:rsid w:val="00B24616"/>
    <w:rsid w:val="00B24ED1"/>
    <w:rsid w:val="00B24F7F"/>
    <w:rsid w:val="00B25002"/>
    <w:rsid w:val="00B2577E"/>
    <w:rsid w:val="00B257B5"/>
    <w:rsid w:val="00B25FEF"/>
    <w:rsid w:val="00B26367"/>
    <w:rsid w:val="00B26D9B"/>
    <w:rsid w:val="00B271CC"/>
    <w:rsid w:val="00B30041"/>
    <w:rsid w:val="00B31249"/>
    <w:rsid w:val="00B327C4"/>
    <w:rsid w:val="00B32B07"/>
    <w:rsid w:val="00B3363F"/>
    <w:rsid w:val="00B33A56"/>
    <w:rsid w:val="00B348CA"/>
    <w:rsid w:val="00B3598D"/>
    <w:rsid w:val="00B3718F"/>
    <w:rsid w:val="00B40607"/>
    <w:rsid w:val="00B40833"/>
    <w:rsid w:val="00B40BB7"/>
    <w:rsid w:val="00B42B16"/>
    <w:rsid w:val="00B43145"/>
    <w:rsid w:val="00B432BE"/>
    <w:rsid w:val="00B43446"/>
    <w:rsid w:val="00B43F1B"/>
    <w:rsid w:val="00B4440F"/>
    <w:rsid w:val="00B44A1D"/>
    <w:rsid w:val="00B45A0E"/>
    <w:rsid w:val="00B45A87"/>
    <w:rsid w:val="00B50004"/>
    <w:rsid w:val="00B525BB"/>
    <w:rsid w:val="00B529F3"/>
    <w:rsid w:val="00B52DFA"/>
    <w:rsid w:val="00B52F6B"/>
    <w:rsid w:val="00B53045"/>
    <w:rsid w:val="00B531C5"/>
    <w:rsid w:val="00B53690"/>
    <w:rsid w:val="00B54799"/>
    <w:rsid w:val="00B547A9"/>
    <w:rsid w:val="00B55C56"/>
    <w:rsid w:val="00B55E3D"/>
    <w:rsid w:val="00B56794"/>
    <w:rsid w:val="00B57793"/>
    <w:rsid w:val="00B61798"/>
    <w:rsid w:val="00B620D1"/>
    <w:rsid w:val="00B622FB"/>
    <w:rsid w:val="00B62A85"/>
    <w:rsid w:val="00B648DA"/>
    <w:rsid w:val="00B65D60"/>
    <w:rsid w:val="00B67EE3"/>
    <w:rsid w:val="00B70DD9"/>
    <w:rsid w:val="00B711F6"/>
    <w:rsid w:val="00B71869"/>
    <w:rsid w:val="00B71889"/>
    <w:rsid w:val="00B7263E"/>
    <w:rsid w:val="00B7332D"/>
    <w:rsid w:val="00B736B3"/>
    <w:rsid w:val="00B73C7E"/>
    <w:rsid w:val="00B744D5"/>
    <w:rsid w:val="00B74590"/>
    <w:rsid w:val="00B74CC0"/>
    <w:rsid w:val="00B76415"/>
    <w:rsid w:val="00B76FD7"/>
    <w:rsid w:val="00B7752A"/>
    <w:rsid w:val="00B77CDE"/>
    <w:rsid w:val="00B822E9"/>
    <w:rsid w:val="00B82F6D"/>
    <w:rsid w:val="00B8319D"/>
    <w:rsid w:val="00B832F8"/>
    <w:rsid w:val="00B838F7"/>
    <w:rsid w:val="00B849FC"/>
    <w:rsid w:val="00B84A48"/>
    <w:rsid w:val="00B85DE8"/>
    <w:rsid w:val="00B869CA"/>
    <w:rsid w:val="00B87364"/>
    <w:rsid w:val="00B87B51"/>
    <w:rsid w:val="00B9001C"/>
    <w:rsid w:val="00B908F5"/>
    <w:rsid w:val="00B91D9A"/>
    <w:rsid w:val="00B92642"/>
    <w:rsid w:val="00B92783"/>
    <w:rsid w:val="00B9489F"/>
    <w:rsid w:val="00B963B6"/>
    <w:rsid w:val="00B966A3"/>
    <w:rsid w:val="00B978DD"/>
    <w:rsid w:val="00B97ADD"/>
    <w:rsid w:val="00BA01B0"/>
    <w:rsid w:val="00BA02A3"/>
    <w:rsid w:val="00BA069A"/>
    <w:rsid w:val="00BA0BC4"/>
    <w:rsid w:val="00BA0FA1"/>
    <w:rsid w:val="00BA11FB"/>
    <w:rsid w:val="00BA1223"/>
    <w:rsid w:val="00BA26F9"/>
    <w:rsid w:val="00BA2A7F"/>
    <w:rsid w:val="00BA2CA5"/>
    <w:rsid w:val="00BA300E"/>
    <w:rsid w:val="00BA30F7"/>
    <w:rsid w:val="00BA311C"/>
    <w:rsid w:val="00BA3878"/>
    <w:rsid w:val="00BA5962"/>
    <w:rsid w:val="00BA6C49"/>
    <w:rsid w:val="00BA6FB1"/>
    <w:rsid w:val="00BB0A59"/>
    <w:rsid w:val="00BB178F"/>
    <w:rsid w:val="00BB2170"/>
    <w:rsid w:val="00BB2638"/>
    <w:rsid w:val="00BB297A"/>
    <w:rsid w:val="00BB2EE4"/>
    <w:rsid w:val="00BB371E"/>
    <w:rsid w:val="00BB3C2A"/>
    <w:rsid w:val="00BB40F4"/>
    <w:rsid w:val="00BB4426"/>
    <w:rsid w:val="00BB4B90"/>
    <w:rsid w:val="00BB5134"/>
    <w:rsid w:val="00BB52AB"/>
    <w:rsid w:val="00BB5619"/>
    <w:rsid w:val="00BB7353"/>
    <w:rsid w:val="00BB7649"/>
    <w:rsid w:val="00BB7B97"/>
    <w:rsid w:val="00BC18A6"/>
    <w:rsid w:val="00BC1955"/>
    <w:rsid w:val="00BC2317"/>
    <w:rsid w:val="00BC2C6C"/>
    <w:rsid w:val="00BC3EBA"/>
    <w:rsid w:val="00BC5221"/>
    <w:rsid w:val="00BC7709"/>
    <w:rsid w:val="00BC7CE4"/>
    <w:rsid w:val="00BD1800"/>
    <w:rsid w:val="00BD2619"/>
    <w:rsid w:val="00BD34CA"/>
    <w:rsid w:val="00BD3837"/>
    <w:rsid w:val="00BD3A22"/>
    <w:rsid w:val="00BD4065"/>
    <w:rsid w:val="00BD6641"/>
    <w:rsid w:val="00BD6AAE"/>
    <w:rsid w:val="00BD6D47"/>
    <w:rsid w:val="00BD7559"/>
    <w:rsid w:val="00BE19DA"/>
    <w:rsid w:val="00BE2DC0"/>
    <w:rsid w:val="00BE3AF9"/>
    <w:rsid w:val="00BE3F33"/>
    <w:rsid w:val="00BE412F"/>
    <w:rsid w:val="00BE46A8"/>
    <w:rsid w:val="00BE4D38"/>
    <w:rsid w:val="00BE5B67"/>
    <w:rsid w:val="00BE5F9A"/>
    <w:rsid w:val="00BE6C10"/>
    <w:rsid w:val="00BE7310"/>
    <w:rsid w:val="00BE7C33"/>
    <w:rsid w:val="00BF06F8"/>
    <w:rsid w:val="00BF13B7"/>
    <w:rsid w:val="00BF1C18"/>
    <w:rsid w:val="00BF2C03"/>
    <w:rsid w:val="00BF466C"/>
    <w:rsid w:val="00BF4E97"/>
    <w:rsid w:val="00BF5AA0"/>
    <w:rsid w:val="00BF698A"/>
    <w:rsid w:val="00BF71A4"/>
    <w:rsid w:val="00BF72F6"/>
    <w:rsid w:val="00BF759B"/>
    <w:rsid w:val="00BF7898"/>
    <w:rsid w:val="00BF78C4"/>
    <w:rsid w:val="00BF7BE9"/>
    <w:rsid w:val="00C00024"/>
    <w:rsid w:val="00C01724"/>
    <w:rsid w:val="00C01789"/>
    <w:rsid w:val="00C02082"/>
    <w:rsid w:val="00C0273F"/>
    <w:rsid w:val="00C031B8"/>
    <w:rsid w:val="00C0463B"/>
    <w:rsid w:val="00C0488C"/>
    <w:rsid w:val="00C05218"/>
    <w:rsid w:val="00C05579"/>
    <w:rsid w:val="00C058DB"/>
    <w:rsid w:val="00C05E38"/>
    <w:rsid w:val="00C05E48"/>
    <w:rsid w:val="00C06477"/>
    <w:rsid w:val="00C064D7"/>
    <w:rsid w:val="00C0697A"/>
    <w:rsid w:val="00C07510"/>
    <w:rsid w:val="00C109E2"/>
    <w:rsid w:val="00C11A6E"/>
    <w:rsid w:val="00C11E12"/>
    <w:rsid w:val="00C1288A"/>
    <w:rsid w:val="00C12B10"/>
    <w:rsid w:val="00C12F66"/>
    <w:rsid w:val="00C14D23"/>
    <w:rsid w:val="00C15570"/>
    <w:rsid w:val="00C16062"/>
    <w:rsid w:val="00C2028A"/>
    <w:rsid w:val="00C20A7E"/>
    <w:rsid w:val="00C21B8C"/>
    <w:rsid w:val="00C2212D"/>
    <w:rsid w:val="00C22183"/>
    <w:rsid w:val="00C224D3"/>
    <w:rsid w:val="00C22F42"/>
    <w:rsid w:val="00C233E0"/>
    <w:rsid w:val="00C2359A"/>
    <w:rsid w:val="00C250B5"/>
    <w:rsid w:val="00C2565C"/>
    <w:rsid w:val="00C25695"/>
    <w:rsid w:val="00C26930"/>
    <w:rsid w:val="00C26F40"/>
    <w:rsid w:val="00C27FD6"/>
    <w:rsid w:val="00C30A94"/>
    <w:rsid w:val="00C30E44"/>
    <w:rsid w:val="00C320ED"/>
    <w:rsid w:val="00C32680"/>
    <w:rsid w:val="00C32850"/>
    <w:rsid w:val="00C336FB"/>
    <w:rsid w:val="00C33E50"/>
    <w:rsid w:val="00C3471B"/>
    <w:rsid w:val="00C34899"/>
    <w:rsid w:val="00C3494E"/>
    <w:rsid w:val="00C34CD2"/>
    <w:rsid w:val="00C3547D"/>
    <w:rsid w:val="00C3595F"/>
    <w:rsid w:val="00C35D2C"/>
    <w:rsid w:val="00C36696"/>
    <w:rsid w:val="00C3707F"/>
    <w:rsid w:val="00C37AB8"/>
    <w:rsid w:val="00C41B6B"/>
    <w:rsid w:val="00C42B3B"/>
    <w:rsid w:val="00C42C4E"/>
    <w:rsid w:val="00C4395A"/>
    <w:rsid w:val="00C44300"/>
    <w:rsid w:val="00C446D9"/>
    <w:rsid w:val="00C44C37"/>
    <w:rsid w:val="00C44E99"/>
    <w:rsid w:val="00C44FBE"/>
    <w:rsid w:val="00C45665"/>
    <w:rsid w:val="00C472CE"/>
    <w:rsid w:val="00C47A44"/>
    <w:rsid w:val="00C50DCC"/>
    <w:rsid w:val="00C518D6"/>
    <w:rsid w:val="00C52D17"/>
    <w:rsid w:val="00C53F01"/>
    <w:rsid w:val="00C540EA"/>
    <w:rsid w:val="00C550AF"/>
    <w:rsid w:val="00C555C9"/>
    <w:rsid w:val="00C55985"/>
    <w:rsid w:val="00C559F7"/>
    <w:rsid w:val="00C56170"/>
    <w:rsid w:val="00C56880"/>
    <w:rsid w:val="00C572EF"/>
    <w:rsid w:val="00C57369"/>
    <w:rsid w:val="00C602B8"/>
    <w:rsid w:val="00C60945"/>
    <w:rsid w:val="00C62183"/>
    <w:rsid w:val="00C62219"/>
    <w:rsid w:val="00C624BF"/>
    <w:rsid w:val="00C6296F"/>
    <w:rsid w:val="00C638D4"/>
    <w:rsid w:val="00C6485C"/>
    <w:rsid w:val="00C64F1C"/>
    <w:rsid w:val="00C66B43"/>
    <w:rsid w:val="00C66B65"/>
    <w:rsid w:val="00C67188"/>
    <w:rsid w:val="00C674A8"/>
    <w:rsid w:val="00C700C5"/>
    <w:rsid w:val="00C70EDF"/>
    <w:rsid w:val="00C71622"/>
    <w:rsid w:val="00C71D19"/>
    <w:rsid w:val="00C72CE5"/>
    <w:rsid w:val="00C72D17"/>
    <w:rsid w:val="00C7308B"/>
    <w:rsid w:val="00C7386E"/>
    <w:rsid w:val="00C74FE5"/>
    <w:rsid w:val="00C751DB"/>
    <w:rsid w:val="00C76E56"/>
    <w:rsid w:val="00C76EFD"/>
    <w:rsid w:val="00C773F7"/>
    <w:rsid w:val="00C7760A"/>
    <w:rsid w:val="00C7789A"/>
    <w:rsid w:val="00C778FC"/>
    <w:rsid w:val="00C77A90"/>
    <w:rsid w:val="00C80572"/>
    <w:rsid w:val="00C8298B"/>
    <w:rsid w:val="00C82B9F"/>
    <w:rsid w:val="00C8369D"/>
    <w:rsid w:val="00C84EA4"/>
    <w:rsid w:val="00C8561A"/>
    <w:rsid w:val="00C856A2"/>
    <w:rsid w:val="00C86952"/>
    <w:rsid w:val="00C90906"/>
    <w:rsid w:val="00C91140"/>
    <w:rsid w:val="00C9116D"/>
    <w:rsid w:val="00C9147F"/>
    <w:rsid w:val="00C91581"/>
    <w:rsid w:val="00C91AA1"/>
    <w:rsid w:val="00C91AF2"/>
    <w:rsid w:val="00C91DED"/>
    <w:rsid w:val="00C928E2"/>
    <w:rsid w:val="00C92A78"/>
    <w:rsid w:val="00C93378"/>
    <w:rsid w:val="00C93ADE"/>
    <w:rsid w:val="00C948EC"/>
    <w:rsid w:val="00C96212"/>
    <w:rsid w:val="00C971FD"/>
    <w:rsid w:val="00CA0899"/>
    <w:rsid w:val="00CA1765"/>
    <w:rsid w:val="00CA189E"/>
    <w:rsid w:val="00CA21BF"/>
    <w:rsid w:val="00CA2521"/>
    <w:rsid w:val="00CA2917"/>
    <w:rsid w:val="00CA31C2"/>
    <w:rsid w:val="00CA456F"/>
    <w:rsid w:val="00CA4B52"/>
    <w:rsid w:val="00CA4F9B"/>
    <w:rsid w:val="00CA6CE4"/>
    <w:rsid w:val="00CA6E8E"/>
    <w:rsid w:val="00CA73E0"/>
    <w:rsid w:val="00CA76EA"/>
    <w:rsid w:val="00CA7A36"/>
    <w:rsid w:val="00CB045A"/>
    <w:rsid w:val="00CB0FB0"/>
    <w:rsid w:val="00CB1BD4"/>
    <w:rsid w:val="00CB2158"/>
    <w:rsid w:val="00CB317A"/>
    <w:rsid w:val="00CB37AE"/>
    <w:rsid w:val="00CB4F81"/>
    <w:rsid w:val="00CB57E1"/>
    <w:rsid w:val="00CB6145"/>
    <w:rsid w:val="00CB66E5"/>
    <w:rsid w:val="00CB698D"/>
    <w:rsid w:val="00CB6F49"/>
    <w:rsid w:val="00CB766D"/>
    <w:rsid w:val="00CB7AC7"/>
    <w:rsid w:val="00CC082D"/>
    <w:rsid w:val="00CC12EB"/>
    <w:rsid w:val="00CC32F5"/>
    <w:rsid w:val="00CC3343"/>
    <w:rsid w:val="00CC3D0C"/>
    <w:rsid w:val="00CC46A8"/>
    <w:rsid w:val="00CC4FA5"/>
    <w:rsid w:val="00CC5382"/>
    <w:rsid w:val="00CC5395"/>
    <w:rsid w:val="00CC5814"/>
    <w:rsid w:val="00CC64DD"/>
    <w:rsid w:val="00CC7122"/>
    <w:rsid w:val="00CC73CD"/>
    <w:rsid w:val="00CC7A85"/>
    <w:rsid w:val="00CC7D11"/>
    <w:rsid w:val="00CC7F06"/>
    <w:rsid w:val="00CD0151"/>
    <w:rsid w:val="00CD0352"/>
    <w:rsid w:val="00CD037D"/>
    <w:rsid w:val="00CD130F"/>
    <w:rsid w:val="00CD22DC"/>
    <w:rsid w:val="00CD284F"/>
    <w:rsid w:val="00CD3E80"/>
    <w:rsid w:val="00CD482C"/>
    <w:rsid w:val="00CD4AD4"/>
    <w:rsid w:val="00CD503F"/>
    <w:rsid w:val="00CD5406"/>
    <w:rsid w:val="00CD5845"/>
    <w:rsid w:val="00CD5A15"/>
    <w:rsid w:val="00CD6119"/>
    <w:rsid w:val="00CD61ED"/>
    <w:rsid w:val="00CD6A8E"/>
    <w:rsid w:val="00CD6D1B"/>
    <w:rsid w:val="00CD74E0"/>
    <w:rsid w:val="00CE1050"/>
    <w:rsid w:val="00CE18B5"/>
    <w:rsid w:val="00CE25EA"/>
    <w:rsid w:val="00CE2882"/>
    <w:rsid w:val="00CE293A"/>
    <w:rsid w:val="00CE2A32"/>
    <w:rsid w:val="00CE409D"/>
    <w:rsid w:val="00CE5642"/>
    <w:rsid w:val="00CE729C"/>
    <w:rsid w:val="00CF0508"/>
    <w:rsid w:val="00CF08E2"/>
    <w:rsid w:val="00CF099F"/>
    <w:rsid w:val="00CF0E7E"/>
    <w:rsid w:val="00CF123D"/>
    <w:rsid w:val="00CF1F52"/>
    <w:rsid w:val="00CF208D"/>
    <w:rsid w:val="00CF2E79"/>
    <w:rsid w:val="00CF47AD"/>
    <w:rsid w:val="00CF4BC0"/>
    <w:rsid w:val="00CF4F74"/>
    <w:rsid w:val="00CF63A6"/>
    <w:rsid w:val="00CF6418"/>
    <w:rsid w:val="00CF6598"/>
    <w:rsid w:val="00CF741B"/>
    <w:rsid w:val="00CF78DE"/>
    <w:rsid w:val="00CF7DA8"/>
    <w:rsid w:val="00D005C5"/>
    <w:rsid w:val="00D0074F"/>
    <w:rsid w:val="00D018B4"/>
    <w:rsid w:val="00D02CAB"/>
    <w:rsid w:val="00D031C9"/>
    <w:rsid w:val="00D031F4"/>
    <w:rsid w:val="00D04736"/>
    <w:rsid w:val="00D04D8C"/>
    <w:rsid w:val="00D05891"/>
    <w:rsid w:val="00D05903"/>
    <w:rsid w:val="00D05B9F"/>
    <w:rsid w:val="00D05F14"/>
    <w:rsid w:val="00D060D1"/>
    <w:rsid w:val="00D0641B"/>
    <w:rsid w:val="00D07671"/>
    <w:rsid w:val="00D07C05"/>
    <w:rsid w:val="00D07FCC"/>
    <w:rsid w:val="00D10154"/>
    <w:rsid w:val="00D13571"/>
    <w:rsid w:val="00D1526D"/>
    <w:rsid w:val="00D156A7"/>
    <w:rsid w:val="00D161AC"/>
    <w:rsid w:val="00D16D4E"/>
    <w:rsid w:val="00D1707F"/>
    <w:rsid w:val="00D170D2"/>
    <w:rsid w:val="00D201BB"/>
    <w:rsid w:val="00D20320"/>
    <w:rsid w:val="00D20773"/>
    <w:rsid w:val="00D21CD9"/>
    <w:rsid w:val="00D21E77"/>
    <w:rsid w:val="00D2286C"/>
    <w:rsid w:val="00D23F04"/>
    <w:rsid w:val="00D240DF"/>
    <w:rsid w:val="00D2451D"/>
    <w:rsid w:val="00D24991"/>
    <w:rsid w:val="00D260B8"/>
    <w:rsid w:val="00D264CB"/>
    <w:rsid w:val="00D268D8"/>
    <w:rsid w:val="00D26DA2"/>
    <w:rsid w:val="00D27A38"/>
    <w:rsid w:val="00D30535"/>
    <w:rsid w:val="00D305F6"/>
    <w:rsid w:val="00D305FC"/>
    <w:rsid w:val="00D31497"/>
    <w:rsid w:val="00D3200B"/>
    <w:rsid w:val="00D32E52"/>
    <w:rsid w:val="00D32FEF"/>
    <w:rsid w:val="00D33407"/>
    <w:rsid w:val="00D33824"/>
    <w:rsid w:val="00D339D1"/>
    <w:rsid w:val="00D342D9"/>
    <w:rsid w:val="00D3464B"/>
    <w:rsid w:val="00D36994"/>
    <w:rsid w:val="00D37176"/>
    <w:rsid w:val="00D375FC"/>
    <w:rsid w:val="00D37ED1"/>
    <w:rsid w:val="00D4045E"/>
    <w:rsid w:val="00D41553"/>
    <w:rsid w:val="00D41B64"/>
    <w:rsid w:val="00D41C49"/>
    <w:rsid w:val="00D42D38"/>
    <w:rsid w:val="00D42E27"/>
    <w:rsid w:val="00D4462B"/>
    <w:rsid w:val="00D4497C"/>
    <w:rsid w:val="00D450F8"/>
    <w:rsid w:val="00D45C24"/>
    <w:rsid w:val="00D4612F"/>
    <w:rsid w:val="00D47722"/>
    <w:rsid w:val="00D47AA4"/>
    <w:rsid w:val="00D47D3F"/>
    <w:rsid w:val="00D47EDD"/>
    <w:rsid w:val="00D502EE"/>
    <w:rsid w:val="00D50A02"/>
    <w:rsid w:val="00D50C73"/>
    <w:rsid w:val="00D51284"/>
    <w:rsid w:val="00D51630"/>
    <w:rsid w:val="00D51E7A"/>
    <w:rsid w:val="00D540CF"/>
    <w:rsid w:val="00D54259"/>
    <w:rsid w:val="00D5606E"/>
    <w:rsid w:val="00D56390"/>
    <w:rsid w:val="00D575C5"/>
    <w:rsid w:val="00D57B03"/>
    <w:rsid w:val="00D601C3"/>
    <w:rsid w:val="00D60CBC"/>
    <w:rsid w:val="00D6100C"/>
    <w:rsid w:val="00D6268C"/>
    <w:rsid w:val="00D626EF"/>
    <w:rsid w:val="00D62868"/>
    <w:rsid w:val="00D633AB"/>
    <w:rsid w:val="00D63528"/>
    <w:rsid w:val="00D63CEB"/>
    <w:rsid w:val="00D643D9"/>
    <w:rsid w:val="00D64D5C"/>
    <w:rsid w:val="00D64F18"/>
    <w:rsid w:val="00D650F9"/>
    <w:rsid w:val="00D65936"/>
    <w:rsid w:val="00D65A7E"/>
    <w:rsid w:val="00D660DB"/>
    <w:rsid w:val="00D70346"/>
    <w:rsid w:val="00D70FA4"/>
    <w:rsid w:val="00D71CA4"/>
    <w:rsid w:val="00D747E2"/>
    <w:rsid w:val="00D75121"/>
    <w:rsid w:val="00D76070"/>
    <w:rsid w:val="00D7656E"/>
    <w:rsid w:val="00D768E8"/>
    <w:rsid w:val="00D807C3"/>
    <w:rsid w:val="00D80B2C"/>
    <w:rsid w:val="00D81365"/>
    <w:rsid w:val="00D81C32"/>
    <w:rsid w:val="00D81FC1"/>
    <w:rsid w:val="00D82AF7"/>
    <w:rsid w:val="00D82C24"/>
    <w:rsid w:val="00D82C51"/>
    <w:rsid w:val="00D83242"/>
    <w:rsid w:val="00D8382E"/>
    <w:rsid w:val="00D83CE6"/>
    <w:rsid w:val="00D8459C"/>
    <w:rsid w:val="00D847B9"/>
    <w:rsid w:val="00D85A81"/>
    <w:rsid w:val="00D85C9A"/>
    <w:rsid w:val="00D86369"/>
    <w:rsid w:val="00D86691"/>
    <w:rsid w:val="00D8686F"/>
    <w:rsid w:val="00D86EC5"/>
    <w:rsid w:val="00D87035"/>
    <w:rsid w:val="00D870CA"/>
    <w:rsid w:val="00D87EF2"/>
    <w:rsid w:val="00D9125F"/>
    <w:rsid w:val="00D916FB"/>
    <w:rsid w:val="00D917E6"/>
    <w:rsid w:val="00D91B89"/>
    <w:rsid w:val="00D926DD"/>
    <w:rsid w:val="00D928D1"/>
    <w:rsid w:val="00D92CB8"/>
    <w:rsid w:val="00D9477F"/>
    <w:rsid w:val="00D95ADE"/>
    <w:rsid w:val="00D95E0E"/>
    <w:rsid w:val="00D9794B"/>
    <w:rsid w:val="00DA086C"/>
    <w:rsid w:val="00DA0A3F"/>
    <w:rsid w:val="00DA0E05"/>
    <w:rsid w:val="00DA0ED0"/>
    <w:rsid w:val="00DA3B62"/>
    <w:rsid w:val="00DA436B"/>
    <w:rsid w:val="00DA4383"/>
    <w:rsid w:val="00DA4FFC"/>
    <w:rsid w:val="00DA5583"/>
    <w:rsid w:val="00DA593F"/>
    <w:rsid w:val="00DA5F78"/>
    <w:rsid w:val="00DA6A3F"/>
    <w:rsid w:val="00DB09E8"/>
    <w:rsid w:val="00DB235D"/>
    <w:rsid w:val="00DB294F"/>
    <w:rsid w:val="00DB3642"/>
    <w:rsid w:val="00DB378A"/>
    <w:rsid w:val="00DB4079"/>
    <w:rsid w:val="00DB45F0"/>
    <w:rsid w:val="00DB46CA"/>
    <w:rsid w:val="00DB4717"/>
    <w:rsid w:val="00DB49DF"/>
    <w:rsid w:val="00DB5402"/>
    <w:rsid w:val="00DB5779"/>
    <w:rsid w:val="00DB6A44"/>
    <w:rsid w:val="00DC03F8"/>
    <w:rsid w:val="00DC0C51"/>
    <w:rsid w:val="00DC148A"/>
    <w:rsid w:val="00DC1678"/>
    <w:rsid w:val="00DC1C6B"/>
    <w:rsid w:val="00DC2E46"/>
    <w:rsid w:val="00DC2FB7"/>
    <w:rsid w:val="00DC33BB"/>
    <w:rsid w:val="00DC3E19"/>
    <w:rsid w:val="00DC405A"/>
    <w:rsid w:val="00DC4A0A"/>
    <w:rsid w:val="00DC51D7"/>
    <w:rsid w:val="00DC557F"/>
    <w:rsid w:val="00DC6419"/>
    <w:rsid w:val="00DC7948"/>
    <w:rsid w:val="00DD05A7"/>
    <w:rsid w:val="00DD0724"/>
    <w:rsid w:val="00DD072B"/>
    <w:rsid w:val="00DD1097"/>
    <w:rsid w:val="00DD14D3"/>
    <w:rsid w:val="00DD2008"/>
    <w:rsid w:val="00DD2C1A"/>
    <w:rsid w:val="00DD3315"/>
    <w:rsid w:val="00DD435F"/>
    <w:rsid w:val="00DD57E6"/>
    <w:rsid w:val="00DE3447"/>
    <w:rsid w:val="00DE34E2"/>
    <w:rsid w:val="00DE3955"/>
    <w:rsid w:val="00DE41A0"/>
    <w:rsid w:val="00DE4FE8"/>
    <w:rsid w:val="00DE57E8"/>
    <w:rsid w:val="00DE6B3C"/>
    <w:rsid w:val="00DE6DAB"/>
    <w:rsid w:val="00DF1404"/>
    <w:rsid w:val="00DF1ADF"/>
    <w:rsid w:val="00DF2C81"/>
    <w:rsid w:val="00DF2CDA"/>
    <w:rsid w:val="00DF32E0"/>
    <w:rsid w:val="00DF3E93"/>
    <w:rsid w:val="00DF490C"/>
    <w:rsid w:val="00DF4BFD"/>
    <w:rsid w:val="00DF6A82"/>
    <w:rsid w:val="00DF6EEC"/>
    <w:rsid w:val="00DF70D0"/>
    <w:rsid w:val="00E00B9C"/>
    <w:rsid w:val="00E012A5"/>
    <w:rsid w:val="00E0178A"/>
    <w:rsid w:val="00E01B73"/>
    <w:rsid w:val="00E01C54"/>
    <w:rsid w:val="00E04115"/>
    <w:rsid w:val="00E04B7E"/>
    <w:rsid w:val="00E0590B"/>
    <w:rsid w:val="00E059CB"/>
    <w:rsid w:val="00E0700A"/>
    <w:rsid w:val="00E0721B"/>
    <w:rsid w:val="00E0755A"/>
    <w:rsid w:val="00E07A32"/>
    <w:rsid w:val="00E1064D"/>
    <w:rsid w:val="00E114CE"/>
    <w:rsid w:val="00E141FA"/>
    <w:rsid w:val="00E14A58"/>
    <w:rsid w:val="00E155D7"/>
    <w:rsid w:val="00E15D27"/>
    <w:rsid w:val="00E168A6"/>
    <w:rsid w:val="00E176CA"/>
    <w:rsid w:val="00E2015B"/>
    <w:rsid w:val="00E20576"/>
    <w:rsid w:val="00E208B5"/>
    <w:rsid w:val="00E21070"/>
    <w:rsid w:val="00E22005"/>
    <w:rsid w:val="00E22242"/>
    <w:rsid w:val="00E22307"/>
    <w:rsid w:val="00E2272B"/>
    <w:rsid w:val="00E22FC1"/>
    <w:rsid w:val="00E233C2"/>
    <w:rsid w:val="00E251CF"/>
    <w:rsid w:val="00E25B74"/>
    <w:rsid w:val="00E26603"/>
    <w:rsid w:val="00E271C2"/>
    <w:rsid w:val="00E27C65"/>
    <w:rsid w:val="00E3067A"/>
    <w:rsid w:val="00E3067E"/>
    <w:rsid w:val="00E31BC7"/>
    <w:rsid w:val="00E32F67"/>
    <w:rsid w:val="00E3484C"/>
    <w:rsid w:val="00E34C9A"/>
    <w:rsid w:val="00E354B6"/>
    <w:rsid w:val="00E35874"/>
    <w:rsid w:val="00E35E7F"/>
    <w:rsid w:val="00E3664F"/>
    <w:rsid w:val="00E37B7A"/>
    <w:rsid w:val="00E40888"/>
    <w:rsid w:val="00E408F7"/>
    <w:rsid w:val="00E40E9B"/>
    <w:rsid w:val="00E40F0B"/>
    <w:rsid w:val="00E421A8"/>
    <w:rsid w:val="00E42347"/>
    <w:rsid w:val="00E42793"/>
    <w:rsid w:val="00E42B44"/>
    <w:rsid w:val="00E43884"/>
    <w:rsid w:val="00E4551E"/>
    <w:rsid w:val="00E45713"/>
    <w:rsid w:val="00E45EF2"/>
    <w:rsid w:val="00E46B02"/>
    <w:rsid w:val="00E4700F"/>
    <w:rsid w:val="00E472D9"/>
    <w:rsid w:val="00E47500"/>
    <w:rsid w:val="00E47FAE"/>
    <w:rsid w:val="00E50C8C"/>
    <w:rsid w:val="00E5118E"/>
    <w:rsid w:val="00E51B2B"/>
    <w:rsid w:val="00E53A46"/>
    <w:rsid w:val="00E54595"/>
    <w:rsid w:val="00E5494B"/>
    <w:rsid w:val="00E55018"/>
    <w:rsid w:val="00E55A93"/>
    <w:rsid w:val="00E55B98"/>
    <w:rsid w:val="00E55E8A"/>
    <w:rsid w:val="00E56173"/>
    <w:rsid w:val="00E565C1"/>
    <w:rsid w:val="00E56A3C"/>
    <w:rsid w:val="00E57605"/>
    <w:rsid w:val="00E6068D"/>
    <w:rsid w:val="00E60E2C"/>
    <w:rsid w:val="00E61209"/>
    <w:rsid w:val="00E6140B"/>
    <w:rsid w:val="00E6347A"/>
    <w:rsid w:val="00E63BBE"/>
    <w:rsid w:val="00E63F60"/>
    <w:rsid w:val="00E64A3D"/>
    <w:rsid w:val="00E65B08"/>
    <w:rsid w:val="00E66094"/>
    <w:rsid w:val="00E668E7"/>
    <w:rsid w:val="00E6721C"/>
    <w:rsid w:val="00E675BC"/>
    <w:rsid w:val="00E67BA2"/>
    <w:rsid w:val="00E7040D"/>
    <w:rsid w:val="00E708A0"/>
    <w:rsid w:val="00E70A84"/>
    <w:rsid w:val="00E71788"/>
    <w:rsid w:val="00E727CC"/>
    <w:rsid w:val="00E74598"/>
    <w:rsid w:val="00E7551F"/>
    <w:rsid w:val="00E75A94"/>
    <w:rsid w:val="00E75C6A"/>
    <w:rsid w:val="00E760A9"/>
    <w:rsid w:val="00E76A8A"/>
    <w:rsid w:val="00E775BD"/>
    <w:rsid w:val="00E7761B"/>
    <w:rsid w:val="00E77C31"/>
    <w:rsid w:val="00E801A2"/>
    <w:rsid w:val="00E805FF"/>
    <w:rsid w:val="00E8074D"/>
    <w:rsid w:val="00E8242C"/>
    <w:rsid w:val="00E82CEC"/>
    <w:rsid w:val="00E8331D"/>
    <w:rsid w:val="00E83848"/>
    <w:rsid w:val="00E8385A"/>
    <w:rsid w:val="00E83CE5"/>
    <w:rsid w:val="00E84556"/>
    <w:rsid w:val="00E84A41"/>
    <w:rsid w:val="00E855D1"/>
    <w:rsid w:val="00E8561F"/>
    <w:rsid w:val="00E85B3D"/>
    <w:rsid w:val="00E8703E"/>
    <w:rsid w:val="00E87090"/>
    <w:rsid w:val="00E876C8"/>
    <w:rsid w:val="00E87CEB"/>
    <w:rsid w:val="00E87D16"/>
    <w:rsid w:val="00E87F64"/>
    <w:rsid w:val="00E90710"/>
    <w:rsid w:val="00E90A22"/>
    <w:rsid w:val="00E91E8C"/>
    <w:rsid w:val="00E92A4B"/>
    <w:rsid w:val="00E92BFC"/>
    <w:rsid w:val="00E938B6"/>
    <w:rsid w:val="00E9438B"/>
    <w:rsid w:val="00E9445E"/>
    <w:rsid w:val="00E94637"/>
    <w:rsid w:val="00E94F5F"/>
    <w:rsid w:val="00E9520C"/>
    <w:rsid w:val="00EA0444"/>
    <w:rsid w:val="00EA172B"/>
    <w:rsid w:val="00EA18B1"/>
    <w:rsid w:val="00EA20A5"/>
    <w:rsid w:val="00EA302A"/>
    <w:rsid w:val="00EA3208"/>
    <w:rsid w:val="00EA39E8"/>
    <w:rsid w:val="00EA5025"/>
    <w:rsid w:val="00EA551E"/>
    <w:rsid w:val="00EA5933"/>
    <w:rsid w:val="00EA6CF9"/>
    <w:rsid w:val="00EA7682"/>
    <w:rsid w:val="00EA7804"/>
    <w:rsid w:val="00EB0CEF"/>
    <w:rsid w:val="00EB1949"/>
    <w:rsid w:val="00EB1B2E"/>
    <w:rsid w:val="00EB20CD"/>
    <w:rsid w:val="00EB2280"/>
    <w:rsid w:val="00EB2465"/>
    <w:rsid w:val="00EB5758"/>
    <w:rsid w:val="00EB583F"/>
    <w:rsid w:val="00EB5B1C"/>
    <w:rsid w:val="00EB5D69"/>
    <w:rsid w:val="00EB6D1B"/>
    <w:rsid w:val="00EB70F9"/>
    <w:rsid w:val="00EC0D87"/>
    <w:rsid w:val="00EC19E7"/>
    <w:rsid w:val="00EC1ED7"/>
    <w:rsid w:val="00EC2F8F"/>
    <w:rsid w:val="00EC38BB"/>
    <w:rsid w:val="00EC3B03"/>
    <w:rsid w:val="00EC3CFE"/>
    <w:rsid w:val="00EC3D67"/>
    <w:rsid w:val="00EC43EF"/>
    <w:rsid w:val="00EC4BF6"/>
    <w:rsid w:val="00EC50F5"/>
    <w:rsid w:val="00EC6381"/>
    <w:rsid w:val="00ED0565"/>
    <w:rsid w:val="00ED074E"/>
    <w:rsid w:val="00ED1FF2"/>
    <w:rsid w:val="00ED22E3"/>
    <w:rsid w:val="00ED27F7"/>
    <w:rsid w:val="00ED3196"/>
    <w:rsid w:val="00ED381C"/>
    <w:rsid w:val="00ED39CF"/>
    <w:rsid w:val="00ED50FB"/>
    <w:rsid w:val="00ED53C7"/>
    <w:rsid w:val="00ED5F08"/>
    <w:rsid w:val="00ED71F6"/>
    <w:rsid w:val="00ED78E2"/>
    <w:rsid w:val="00ED7AC6"/>
    <w:rsid w:val="00ED7C1A"/>
    <w:rsid w:val="00ED7FD1"/>
    <w:rsid w:val="00EE186A"/>
    <w:rsid w:val="00EE1BFE"/>
    <w:rsid w:val="00EE60E5"/>
    <w:rsid w:val="00EF0489"/>
    <w:rsid w:val="00EF0C03"/>
    <w:rsid w:val="00EF0DE8"/>
    <w:rsid w:val="00EF14F3"/>
    <w:rsid w:val="00EF17AD"/>
    <w:rsid w:val="00EF1DAF"/>
    <w:rsid w:val="00EF1F95"/>
    <w:rsid w:val="00EF2162"/>
    <w:rsid w:val="00EF2E4F"/>
    <w:rsid w:val="00EF3337"/>
    <w:rsid w:val="00EF393E"/>
    <w:rsid w:val="00EF3A7F"/>
    <w:rsid w:val="00EF3F95"/>
    <w:rsid w:val="00EF41AD"/>
    <w:rsid w:val="00EF4341"/>
    <w:rsid w:val="00EF44FB"/>
    <w:rsid w:val="00EF4AD4"/>
    <w:rsid w:val="00EF58F7"/>
    <w:rsid w:val="00EF5B43"/>
    <w:rsid w:val="00EF5D47"/>
    <w:rsid w:val="00EF7732"/>
    <w:rsid w:val="00F0008E"/>
    <w:rsid w:val="00F00632"/>
    <w:rsid w:val="00F00B46"/>
    <w:rsid w:val="00F01389"/>
    <w:rsid w:val="00F01AFD"/>
    <w:rsid w:val="00F021AD"/>
    <w:rsid w:val="00F0336C"/>
    <w:rsid w:val="00F03429"/>
    <w:rsid w:val="00F0378E"/>
    <w:rsid w:val="00F03BF7"/>
    <w:rsid w:val="00F03FD5"/>
    <w:rsid w:val="00F05FBE"/>
    <w:rsid w:val="00F07220"/>
    <w:rsid w:val="00F07A79"/>
    <w:rsid w:val="00F10ED6"/>
    <w:rsid w:val="00F110FF"/>
    <w:rsid w:val="00F12F46"/>
    <w:rsid w:val="00F13284"/>
    <w:rsid w:val="00F13ACA"/>
    <w:rsid w:val="00F14C4B"/>
    <w:rsid w:val="00F14F67"/>
    <w:rsid w:val="00F15248"/>
    <w:rsid w:val="00F15FC4"/>
    <w:rsid w:val="00F162BB"/>
    <w:rsid w:val="00F16A18"/>
    <w:rsid w:val="00F1710E"/>
    <w:rsid w:val="00F2005F"/>
    <w:rsid w:val="00F20064"/>
    <w:rsid w:val="00F203FC"/>
    <w:rsid w:val="00F20A1F"/>
    <w:rsid w:val="00F20C92"/>
    <w:rsid w:val="00F222EF"/>
    <w:rsid w:val="00F22B11"/>
    <w:rsid w:val="00F22E92"/>
    <w:rsid w:val="00F231B4"/>
    <w:rsid w:val="00F23533"/>
    <w:rsid w:val="00F23579"/>
    <w:rsid w:val="00F236B1"/>
    <w:rsid w:val="00F23773"/>
    <w:rsid w:val="00F241AE"/>
    <w:rsid w:val="00F26E8E"/>
    <w:rsid w:val="00F27750"/>
    <w:rsid w:val="00F27C16"/>
    <w:rsid w:val="00F27F5A"/>
    <w:rsid w:val="00F303CA"/>
    <w:rsid w:val="00F30CB7"/>
    <w:rsid w:val="00F31A56"/>
    <w:rsid w:val="00F32398"/>
    <w:rsid w:val="00F3249E"/>
    <w:rsid w:val="00F324A3"/>
    <w:rsid w:val="00F32E8B"/>
    <w:rsid w:val="00F33208"/>
    <w:rsid w:val="00F34BF8"/>
    <w:rsid w:val="00F34EC8"/>
    <w:rsid w:val="00F34ED3"/>
    <w:rsid w:val="00F35B3B"/>
    <w:rsid w:val="00F36654"/>
    <w:rsid w:val="00F36D69"/>
    <w:rsid w:val="00F373AE"/>
    <w:rsid w:val="00F37CB1"/>
    <w:rsid w:val="00F4108A"/>
    <w:rsid w:val="00F415B3"/>
    <w:rsid w:val="00F4210E"/>
    <w:rsid w:val="00F4355D"/>
    <w:rsid w:val="00F44560"/>
    <w:rsid w:val="00F44DAF"/>
    <w:rsid w:val="00F44EF2"/>
    <w:rsid w:val="00F45517"/>
    <w:rsid w:val="00F45B29"/>
    <w:rsid w:val="00F47733"/>
    <w:rsid w:val="00F500CA"/>
    <w:rsid w:val="00F5065C"/>
    <w:rsid w:val="00F50F06"/>
    <w:rsid w:val="00F518D0"/>
    <w:rsid w:val="00F535F7"/>
    <w:rsid w:val="00F53947"/>
    <w:rsid w:val="00F5718C"/>
    <w:rsid w:val="00F604AF"/>
    <w:rsid w:val="00F60F79"/>
    <w:rsid w:val="00F62248"/>
    <w:rsid w:val="00F625D9"/>
    <w:rsid w:val="00F649E6"/>
    <w:rsid w:val="00F64EFC"/>
    <w:rsid w:val="00F6545F"/>
    <w:rsid w:val="00F65E60"/>
    <w:rsid w:val="00F66DE5"/>
    <w:rsid w:val="00F679A6"/>
    <w:rsid w:val="00F67E06"/>
    <w:rsid w:val="00F70AE9"/>
    <w:rsid w:val="00F7251F"/>
    <w:rsid w:val="00F72FF5"/>
    <w:rsid w:val="00F736FB"/>
    <w:rsid w:val="00F75130"/>
    <w:rsid w:val="00F753F0"/>
    <w:rsid w:val="00F7575A"/>
    <w:rsid w:val="00F7654E"/>
    <w:rsid w:val="00F7764F"/>
    <w:rsid w:val="00F80070"/>
    <w:rsid w:val="00F803FF"/>
    <w:rsid w:val="00F8079E"/>
    <w:rsid w:val="00F80C20"/>
    <w:rsid w:val="00F8250A"/>
    <w:rsid w:val="00F843F5"/>
    <w:rsid w:val="00F8475E"/>
    <w:rsid w:val="00F8507E"/>
    <w:rsid w:val="00F85581"/>
    <w:rsid w:val="00F85A3B"/>
    <w:rsid w:val="00F86A9C"/>
    <w:rsid w:val="00F87A4F"/>
    <w:rsid w:val="00F9037F"/>
    <w:rsid w:val="00F93475"/>
    <w:rsid w:val="00F936BB"/>
    <w:rsid w:val="00F94674"/>
    <w:rsid w:val="00F94AA9"/>
    <w:rsid w:val="00F94BE2"/>
    <w:rsid w:val="00F94EB7"/>
    <w:rsid w:val="00F95095"/>
    <w:rsid w:val="00F9668A"/>
    <w:rsid w:val="00F97CB8"/>
    <w:rsid w:val="00F97ED5"/>
    <w:rsid w:val="00FA05DE"/>
    <w:rsid w:val="00FA0898"/>
    <w:rsid w:val="00FA0BE7"/>
    <w:rsid w:val="00FA0FC9"/>
    <w:rsid w:val="00FA1165"/>
    <w:rsid w:val="00FA2818"/>
    <w:rsid w:val="00FA2F41"/>
    <w:rsid w:val="00FA4957"/>
    <w:rsid w:val="00FA4FF6"/>
    <w:rsid w:val="00FA57D6"/>
    <w:rsid w:val="00FA5AA3"/>
    <w:rsid w:val="00FA5C3B"/>
    <w:rsid w:val="00FA64ED"/>
    <w:rsid w:val="00FA6E00"/>
    <w:rsid w:val="00FA75A2"/>
    <w:rsid w:val="00FB1A4A"/>
    <w:rsid w:val="00FB2EE8"/>
    <w:rsid w:val="00FB33BE"/>
    <w:rsid w:val="00FB402C"/>
    <w:rsid w:val="00FB469E"/>
    <w:rsid w:val="00FB47B5"/>
    <w:rsid w:val="00FB58A5"/>
    <w:rsid w:val="00FB5D7F"/>
    <w:rsid w:val="00FB5F7C"/>
    <w:rsid w:val="00FB615F"/>
    <w:rsid w:val="00FB6E29"/>
    <w:rsid w:val="00FB73EA"/>
    <w:rsid w:val="00FC08DB"/>
    <w:rsid w:val="00FC0A32"/>
    <w:rsid w:val="00FC0A52"/>
    <w:rsid w:val="00FC0BED"/>
    <w:rsid w:val="00FC0C91"/>
    <w:rsid w:val="00FC1215"/>
    <w:rsid w:val="00FC1E73"/>
    <w:rsid w:val="00FC2097"/>
    <w:rsid w:val="00FC2A68"/>
    <w:rsid w:val="00FC3513"/>
    <w:rsid w:val="00FC4503"/>
    <w:rsid w:val="00FC5115"/>
    <w:rsid w:val="00FC5374"/>
    <w:rsid w:val="00FC5441"/>
    <w:rsid w:val="00FC6029"/>
    <w:rsid w:val="00FC650C"/>
    <w:rsid w:val="00FC6FCA"/>
    <w:rsid w:val="00FC7B7A"/>
    <w:rsid w:val="00FD058F"/>
    <w:rsid w:val="00FD20B6"/>
    <w:rsid w:val="00FD2841"/>
    <w:rsid w:val="00FD2DCB"/>
    <w:rsid w:val="00FD3818"/>
    <w:rsid w:val="00FD3A09"/>
    <w:rsid w:val="00FD3AEA"/>
    <w:rsid w:val="00FD3C56"/>
    <w:rsid w:val="00FD4933"/>
    <w:rsid w:val="00FD5294"/>
    <w:rsid w:val="00FD54C2"/>
    <w:rsid w:val="00FD6D67"/>
    <w:rsid w:val="00FD748B"/>
    <w:rsid w:val="00FD7D3A"/>
    <w:rsid w:val="00FE00C5"/>
    <w:rsid w:val="00FE0B96"/>
    <w:rsid w:val="00FE194E"/>
    <w:rsid w:val="00FE2A64"/>
    <w:rsid w:val="00FE2E6E"/>
    <w:rsid w:val="00FE3309"/>
    <w:rsid w:val="00FE3525"/>
    <w:rsid w:val="00FE3611"/>
    <w:rsid w:val="00FE6511"/>
    <w:rsid w:val="00FE79D3"/>
    <w:rsid w:val="00FF0A1B"/>
    <w:rsid w:val="00FF16D8"/>
    <w:rsid w:val="00FF1BAD"/>
    <w:rsid w:val="00FF1F54"/>
    <w:rsid w:val="00FF207B"/>
    <w:rsid w:val="00FF2816"/>
    <w:rsid w:val="00FF2A93"/>
    <w:rsid w:val="00FF2A94"/>
    <w:rsid w:val="00FF2BB8"/>
    <w:rsid w:val="00FF2FD5"/>
    <w:rsid w:val="00FF3617"/>
    <w:rsid w:val="00FF4993"/>
    <w:rsid w:val="00FF4A46"/>
    <w:rsid w:val="00FF4D24"/>
    <w:rsid w:val="00FF54BC"/>
    <w:rsid w:val="00FF589B"/>
    <w:rsid w:val="00FF5C10"/>
    <w:rsid w:val="00FF5CC7"/>
    <w:rsid w:val="00FF5FBE"/>
    <w:rsid w:val="00FF6410"/>
    <w:rsid w:val="00FF6F3F"/>
    <w:rsid w:val="29C265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0C654"/>
  <w15:chartTrackingRefBased/>
  <w15:docId w15:val="{EDA645B6-42A6-6F4C-A4D9-27FC70470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5BC"/>
    <w:rPr>
      <w:rFonts w:ascii="Times New Roman" w:eastAsia="Times New Roman" w:hAnsi="Times New Roman" w:cs="Times New Roman"/>
      <w:lang w:val="en-US"/>
    </w:rPr>
  </w:style>
  <w:style w:type="paragraph" w:styleId="Heading1">
    <w:name w:val="heading 1"/>
    <w:next w:val="NoSpacing"/>
    <w:link w:val="Heading1Char"/>
    <w:uiPriority w:val="9"/>
    <w:qFormat/>
    <w:rsid w:val="00AC26F3"/>
    <w:pPr>
      <w:keepNext/>
      <w:keepLines/>
      <w:spacing w:before="240"/>
      <w:outlineLvl w:val="0"/>
    </w:pPr>
    <w:rPr>
      <w:rFonts w:asciiTheme="majorHAnsi" w:eastAsiaTheme="majorEastAsia" w:hAnsiTheme="majorHAnsi" w:cstheme="majorBidi"/>
      <w:color w:val="000000" w:themeColor="text1"/>
      <w:kern w:val="2"/>
      <w:sz w:val="32"/>
      <w:szCs w:val="32"/>
      <w14:ligatures w14:val="standardContextual"/>
    </w:rPr>
  </w:style>
  <w:style w:type="paragraph" w:styleId="Heading2">
    <w:name w:val="heading 2"/>
    <w:basedOn w:val="Normal"/>
    <w:next w:val="Normal"/>
    <w:link w:val="Heading2Char"/>
    <w:uiPriority w:val="9"/>
    <w:unhideWhenUsed/>
    <w:qFormat/>
    <w:rsid w:val="00046057"/>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C05218"/>
    <w:pPr>
      <w:keepNext/>
      <w:keepLines/>
      <w:spacing w:before="40"/>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456FEF"/>
    <w:pPr>
      <w:keepNext/>
      <w:keepLines/>
      <w:numPr>
        <w:numId w:val="24"/>
      </w:numPr>
      <w:spacing w:before="40"/>
      <w:outlineLvl w:val="3"/>
    </w:pPr>
    <w:rPr>
      <w:rFonts w:asciiTheme="majorHAnsi" w:eastAsiaTheme="majorEastAsia" w:hAnsiTheme="majorHAnsi" w:cstheme="majorBidi"/>
      <w:b/>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6F3"/>
    <w:rPr>
      <w:rFonts w:asciiTheme="majorHAnsi" w:eastAsiaTheme="majorEastAsia" w:hAnsiTheme="majorHAnsi" w:cstheme="majorBidi"/>
      <w:color w:val="000000" w:themeColor="text1"/>
      <w:kern w:val="2"/>
      <w:sz w:val="32"/>
      <w:szCs w:val="32"/>
      <w14:ligatures w14:val="standardContextual"/>
    </w:rPr>
  </w:style>
  <w:style w:type="paragraph" w:styleId="NoSpacing">
    <w:name w:val="No Spacing"/>
    <w:uiPriority w:val="1"/>
    <w:qFormat/>
    <w:rsid w:val="00AC26F3"/>
  </w:style>
  <w:style w:type="character" w:customStyle="1" w:styleId="Heading2Char">
    <w:name w:val="Heading 2 Char"/>
    <w:basedOn w:val="DefaultParagraphFont"/>
    <w:link w:val="Heading2"/>
    <w:uiPriority w:val="9"/>
    <w:rsid w:val="00046057"/>
    <w:rPr>
      <w:rFonts w:ascii="Garamond" w:eastAsiaTheme="majorEastAsia" w:hAnsi="Garamond" w:cstheme="majorBidi"/>
      <w:b/>
      <w:color w:val="000000" w:themeColor="text1"/>
      <w:kern w:val="2"/>
      <w:szCs w:val="26"/>
      <w14:ligatures w14:val="standardContextual"/>
    </w:rPr>
  </w:style>
  <w:style w:type="paragraph" w:styleId="NormalWeb">
    <w:name w:val="Normal (Web)"/>
    <w:basedOn w:val="Normal"/>
    <w:uiPriority w:val="99"/>
    <w:unhideWhenUsed/>
    <w:rsid w:val="00B45A0E"/>
    <w:pPr>
      <w:spacing w:before="100" w:beforeAutospacing="1" w:after="100" w:afterAutospacing="1"/>
    </w:pPr>
    <w:rPr>
      <w:lang w:eastAsia="es-MX"/>
    </w:rPr>
  </w:style>
  <w:style w:type="paragraph" w:styleId="BodyText">
    <w:name w:val="Body Text"/>
    <w:basedOn w:val="Normal"/>
    <w:link w:val="BodyTextChar"/>
    <w:uiPriority w:val="1"/>
    <w:qFormat/>
    <w:rsid w:val="00B45A0E"/>
    <w:pPr>
      <w:widowControl w:val="0"/>
      <w:autoSpaceDE w:val="0"/>
      <w:autoSpaceDN w:val="0"/>
    </w:pPr>
    <w:rPr>
      <w:rFonts w:ascii="Calibri" w:eastAsia="Calibri" w:hAnsi="Calibri" w:cs="Calibri"/>
      <w:lang w:val="es-ES"/>
    </w:rPr>
  </w:style>
  <w:style w:type="character" w:customStyle="1" w:styleId="BodyTextChar">
    <w:name w:val="Body Text Char"/>
    <w:basedOn w:val="DefaultParagraphFont"/>
    <w:link w:val="BodyText"/>
    <w:uiPriority w:val="1"/>
    <w:rsid w:val="00B45A0E"/>
    <w:rPr>
      <w:rFonts w:ascii="Calibri" w:eastAsia="Calibri" w:hAnsi="Calibri" w:cs="Calibri"/>
      <w:lang w:val="es-ES"/>
    </w:rPr>
  </w:style>
  <w:style w:type="paragraph" w:styleId="FootnoteText">
    <w:name w:val="footnote text"/>
    <w:basedOn w:val="Normal"/>
    <w:link w:val="FootnoteTextChar"/>
    <w:uiPriority w:val="99"/>
    <w:semiHidden/>
    <w:unhideWhenUsed/>
    <w:rsid w:val="00B45A0E"/>
    <w:rPr>
      <w:sz w:val="20"/>
      <w:szCs w:val="20"/>
    </w:rPr>
  </w:style>
  <w:style w:type="character" w:customStyle="1" w:styleId="FootnoteTextChar">
    <w:name w:val="Footnote Text Char"/>
    <w:basedOn w:val="DefaultParagraphFont"/>
    <w:link w:val="FootnoteText"/>
    <w:uiPriority w:val="99"/>
    <w:semiHidden/>
    <w:rsid w:val="00B45A0E"/>
    <w:rPr>
      <w:kern w:val="2"/>
      <w:sz w:val="20"/>
      <w:szCs w:val="20"/>
      <w14:ligatures w14:val="standardContextual"/>
    </w:rPr>
  </w:style>
  <w:style w:type="character" w:styleId="FootnoteReference">
    <w:name w:val="footnote reference"/>
    <w:basedOn w:val="DefaultParagraphFont"/>
    <w:uiPriority w:val="99"/>
    <w:semiHidden/>
    <w:unhideWhenUsed/>
    <w:rsid w:val="00B45A0E"/>
    <w:rPr>
      <w:vertAlign w:val="superscript"/>
    </w:rPr>
  </w:style>
  <w:style w:type="character" w:styleId="Hyperlink">
    <w:name w:val="Hyperlink"/>
    <w:basedOn w:val="DefaultParagraphFont"/>
    <w:uiPriority w:val="99"/>
    <w:unhideWhenUsed/>
    <w:rsid w:val="00B45A0E"/>
    <w:rPr>
      <w:color w:val="0563C1" w:themeColor="hyperlink"/>
      <w:u w:val="single"/>
    </w:rPr>
  </w:style>
  <w:style w:type="paragraph" w:styleId="ListParagraph">
    <w:name w:val="List Paragraph"/>
    <w:basedOn w:val="Normal"/>
    <w:uiPriority w:val="34"/>
    <w:qFormat/>
    <w:rsid w:val="00B45A0E"/>
    <w:pPr>
      <w:spacing w:after="160" w:line="259" w:lineRule="auto"/>
      <w:ind w:left="720"/>
      <w:contextualSpacing/>
    </w:pPr>
    <w:rPr>
      <w:szCs w:val="22"/>
    </w:rPr>
  </w:style>
  <w:style w:type="character" w:customStyle="1" w:styleId="Heading3Char">
    <w:name w:val="Heading 3 Char"/>
    <w:basedOn w:val="DefaultParagraphFont"/>
    <w:link w:val="Heading3"/>
    <w:uiPriority w:val="9"/>
    <w:rsid w:val="00C05218"/>
    <w:rPr>
      <w:rFonts w:ascii="Garamond" w:eastAsiaTheme="majorEastAsia" w:hAnsi="Garamond" w:cstheme="majorBidi"/>
      <w:b/>
      <w:color w:val="000000" w:themeColor="text1"/>
      <w:kern w:val="2"/>
      <w14:ligatures w14:val="standardContextual"/>
    </w:rPr>
  </w:style>
  <w:style w:type="character" w:customStyle="1" w:styleId="Heading4Char">
    <w:name w:val="Heading 4 Char"/>
    <w:basedOn w:val="DefaultParagraphFont"/>
    <w:link w:val="Heading4"/>
    <w:uiPriority w:val="9"/>
    <w:rsid w:val="00456FEF"/>
    <w:rPr>
      <w:rFonts w:asciiTheme="majorHAnsi" w:eastAsiaTheme="majorEastAsia" w:hAnsiTheme="majorHAnsi" w:cstheme="majorBidi"/>
      <w:b/>
      <w:i/>
      <w:iCs/>
      <w:color w:val="000000" w:themeColor="text1"/>
      <w:kern w:val="2"/>
      <w:sz w:val="22"/>
      <w14:ligatures w14:val="standardContextual"/>
    </w:rPr>
  </w:style>
  <w:style w:type="paragraph" w:styleId="Caption">
    <w:name w:val="caption"/>
    <w:basedOn w:val="Normal"/>
    <w:next w:val="Normal"/>
    <w:uiPriority w:val="35"/>
    <w:unhideWhenUsed/>
    <w:qFormat/>
    <w:rsid w:val="004D3BA6"/>
    <w:pPr>
      <w:spacing w:after="200"/>
    </w:pPr>
    <w:rPr>
      <w:rFonts w:asciiTheme="minorHAnsi" w:hAnsiTheme="minorHAnsi"/>
      <w:i/>
      <w:iCs/>
      <w:color w:val="44546A" w:themeColor="text2"/>
      <w:sz w:val="18"/>
      <w:szCs w:val="18"/>
    </w:rPr>
  </w:style>
  <w:style w:type="table" w:styleId="TableGrid">
    <w:name w:val="Table Grid"/>
    <w:basedOn w:val="TableNormal"/>
    <w:uiPriority w:val="39"/>
    <w:rsid w:val="004D3BA6"/>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92642"/>
    <w:rPr>
      <w:color w:val="954F72" w:themeColor="followedHyperlink"/>
      <w:u w:val="single"/>
    </w:rPr>
  </w:style>
  <w:style w:type="paragraph" w:styleId="Header">
    <w:name w:val="header"/>
    <w:basedOn w:val="Normal"/>
    <w:link w:val="HeaderChar"/>
    <w:uiPriority w:val="99"/>
    <w:unhideWhenUsed/>
    <w:rsid w:val="006A1BE6"/>
    <w:pPr>
      <w:tabs>
        <w:tab w:val="center" w:pos="4419"/>
        <w:tab w:val="right" w:pos="8838"/>
      </w:tabs>
    </w:pPr>
  </w:style>
  <w:style w:type="character" w:customStyle="1" w:styleId="HeaderChar">
    <w:name w:val="Header Char"/>
    <w:basedOn w:val="DefaultParagraphFont"/>
    <w:link w:val="Header"/>
    <w:uiPriority w:val="99"/>
    <w:rsid w:val="006A1BE6"/>
    <w:rPr>
      <w:rFonts w:ascii="Garamond" w:hAnsi="Garamond"/>
      <w:kern w:val="2"/>
      <w:sz w:val="22"/>
      <w14:ligatures w14:val="standardContextual"/>
    </w:rPr>
  </w:style>
  <w:style w:type="paragraph" w:styleId="Footer">
    <w:name w:val="footer"/>
    <w:basedOn w:val="Normal"/>
    <w:link w:val="FooterChar"/>
    <w:uiPriority w:val="99"/>
    <w:unhideWhenUsed/>
    <w:rsid w:val="006A1BE6"/>
    <w:pPr>
      <w:tabs>
        <w:tab w:val="center" w:pos="4419"/>
        <w:tab w:val="right" w:pos="8838"/>
      </w:tabs>
    </w:pPr>
  </w:style>
  <w:style w:type="character" w:customStyle="1" w:styleId="FooterChar">
    <w:name w:val="Footer Char"/>
    <w:basedOn w:val="DefaultParagraphFont"/>
    <w:link w:val="Footer"/>
    <w:uiPriority w:val="99"/>
    <w:rsid w:val="006A1BE6"/>
    <w:rPr>
      <w:rFonts w:ascii="Garamond" w:hAnsi="Garamond"/>
      <w:kern w:val="2"/>
      <w:sz w:val="22"/>
      <w14:ligatures w14:val="standardContextual"/>
    </w:rPr>
  </w:style>
  <w:style w:type="character" w:styleId="UnresolvedMention">
    <w:name w:val="Unresolved Mention"/>
    <w:basedOn w:val="DefaultParagraphFont"/>
    <w:uiPriority w:val="99"/>
    <w:semiHidden/>
    <w:unhideWhenUsed/>
    <w:rsid w:val="00E141FA"/>
    <w:rPr>
      <w:color w:val="605E5C"/>
      <w:shd w:val="clear" w:color="auto" w:fill="E1DFDD"/>
    </w:rPr>
  </w:style>
  <w:style w:type="table" w:styleId="PlainTable2">
    <w:name w:val="Plain Table 2"/>
    <w:basedOn w:val="TableNormal"/>
    <w:uiPriority w:val="42"/>
    <w:rsid w:val="006F293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F293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F293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F293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6F293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F293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675B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E675B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675BC"/>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E675BC"/>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
    <w:name w:val="Grid Table 2"/>
    <w:basedOn w:val="TableNormal"/>
    <w:uiPriority w:val="47"/>
    <w:rsid w:val="00E675B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381A9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Accent3">
    <w:name w:val="List Table 1 Light Accent 3"/>
    <w:basedOn w:val="TableNormal"/>
    <w:uiPriority w:val="46"/>
    <w:rsid w:val="00381A9C"/>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Accent3">
    <w:name w:val="List Table 3 Accent 3"/>
    <w:basedOn w:val="TableNormal"/>
    <w:uiPriority w:val="48"/>
    <w:rsid w:val="00924B4B"/>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6Colorful-Accent3">
    <w:name w:val="List Table 6 Colorful Accent 3"/>
    <w:basedOn w:val="TableNormal"/>
    <w:uiPriority w:val="51"/>
    <w:rsid w:val="0064444C"/>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
    <w:name w:val="List Table 6 Colorful"/>
    <w:basedOn w:val="TableNormal"/>
    <w:uiPriority w:val="51"/>
    <w:rsid w:val="0064444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A50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499">
      <w:bodyDiv w:val="1"/>
      <w:marLeft w:val="0"/>
      <w:marRight w:val="0"/>
      <w:marTop w:val="0"/>
      <w:marBottom w:val="0"/>
      <w:divBdr>
        <w:top w:val="none" w:sz="0" w:space="0" w:color="auto"/>
        <w:left w:val="none" w:sz="0" w:space="0" w:color="auto"/>
        <w:bottom w:val="none" w:sz="0" w:space="0" w:color="auto"/>
        <w:right w:val="none" w:sz="0" w:space="0" w:color="auto"/>
      </w:divBdr>
    </w:div>
    <w:div w:id="10109444">
      <w:bodyDiv w:val="1"/>
      <w:marLeft w:val="0"/>
      <w:marRight w:val="0"/>
      <w:marTop w:val="0"/>
      <w:marBottom w:val="0"/>
      <w:divBdr>
        <w:top w:val="none" w:sz="0" w:space="0" w:color="auto"/>
        <w:left w:val="none" w:sz="0" w:space="0" w:color="auto"/>
        <w:bottom w:val="none" w:sz="0" w:space="0" w:color="auto"/>
        <w:right w:val="none" w:sz="0" w:space="0" w:color="auto"/>
      </w:divBdr>
    </w:div>
    <w:div w:id="81877004">
      <w:bodyDiv w:val="1"/>
      <w:marLeft w:val="0"/>
      <w:marRight w:val="0"/>
      <w:marTop w:val="0"/>
      <w:marBottom w:val="0"/>
      <w:divBdr>
        <w:top w:val="none" w:sz="0" w:space="0" w:color="auto"/>
        <w:left w:val="none" w:sz="0" w:space="0" w:color="auto"/>
        <w:bottom w:val="none" w:sz="0" w:space="0" w:color="auto"/>
        <w:right w:val="none" w:sz="0" w:space="0" w:color="auto"/>
      </w:divBdr>
    </w:div>
    <w:div w:id="82654287">
      <w:bodyDiv w:val="1"/>
      <w:marLeft w:val="0"/>
      <w:marRight w:val="0"/>
      <w:marTop w:val="0"/>
      <w:marBottom w:val="0"/>
      <w:divBdr>
        <w:top w:val="none" w:sz="0" w:space="0" w:color="auto"/>
        <w:left w:val="none" w:sz="0" w:space="0" w:color="auto"/>
        <w:bottom w:val="none" w:sz="0" w:space="0" w:color="auto"/>
        <w:right w:val="none" w:sz="0" w:space="0" w:color="auto"/>
      </w:divBdr>
    </w:div>
    <w:div w:id="148181488">
      <w:bodyDiv w:val="1"/>
      <w:marLeft w:val="0"/>
      <w:marRight w:val="0"/>
      <w:marTop w:val="0"/>
      <w:marBottom w:val="0"/>
      <w:divBdr>
        <w:top w:val="none" w:sz="0" w:space="0" w:color="auto"/>
        <w:left w:val="none" w:sz="0" w:space="0" w:color="auto"/>
        <w:bottom w:val="none" w:sz="0" w:space="0" w:color="auto"/>
        <w:right w:val="none" w:sz="0" w:space="0" w:color="auto"/>
      </w:divBdr>
    </w:div>
    <w:div w:id="201552144">
      <w:bodyDiv w:val="1"/>
      <w:marLeft w:val="0"/>
      <w:marRight w:val="0"/>
      <w:marTop w:val="0"/>
      <w:marBottom w:val="0"/>
      <w:divBdr>
        <w:top w:val="none" w:sz="0" w:space="0" w:color="auto"/>
        <w:left w:val="none" w:sz="0" w:space="0" w:color="auto"/>
        <w:bottom w:val="none" w:sz="0" w:space="0" w:color="auto"/>
        <w:right w:val="none" w:sz="0" w:space="0" w:color="auto"/>
      </w:divBdr>
    </w:div>
    <w:div w:id="364912709">
      <w:bodyDiv w:val="1"/>
      <w:marLeft w:val="0"/>
      <w:marRight w:val="0"/>
      <w:marTop w:val="0"/>
      <w:marBottom w:val="0"/>
      <w:divBdr>
        <w:top w:val="none" w:sz="0" w:space="0" w:color="auto"/>
        <w:left w:val="none" w:sz="0" w:space="0" w:color="auto"/>
        <w:bottom w:val="none" w:sz="0" w:space="0" w:color="auto"/>
        <w:right w:val="none" w:sz="0" w:space="0" w:color="auto"/>
      </w:divBdr>
    </w:div>
    <w:div w:id="412702435">
      <w:bodyDiv w:val="1"/>
      <w:marLeft w:val="0"/>
      <w:marRight w:val="0"/>
      <w:marTop w:val="0"/>
      <w:marBottom w:val="0"/>
      <w:divBdr>
        <w:top w:val="none" w:sz="0" w:space="0" w:color="auto"/>
        <w:left w:val="none" w:sz="0" w:space="0" w:color="auto"/>
        <w:bottom w:val="none" w:sz="0" w:space="0" w:color="auto"/>
        <w:right w:val="none" w:sz="0" w:space="0" w:color="auto"/>
      </w:divBdr>
    </w:div>
    <w:div w:id="429199966">
      <w:bodyDiv w:val="1"/>
      <w:marLeft w:val="0"/>
      <w:marRight w:val="0"/>
      <w:marTop w:val="0"/>
      <w:marBottom w:val="0"/>
      <w:divBdr>
        <w:top w:val="none" w:sz="0" w:space="0" w:color="auto"/>
        <w:left w:val="none" w:sz="0" w:space="0" w:color="auto"/>
        <w:bottom w:val="none" w:sz="0" w:space="0" w:color="auto"/>
        <w:right w:val="none" w:sz="0" w:space="0" w:color="auto"/>
      </w:divBdr>
    </w:div>
    <w:div w:id="666860305">
      <w:bodyDiv w:val="1"/>
      <w:marLeft w:val="0"/>
      <w:marRight w:val="0"/>
      <w:marTop w:val="0"/>
      <w:marBottom w:val="0"/>
      <w:divBdr>
        <w:top w:val="none" w:sz="0" w:space="0" w:color="auto"/>
        <w:left w:val="none" w:sz="0" w:space="0" w:color="auto"/>
        <w:bottom w:val="none" w:sz="0" w:space="0" w:color="auto"/>
        <w:right w:val="none" w:sz="0" w:space="0" w:color="auto"/>
      </w:divBdr>
    </w:div>
    <w:div w:id="691340561">
      <w:bodyDiv w:val="1"/>
      <w:marLeft w:val="0"/>
      <w:marRight w:val="0"/>
      <w:marTop w:val="0"/>
      <w:marBottom w:val="0"/>
      <w:divBdr>
        <w:top w:val="none" w:sz="0" w:space="0" w:color="auto"/>
        <w:left w:val="none" w:sz="0" w:space="0" w:color="auto"/>
        <w:bottom w:val="none" w:sz="0" w:space="0" w:color="auto"/>
        <w:right w:val="none" w:sz="0" w:space="0" w:color="auto"/>
      </w:divBdr>
    </w:div>
    <w:div w:id="724838937">
      <w:bodyDiv w:val="1"/>
      <w:marLeft w:val="0"/>
      <w:marRight w:val="0"/>
      <w:marTop w:val="0"/>
      <w:marBottom w:val="0"/>
      <w:divBdr>
        <w:top w:val="none" w:sz="0" w:space="0" w:color="auto"/>
        <w:left w:val="none" w:sz="0" w:space="0" w:color="auto"/>
        <w:bottom w:val="none" w:sz="0" w:space="0" w:color="auto"/>
        <w:right w:val="none" w:sz="0" w:space="0" w:color="auto"/>
      </w:divBdr>
    </w:div>
    <w:div w:id="822817213">
      <w:bodyDiv w:val="1"/>
      <w:marLeft w:val="0"/>
      <w:marRight w:val="0"/>
      <w:marTop w:val="0"/>
      <w:marBottom w:val="0"/>
      <w:divBdr>
        <w:top w:val="none" w:sz="0" w:space="0" w:color="auto"/>
        <w:left w:val="none" w:sz="0" w:space="0" w:color="auto"/>
        <w:bottom w:val="none" w:sz="0" w:space="0" w:color="auto"/>
        <w:right w:val="none" w:sz="0" w:space="0" w:color="auto"/>
      </w:divBdr>
    </w:div>
    <w:div w:id="907299131">
      <w:bodyDiv w:val="1"/>
      <w:marLeft w:val="0"/>
      <w:marRight w:val="0"/>
      <w:marTop w:val="0"/>
      <w:marBottom w:val="0"/>
      <w:divBdr>
        <w:top w:val="none" w:sz="0" w:space="0" w:color="auto"/>
        <w:left w:val="none" w:sz="0" w:space="0" w:color="auto"/>
        <w:bottom w:val="none" w:sz="0" w:space="0" w:color="auto"/>
        <w:right w:val="none" w:sz="0" w:space="0" w:color="auto"/>
      </w:divBdr>
    </w:div>
    <w:div w:id="957831360">
      <w:bodyDiv w:val="1"/>
      <w:marLeft w:val="0"/>
      <w:marRight w:val="0"/>
      <w:marTop w:val="0"/>
      <w:marBottom w:val="0"/>
      <w:divBdr>
        <w:top w:val="none" w:sz="0" w:space="0" w:color="auto"/>
        <w:left w:val="none" w:sz="0" w:space="0" w:color="auto"/>
        <w:bottom w:val="none" w:sz="0" w:space="0" w:color="auto"/>
        <w:right w:val="none" w:sz="0" w:space="0" w:color="auto"/>
      </w:divBdr>
    </w:div>
    <w:div w:id="990720115">
      <w:bodyDiv w:val="1"/>
      <w:marLeft w:val="0"/>
      <w:marRight w:val="0"/>
      <w:marTop w:val="0"/>
      <w:marBottom w:val="0"/>
      <w:divBdr>
        <w:top w:val="none" w:sz="0" w:space="0" w:color="auto"/>
        <w:left w:val="none" w:sz="0" w:space="0" w:color="auto"/>
        <w:bottom w:val="none" w:sz="0" w:space="0" w:color="auto"/>
        <w:right w:val="none" w:sz="0" w:space="0" w:color="auto"/>
      </w:divBdr>
    </w:div>
    <w:div w:id="1017925617">
      <w:bodyDiv w:val="1"/>
      <w:marLeft w:val="0"/>
      <w:marRight w:val="0"/>
      <w:marTop w:val="0"/>
      <w:marBottom w:val="0"/>
      <w:divBdr>
        <w:top w:val="none" w:sz="0" w:space="0" w:color="auto"/>
        <w:left w:val="none" w:sz="0" w:space="0" w:color="auto"/>
        <w:bottom w:val="none" w:sz="0" w:space="0" w:color="auto"/>
        <w:right w:val="none" w:sz="0" w:space="0" w:color="auto"/>
      </w:divBdr>
    </w:div>
    <w:div w:id="1046640262">
      <w:bodyDiv w:val="1"/>
      <w:marLeft w:val="0"/>
      <w:marRight w:val="0"/>
      <w:marTop w:val="0"/>
      <w:marBottom w:val="0"/>
      <w:divBdr>
        <w:top w:val="none" w:sz="0" w:space="0" w:color="auto"/>
        <w:left w:val="none" w:sz="0" w:space="0" w:color="auto"/>
        <w:bottom w:val="none" w:sz="0" w:space="0" w:color="auto"/>
        <w:right w:val="none" w:sz="0" w:space="0" w:color="auto"/>
      </w:divBdr>
    </w:div>
    <w:div w:id="1190143793">
      <w:bodyDiv w:val="1"/>
      <w:marLeft w:val="0"/>
      <w:marRight w:val="0"/>
      <w:marTop w:val="0"/>
      <w:marBottom w:val="0"/>
      <w:divBdr>
        <w:top w:val="none" w:sz="0" w:space="0" w:color="auto"/>
        <w:left w:val="none" w:sz="0" w:space="0" w:color="auto"/>
        <w:bottom w:val="none" w:sz="0" w:space="0" w:color="auto"/>
        <w:right w:val="none" w:sz="0" w:space="0" w:color="auto"/>
      </w:divBdr>
    </w:div>
    <w:div w:id="1203205181">
      <w:bodyDiv w:val="1"/>
      <w:marLeft w:val="0"/>
      <w:marRight w:val="0"/>
      <w:marTop w:val="0"/>
      <w:marBottom w:val="0"/>
      <w:divBdr>
        <w:top w:val="none" w:sz="0" w:space="0" w:color="auto"/>
        <w:left w:val="none" w:sz="0" w:space="0" w:color="auto"/>
        <w:bottom w:val="none" w:sz="0" w:space="0" w:color="auto"/>
        <w:right w:val="none" w:sz="0" w:space="0" w:color="auto"/>
      </w:divBdr>
    </w:div>
    <w:div w:id="1234438711">
      <w:bodyDiv w:val="1"/>
      <w:marLeft w:val="0"/>
      <w:marRight w:val="0"/>
      <w:marTop w:val="0"/>
      <w:marBottom w:val="0"/>
      <w:divBdr>
        <w:top w:val="none" w:sz="0" w:space="0" w:color="auto"/>
        <w:left w:val="none" w:sz="0" w:space="0" w:color="auto"/>
        <w:bottom w:val="none" w:sz="0" w:space="0" w:color="auto"/>
        <w:right w:val="none" w:sz="0" w:space="0" w:color="auto"/>
      </w:divBdr>
    </w:div>
    <w:div w:id="1255745024">
      <w:bodyDiv w:val="1"/>
      <w:marLeft w:val="0"/>
      <w:marRight w:val="0"/>
      <w:marTop w:val="0"/>
      <w:marBottom w:val="0"/>
      <w:divBdr>
        <w:top w:val="none" w:sz="0" w:space="0" w:color="auto"/>
        <w:left w:val="none" w:sz="0" w:space="0" w:color="auto"/>
        <w:bottom w:val="none" w:sz="0" w:space="0" w:color="auto"/>
        <w:right w:val="none" w:sz="0" w:space="0" w:color="auto"/>
      </w:divBdr>
    </w:div>
    <w:div w:id="1310668909">
      <w:bodyDiv w:val="1"/>
      <w:marLeft w:val="0"/>
      <w:marRight w:val="0"/>
      <w:marTop w:val="0"/>
      <w:marBottom w:val="0"/>
      <w:divBdr>
        <w:top w:val="none" w:sz="0" w:space="0" w:color="auto"/>
        <w:left w:val="none" w:sz="0" w:space="0" w:color="auto"/>
        <w:bottom w:val="none" w:sz="0" w:space="0" w:color="auto"/>
        <w:right w:val="none" w:sz="0" w:space="0" w:color="auto"/>
      </w:divBdr>
    </w:div>
    <w:div w:id="1347630436">
      <w:bodyDiv w:val="1"/>
      <w:marLeft w:val="0"/>
      <w:marRight w:val="0"/>
      <w:marTop w:val="0"/>
      <w:marBottom w:val="0"/>
      <w:divBdr>
        <w:top w:val="none" w:sz="0" w:space="0" w:color="auto"/>
        <w:left w:val="none" w:sz="0" w:space="0" w:color="auto"/>
        <w:bottom w:val="none" w:sz="0" w:space="0" w:color="auto"/>
        <w:right w:val="none" w:sz="0" w:space="0" w:color="auto"/>
      </w:divBdr>
    </w:div>
    <w:div w:id="1396515998">
      <w:bodyDiv w:val="1"/>
      <w:marLeft w:val="0"/>
      <w:marRight w:val="0"/>
      <w:marTop w:val="0"/>
      <w:marBottom w:val="0"/>
      <w:divBdr>
        <w:top w:val="none" w:sz="0" w:space="0" w:color="auto"/>
        <w:left w:val="none" w:sz="0" w:space="0" w:color="auto"/>
        <w:bottom w:val="none" w:sz="0" w:space="0" w:color="auto"/>
        <w:right w:val="none" w:sz="0" w:space="0" w:color="auto"/>
      </w:divBdr>
    </w:div>
    <w:div w:id="1438603088">
      <w:bodyDiv w:val="1"/>
      <w:marLeft w:val="0"/>
      <w:marRight w:val="0"/>
      <w:marTop w:val="0"/>
      <w:marBottom w:val="0"/>
      <w:divBdr>
        <w:top w:val="none" w:sz="0" w:space="0" w:color="auto"/>
        <w:left w:val="none" w:sz="0" w:space="0" w:color="auto"/>
        <w:bottom w:val="none" w:sz="0" w:space="0" w:color="auto"/>
        <w:right w:val="none" w:sz="0" w:space="0" w:color="auto"/>
      </w:divBdr>
    </w:div>
    <w:div w:id="1446582586">
      <w:bodyDiv w:val="1"/>
      <w:marLeft w:val="0"/>
      <w:marRight w:val="0"/>
      <w:marTop w:val="0"/>
      <w:marBottom w:val="0"/>
      <w:divBdr>
        <w:top w:val="none" w:sz="0" w:space="0" w:color="auto"/>
        <w:left w:val="none" w:sz="0" w:space="0" w:color="auto"/>
        <w:bottom w:val="none" w:sz="0" w:space="0" w:color="auto"/>
        <w:right w:val="none" w:sz="0" w:space="0" w:color="auto"/>
      </w:divBdr>
    </w:div>
    <w:div w:id="1478761220">
      <w:bodyDiv w:val="1"/>
      <w:marLeft w:val="0"/>
      <w:marRight w:val="0"/>
      <w:marTop w:val="0"/>
      <w:marBottom w:val="0"/>
      <w:divBdr>
        <w:top w:val="none" w:sz="0" w:space="0" w:color="auto"/>
        <w:left w:val="none" w:sz="0" w:space="0" w:color="auto"/>
        <w:bottom w:val="none" w:sz="0" w:space="0" w:color="auto"/>
        <w:right w:val="none" w:sz="0" w:space="0" w:color="auto"/>
      </w:divBdr>
    </w:div>
    <w:div w:id="1484195277">
      <w:bodyDiv w:val="1"/>
      <w:marLeft w:val="0"/>
      <w:marRight w:val="0"/>
      <w:marTop w:val="0"/>
      <w:marBottom w:val="0"/>
      <w:divBdr>
        <w:top w:val="none" w:sz="0" w:space="0" w:color="auto"/>
        <w:left w:val="none" w:sz="0" w:space="0" w:color="auto"/>
        <w:bottom w:val="none" w:sz="0" w:space="0" w:color="auto"/>
        <w:right w:val="none" w:sz="0" w:space="0" w:color="auto"/>
      </w:divBdr>
    </w:div>
    <w:div w:id="1585340934">
      <w:bodyDiv w:val="1"/>
      <w:marLeft w:val="0"/>
      <w:marRight w:val="0"/>
      <w:marTop w:val="0"/>
      <w:marBottom w:val="0"/>
      <w:divBdr>
        <w:top w:val="none" w:sz="0" w:space="0" w:color="auto"/>
        <w:left w:val="none" w:sz="0" w:space="0" w:color="auto"/>
        <w:bottom w:val="none" w:sz="0" w:space="0" w:color="auto"/>
        <w:right w:val="none" w:sz="0" w:space="0" w:color="auto"/>
      </w:divBdr>
    </w:div>
    <w:div w:id="1647516062">
      <w:bodyDiv w:val="1"/>
      <w:marLeft w:val="0"/>
      <w:marRight w:val="0"/>
      <w:marTop w:val="0"/>
      <w:marBottom w:val="0"/>
      <w:divBdr>
        <w:top w:val="none" w:sz="0" w:space="0" w:color="auto"/>
        <w:left w:val="none" w:sz="0" w:space="0" w:color="auto"/>
        <w:bottom w:val="none" w:sz="0" w:space="0" w:color="auto"/>
        <w:right w:val="none" w:sz="0" w:space="0" w:color="auto"/>
      </w:divBdr>
    </w:div>
    <w:div w:id="1735077864">
      <w:bodyDiv w:val="1"/>
      <w:marLeft w:val="0"/>
      <w:marRight w:val="0"/>
      <w:marTop w:val="0"/>
      <w:marBottom w:val="0"/>
      <w:divBdr>
        <w:top w:val="none" w:sz="0" w:space="0" w:color="auto"/>
        <w:left w:val="none" w:sz="0" w:space="0" w:color="auto"/>
        <w:bottom w:val="none" w:sz="0" w:space="0" w:color="auto"/>
        <w:right w:val="none" w:sz="0" w:space="0" w:color="auto"/>
      </w:divBdr>
    </w:div>
    <w:div w:id="1886524329">
      <w:bodyDiv w:val="1"/>
      <w:marLeft w:val="0"/>
      <w:marRight w:val="0"/>
      <w:marTop w:val="0"/>
      <w:marBottom w:val="0"/>
      <w:divBdr>
        <w:top w:val="none" w:sz="0" w:space="0" w:color="auto"/>
        <w:left w:val="none" w:sz="0" w:space="0" w:color="auto"/>
        <w:bottom w:val="none" w:sz="0" w:space="0" w:color="auto"/>
        <w:right w:val="none" w:sz="0" w:space="0" w:color="auto"/>
      </w:divBdr>
    </w:div>
    <w:div w:id="1892570242">
      <w:bodyDiv w:val="1"/>
      <w:marLeft w:val="0"/>
      <w:marRight w:val="0"/>
      <w:marTop w:val="0"/>
      <w:marBottom w:val="0"/>
      <w:divBdr>
        <w:top w:val="none" w:sz="0" w:space="0" w:color="auto"/>
        <w:left w:val="none" w:sz="0" w:space="0" w:color="auto"/>
        <w:bottom w:val="none" w:sz="0" w:space="0" w:color="auto"/>
        <w:right w:val="none" w:sz="0" w:space="0" w:color="auto"/>
      </w:divBdr>
      <w:divsChild>
        <w:div w:id="1921526293">
          <w:marLeft w:val="0"/>
          <w:marRight w:val="0"/>
          <w:marTop w:val="0"/>
          <w:marBottom w:val="0"/>
          <w:divBdr>
            <w:top w:val="none" w:sz="0" w:space="0" w:color="auto"/>
            <w:left w:val="none" w:sz="0" w:space="0" w:color="auto"/>
            <w:bottom w:val="none" w:sz="0" w:space="0" w:color="auto"/>
            <w:right w:val="none" w:sz="0" w:space="0" w:color="auto"/>
          </w:divBdr>
          <w:divsChild>
            <w:div w:id="459497973">
              <w:marLeft w:val="0"/>
              <w:marRight w:val="0"/>
              <w:marTop w:val="0"/>
              <w:marBottom w:val="0"/>
              <w:divBdr>
                <w:top w:val="none" w:sz="0" w:space="0" w:color="auto"/>
                <w:left w:val="none" w:sz="0" w:space="0" w:color="auto"/>
                <w:bottom w:val="none" w:sz="0" w:space="0" w:color="auto"/>
                <w:right w:val="none" w:sz="0" w:space="0" w:color="auto"/>
              </w:divBdr>
              <w:divsChild>
                <w:div w:id="1111515647">
                  <w:marLeft w:val="0"/>
                  <w:marRight w:val="0"/>
                  <w:marTop w:val="0"/>
                  <w:marBottom w:val="0"/>
                  <w:divBdr>
                    <w:top w:val="none" w:sz="0" w:space="0" w:color="auto"/>
                    <w:left w:val="none" w:sz="0" w:space="0" w:color="auto"/>
                    <w:bottom w:val="none" w:sz="0" w:space="0" w:color="auto"/>
                    <w:right w:val="none" w:sz="0" w:space="0" w:color="auto"/>
                  </w:divBdr>
                </w:div>
              </w:divsChild>
            </w:div>
            <w:div w:id="1042554974">
              <w:marLeft w:val="0"/>
              <w:marRight w:val="0"/>
              <w:marTop w:val="0"/>
              <w:marBottom w:val="0"/>
              <w:divBdr>
                <w:top w:val="none" w:sz="0" w:space="0" w:color="auto"/>
                <w:left w:val="none" w:sz="0" w:space="0" w:color="auto"/>
                <w:bottom w:val="none" w:sz="0" w:space="0" w:color="auto"/>
                <w:right w:val="none" w:sz="0" w:space="0" w:color="auto"/>
              </w:divBdr>
              <w:divsChild>
                <w:div w:id="1977099702">
                  <w:marLeft w:val="0"/>
                  <w:marRight w:val="0"/>
                  <w:marTop w:val="0"/>
                  <w:marBottom w:val="0"/>
                  <w:divBdr>
                    <w:top w:val="none" w:sz="0" w:space="0" w:color="auto"/>
                    <w:left w:val="none" w:sz="0" w:space="0" w:color="auto"/>
                    <w:bottom w:val="none" w:sz="0" w:space="0" w:color="auto"/>
                    <w:right w:val="none" w:sz="0" w:space="0" w:color="auto"/>
                  </w:divBdr>
                </w:div>
              </w:divsChild>
            </w:div>
            <w:div w:id="1097286547">
              <w:marLeft w:val="0"/>
              <w:marRight w:val="0"/>
              <w:marTop w:val="0"/>
              <w:marBottom w:val="0"/>
              <w:divBdr>
                <w:top w:val="none" w:sz="0" w:space="0" w:color="auto"/>
                <w:left w:val="none" w:sz="0" w:space="0" w:color="auto"/>
                <w:bottom w:val="none" w:sz="0" w:space="0" w:color="auto"/>
                <w:right w:val="none" w:sz="0" w:space="0" w:color="auto"/>
              </w:divBdr>
              <w:divsChild>
                <w:div w:id="493883375">
                  <w:marLeft w:val="0"/>
                  <w:marRight w:val="0"/>
                  <w:marTop w:val="0"/>
                  <w:marBottom w:val="0"/>
                  <w:divBdr>
                    <w:top w:val="none" w:sz="0" w:space="0" w:color="auto"/>
                    <w:left w:val="none" w:sz="0" w:space="0" w:color="auto"/>
                    <w:bottom w:val="none" w:sz="0" w:space="0" w:color="auto"/>
                    <w:right w:val="none" w:sz="0" w:space="0" w:color="auto"/>
                  </w:divBdr>
                </w:div>
                <w:div w:id="10541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398857">
      <w:bodyDiv w:val="1"/>
      <w:marLeft w:val="0"/>
      <w:marRight w:val="0"/>
      <w:marTop w:val="0"/>
      <w:marBottom w:val="0"/>
      <w:divBdr>
        <w:top w:val="none" w:sz="0" w:space="0" w:color="auto"/>
        <w:left w:val="none" w:sz="0" w:space="0" w:color="auto"/>
        <w:bottom w:val="none" w:sz="0" w:space="0" w:color="auto"/>
        <w:right w:val="none" w:sz="0" w:space="0" w:color="auto"/>
      </w:divBdr>
    </w:div>
    <w:div w:id="2017341210">
      <w:bodyDiv w:val="1"/>
      <w:marLeft w:val="0"/>
      <w:marRight w:val="0"/>
      <w:marTop w:val="0"/>
      <w:marBottom w:val="0"/>
      <w:divBdr>
        <w:top w:val="none" w:sz="0" w:space="0" w:color="auto"/>
        <w:left w:val="none" w:sz="0" w:space="0" w:color="auto"/>
        <w:bottom w:val="none" w:sz="0" w:space="0" w:color="auto"/>
        <w:right w:val="none" w:sz="0" w:space="0" w:color="auto"/>
      </w:divBdr>
    </w:div>
    <w:div w:id="2022706457">
      <w:bodyDiv w:val="1"/>
      <w:marLeft w:val="0"/>
      <w:marRight w:val="0"/>
      <w:marTop w:val="0"/>
      <w:marBottom w:val="0"/>
      <w:divBdr>
        <w:top w:val="none" w:sz="0" w:space="0" w:color="auto"/>
        <w:left w:val="none" w:sz="0" w:space="0" w:color="auto"/>
        <w:bottom w:val="none" w:sz="0" w:space="0" w:color="auto"/>
        <w:right w:val="none" w:sz="0" w:space="0" w:color="auto"/>
      </w:divBdr>
    </w:div>
    <w:div w:id="213628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hart" Target="charts/chart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totoro.banrep.gov.co/analytics/saw.dll?Go" TargetMode="External"/><Relationship Id="rId2" Type="http://schemas.openxmlformats.org/officeDocument/2006/relationships/hyperlink" Target="https://www.banrep.gov.co/sites/default/files/nota_de_prensa_inversion_directa.pdf" TargetMode="External"/><Relationship Id="rId1" Type="http://schemas.openxmlformats.org/officeDocument/2006/relationships/hyperlink" Target="https://www.un.org/esa/ffd/wp-content/uploads/2014/08/UN_Handbook_DTT_Admin.pdf" TargetMode="External"/><Relationship Id="rId5" Type="http://schemas.openxmlformats.org/officeDocument/2006/relationships/hyperlink" Target="https://www.andi.com.co/Uploads/ESTUDIO%20DE%20IMPACTO%20JUR&#205;DICO%20ECON&#211;MICO%20Y%20FISCAL%20DE%20LAS%20ZONAS%20FRANCAS%20-%20Consorcio%20Ara&#250;jo%20Ibarra%20Ibarra%20Abogados%20HJ%20G&#243;mez.pdf" TargetMode="External"/><Relationship Id="rId4" Type="http://schemas.openxmlformats.org/officeDocument/2006/relationships/hyperlink" Target="https://www.oas.org/csh/spanish/documentos/colombia.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uniandes-my.sharepoint.com/personal/l_fillippo_uniandes_edu_co/Documents/Tesis/Documentos%20compartidos/Bases_de_datos/Fuentes%20de%20datos/ADT%20en%20el%20mundo%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uniandes-my.sharepoint.com/personal/l_fillippo_uniandes_edu_co/Documents/Tesis/Documentos%20compartidos/Bases_de_datos/Fuentes%20de%20datos/ADT%20en%20el%20mundo%2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Garamond" panose="02020404030301010803" pitchFamily="18" charset="0"/>
                <a:ea typeface="+mn-ea"/>
                <a:cs typeface="+mn-cs"/>
              </a:defRPr>
            </a:pPr>
            <a:r>
              <a:rPr lang="es-MX" sz="1100"/>
              <a:t>Número de acuerdos de doble tributación 1951 - 2023 </a:t>
            </a:r>
            <a:br>
              <a:rPr lang="es-MX" sz="1100"/>
            </a:br>
            <a:r>
              <a:rPr lang="es-MX" sz="1100" b="1"/>
              <a:t>(Evaluados en periodos decenales)</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Garamond" panose="02020404030301010803" pitchFamily="18" charset="0"/>
              <a:ea typeface="+mn-ea"/>
              <a:cs typeface="+mn-cs"/>
            </a:defRPr>
          </a:pPr>
          <a:endParaRPr lang="en-CO"/>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Garamond" panose="02020404030301010803" pitchFamily="18" charset="0"/>
                    <a:ea typeface="+mn-ea"/>
                    <a:cs typeface="+mn-cs"/>
                  </a:defRPr>
                </a:pPr>
                <a:endParaRPr lang="en-CO"/>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Hoja1!$C$17:$J$17</c:f>
              <c:numCache>
                <c:formatCode>General</c:formatCode>
                <c:ptCount val="8"/>
                <c:pt idx="0">
                  <c:v>1951</c:v>
                </c:pt>
                <c:pt idx="1">
                  <c:v>1961</c:v>
                </c:pt>
                <c:pt idx="2">
                  <c:v>1971</c:v>
                </c:pt>
                <c:pt idx="3">
                  <c:v>1981</c:v>
                </c:pt>
                <c:pt idx="4">
                  <c:v>1991</c:v>
                </c:pt>
                <c:pt idx="5">
                  <c:v>2001</c:v>
                </c:pt>
                <c:pt idx="6">
                  <c:v>2011</c:v>
                </c:pt>
                <c:pt idx="7">
                  <c:v>2021</c:v>
                </c:pt>
              </c:numCache>
            </c:numRef>
          </c:cat>
          <c:val>
            <c:numRef>
              <c:f>Hoja1!$C$18:$J$18</c:f>
              <c:numCache>
                <c:formatCode>General</c:formatCode>
                <c:ptCount val="8"/>
                <c:pt idx="0">
                  <c:v>1</c:v>
                </c:pt>
                <c:pt idx="1">
                  <c:v>7</c:v>
                </c:pt>
                <c:pt idx="2">
                  <c:v>35</c:v>
                </c:pt>
                <c:pt idx="3">
                  <c:v>135</c:v>
                </c:pt>
                <c:pt idx="4">
                  <c:v>319</c:v>
                </c:pt>
                <c:pt idx="5">
                  <c:v>850</c:v>
                </c:pt>
                <c:pt idx="6">
                  <c:v>1357</c:v>
                </c:pt>
                <c:pt idx="7">
                  <c:v>1897</c:v>
                </c:pt>
              </c:numCache>
            </c:numRef>
          </c:val>
          <c:extLst>
            <c:ext xmlns:c16="http://schemas.microsoft.com/office/drawing/2014/chart" uri="{C3380CC4-5D6E-409C-BE32-E72D297353CC}">
              <c16:uniqueId val="{00000000-CCF9-174D-9F60-02AADF897473}"/>
            </c:ext>
          </c:extLst>
        </c:ser>
        <c:dLbls>
          <c:dLblPos val="outEnd"/>
          <c:showLegendKey val="0"/>
          <c:showVal val="1"/>
          <c:showCatName val="0"/>
          <c:showSerName val="0"/>
          <c:showPercent val="0"/>
          <c:showBubbleSize val="0"/>
        </c:dLbls>
        <c:gapWidth val="219"/>
        <c:overlap val="-27"/>
        <c:axId val="1399469232"/>
        <c:axId val="879835328"/>
      </c:barChart>
      <c:catAx>
        <c:axId val="1399469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CO"/>
          </a:p>
        </c:txPr>
        <c:crossAx val="879835328"/>
        <c:crosses val="autoZero"/>
        <c:auto val="1"/>
        <c:lblAlgn val="ctr"/>
        <c:lblOffset val="100"/>
        <c:noMultiLvlLbl val="0"/>
      </c:catAx>
      <c:valAx>
        <c:axId val="879835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CO"/>
          </a:p>
        </c:txPr>
        <c:crossAx val="13994692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Garamond" panose="02020404030301010803" pitchFamily="18" charset="0"/>
                <a:ea typeface="+mn-ea"/>
                <a:cs typeface="+mn-cs"/>
              </a:defRPr>
            </a:pPr>
            <a:r>
              <a:rPr lang="es-MX" sz="1100"/>
              <a:t>Número de acuerdos de doble tributación </a:t>
            </a:r>
          </a:p>
          <a:p>
            <a:pPr>
              <a:defRPr sz="1100"/>
            </a:pPr>
            <a:r>
              <a:rPr lang="es-MX" sz="1100" b="1"/>
              <a:t>suscritos año a año (1951 - 2023)</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Garamond" panose="02020404030301010803" pitchFamily="18" charset="0"/>
              <a:ea typeface="+mn-ea"/>
              <a:cs typeface="+mn-cs"/>
            </a:defRPr>
          </a:pPr>
          <a:endParaRPr lang="en-CO"/>
        </a:p>
      </c:txPr>
    </c:title>
    <c:autoTitleDeleted val="0"/>
    <c:plotArea>
      <c:layout/>
      <c:barChart>
        <c:barDir val="col"/>
        <c:grouping val="clustered"/>
        <c:varyColors val="0"/>
        <c:ser>
          <c:idx val="0"/>
          <c:order val="0"/>
          <c:spPr>
            <a:solidFill>
              <a:schemeClr val="accent1"/>
            </a:solidFill>
            <a:ln>
              <a:noFill/>
            </a:ln>
            <a:effectLst/>
          </c:spPr>
          <c:invertIfNegative val="0"/>
          <c:cat>
            <c:numRef>
              <c:f>Hoja1!$C$11:$BM$11</c:f>
              <c:numCache>
                <c:formatCode>General</c:formatCode>
                <c:ptCount val="63"/>
                <c:pt idx="0">
                  <c:v>1951</c:v>
                </c:pt>
                <c:pt idx="1">
                  <c:v>1955</c:v>
                </c:pt>
                <c:pt idx="2">
                  <c:v>1956</c:v>
                </c:pt>
                <c:pt idx="3">
                  <c:v>1957</c:v>
                </c:pt>
                <c:pt idx="4">
                  <c:v>1960</c:v>
                </c:pt>
                <c:pt idx="5">
                  <c:v>1961</c:v>
                </c:pt>
                <c:pt idx="6">
                  <c:v>1962</c:v>
                </c:pt>
                <c:pt idx="7">
                  <c:v>1963</c:v>
                </c:pt>
                <c:pt idx="8">
                  <c:v>1964</c:v>
                </c:pt>
                <c:pt idx="9">
                  <c:v>1965</c:v>
                </c:pt>
                <c:pt idx="10">
                  <c:v>1967</c:v>
                </c:pt>
                <c:pt idx="11">
                  <c:v>1968</c:v>
                </c:pt>
                <c:pt idx="12">
                  <c:v>1969</c:v>
                </c:pt>
                <c:pt idx="13">
                  <c:v>1970</c:v>
                </c:pt>
                <c:pt idx="14">
                  <c:v>1971</c:v>
                </c:pt>
                <c:pt idx="15">
                  <c:v>1972</c:v>
                </c:pt>
                <c:pt idx="16">
                  <c:v>1973</c:v>
                </c:pt>
                <c:pt idx="17">
                  <c:v>1974</c:v>
                </c:pt>
                <c:pt idx="18">
                  <c:v>1975</c:v>
                </c:pt>
                <c:pt idx="19">
                  <c:v>1976</c:v>
                </c:pt>
                <c:pt idx="20">
                  <c:v>1977</c:v>
                </c:pt>
                <c:pt idx="21">
                  <c:v>1978</c:v>
                </c:pt>
                <c:pt idx="22">
                  <c:v>1979</c:v>
                </c:pt>
                <c:pt idx="23">
                  <c:v>1980</c:v>
                </c:pt>
                <c:pt idx="24">
                  <c:v>1981</c:v>
                </c:pt>
                <c:pt idx="25">
                  <c:v>1982</c:v>
                </c:pt>
                <c:pt idx="26">
                  <c:v>1983</c:v>
                </c:pt>
                <c:pt idx="27">
                  <c:v>1984</c:v>
                </c:pt>
                <c:pt idx="28">
                  <c:v>1985</c:v>
                </c:pt>
                <c:pt idx="29">
                  <c:v>1986</c:v>
                </c:pt>
                <c:pt idx="30">
                  <c:v>1987</c:v>
                </c:pt>
                <c:pt idx="31">
                  <c:v>1988</c:v>
                </c:pt>
                <c:pt idx="32">
                  <c:v>1989</c:v>
                </c:pt>
                <c:pt idx="33">
                  <c:v>1990</c:v>
                </c:pt>
                <c:pt idx="34">
                  <c:v>1991</c:v>
                </c:pt>
                <c:pt idx="35">
                  <c:v>1992</c:v>
                </c:pt>
                <c:pt idx="36">
                  <c:v>1993</c:v>
                </c:pt>
                <c:pt idx="37">
                  <c:v>1994</c:v>
                </c:pt>
                <c:pt idx="38">
                  <c:v>1995</c:v>
                </c:pt>
                <c:pt idx="39">
                  <c:v>1996</c:v>
                </c:pt>
                <c:pt idx="40">
                  <c:v>1997</c:v>
                </c:pt>
                <c:pt idx="41">
                  <c:v>1998</c:v>
                </c:pt>
                <c:pt idx="42">
                  <c:v>1999</c:v>
                </c:pt>
                <c:pt idx="43">
                  <c:v>2000</c:v>
                </c:pt>
                <c:pt idx="44">
                  <c:v>2001</c:v>
                </c:pt>
                <c:pt idx="45">
                  <c:v>2002</c:v>
                </c:pt>
                <c:pt idx="46">
                  <c:v>2003</c:v>
                </c:pt>
                <c:pt idx="47">
                  <c:v>2004</c:v>
                </c:pt>
                <c:pt idx="48">
                  <c:v>2005</c:v>
                </c:pt>
                <c:pt idx="49">
                  <c:v>2006</c:v>
                </c:pt>
                <c:pt idx="50">
                  <c:v>2007</c:v>
                </c:pt>
                <c:pt idx="51">
                  <c:v>2008</c:v>
                </c:pt>
                <c:pt idx="52">
                  <c:v>2009</c:v>
                </c:pt>
                <c:pt idx="53">
                  <c:v>2010</c:v>
                </c:pt>
                <c:pt idx="54">
                  <c:v>2011</c:v>
                </c:pt>
                <c:pt idx="55">
                  <c:v>2012</c:v>
                </c:pt>
                <c:pt idx="56">
                  <c:v>2013</c:v>
                </c:pt>
                <c:pt idx="57">
                  <c:v>2014</c:v>
                </c:pt>
                <c:pt idx="58">
                  <c:v>2015</c:v>
                </c:pt>
                <c:pt idx="59">
                  <c:v>2016</c:v>
                </c:pt>
                <c:pt idx="60">
                  <c:v>2017</c:v>
                </c:pt>
                <c:pt idx="61">
                  <c:v>2018</c:v>
                </c:pt>
                <c:pt idx="62">
                  <c:v>2019</c:v>
                </c:pt>
              </c:numCache>
            </c:numRef>
          </c:cat>
          <c:val>
            <c:numRef>
              <c:f>Hoja1!$C$12:$BM$12</c:f>
              <c:numCache>
                <c:formatCode>General</c:formatCode>
                <c:ptCount val="63"/>
                <c:pt idx="0">
                  <c:v>1</c:v>
                </c:pt>
                <c:pt idx="1">
                  <c:v>1</c:v>
                </c:pt>
                <c:pt idx="2">
                  <c:v>1</c:v>
                </c:pt>
                <c:pt idx="3">
                  <c:v>1</c:v>
                </c:pt>
                <c:pt idx="4">
                  <c:v>2</c:v>
                </c:pt>
                <c:pt idx="5">
                  <c:v>1</c:v>
                </c:pt>
                <c:pt idx="6">
                  <c:v>3</c:v>
                </c:pt>
                <c:pt idx="7">
                  <c:v>3</c:v>
                </c:pt>
                <c:pt idx="8">
                  <c:v>1</c:v>
                </c:pt>
                <c:pt idx="9">
                  <c:v>1</c:v>
                </c:pt>
                <c:pt idx="10">
                  <c:v>2</c:v>
                </c:pt>
                <c:pt idx="11">
                  <c:v>7</c:v>
                </c:pt>
                <c:pt idx="12">
                  <c:v>3</c:v>
                </c:pt>
                <c:pt idx="13">
                  <c:v>3</c:v>
                </c:pt>
                <c:pt idx="14">
                  <c:v>5</c:v>
                </c:pt>
                <c:pt idx="15">
                  <c:v>7</c:v>
                </c:pt>
                <c:pt idx="16">
                  <c:v>18</c:v>
                </c:pt>
                <c:pt idx="17">
                  <c:v>7</c:v>
                </c:pt>
                <c:pt idx="18">
                  <c:v>6</c:v>
                </c:pt>
                <c:pt idx="19">
                  <c:v>10</c:v>
                </c:pt>
                <c:pt idx="20">
                  <c:v>6</c:v>
                </c:pt>
                <c:pt idx="21">
                  <c:v>12</c:v>
                </c:pt>
                <c:pt idx="22">
                  <c:v>12</c:v>
                </c:pt>
                <c:pt idx="23">
                  <c:v>9</c:v>
                </c:pt>
                <c:pt idx="24">
                  <c:v>13</c:v>
                </c:pt>
                <c:pt idx="25">
                  <c:v>20</c:v>
                </c:pt>
                <c:pt idx="26">
                  <c:v>13</c:v>
                </c:pt>
                <c:pt idx="27">
                  <c:v>12</c:v>
                </c:pt>
                <c:pt idx="28">
                  <c:v>24</c:v>
                </c:pt>
                <c:pt idx="29">
                  <c:v>22</c:v>
                </c:pt>
                <c:pt idx="30">
                  <c:v>23</c:v>
                </c:pt>
                <c:pt idx="31">
                  <c:v>13</c:v>
                </c:pt>
                <c:pt idx="32">
                  <c:v>23</c:v>
                </c:pt>
                <c:pt idx="33">
                  <c:v>17</c:v>
                </c:pt>
                <c:pt idx="34">
                  <c:v>17</c:v>
                </c:pt>
                <c:pt idx="35">
                  <c:v>20</c:v>
                </c:pt>
                <c:pt idx="36">
                  <c:v>28</c:v>
                </c:pt>
                <c:pt idx="37">
                  <c:v>45</c:v>
                </c:pt>
                <c:pt idx="38">
                  <c:v>60</c:v>
                </c:pt>
                <c:pt idx="39">
                  <c:v>76</c:v>
                </c:pt>
                <c:pt idx="40">
                  <c:v>74</c:v>
                </c:pt>
                <c:pt idx="41">
                  <c:v>68</c:v>
                </c:pt>
                <c:pt idx="42">
                  <c:v>55</c:v>
                </c:pt>
                <c:pt idx="43">
                  <c:v>50</c:v>
                </c:pt>
                <c:pt idx="44">
                  <c:v>55</c:v>
                </c:pt>
                <c:pt idx="45">
                  <c:v>63</c:v>
                </c:pt>
                <c:pt idx="46">
                  <c:v>51</c:v>
                </c:pt>
                <c:pt idx="47">
                  <c:v>55</c:v>
                </c:pt>
                <c:pt idx="48">
                  <c:v>42</c:v>
                </c:pt>
                <c:pt idx="49">
                  <c:v>54</c:v>
                </c:pt>
                <c:pt idx="50">
                  <c:v>41</c:v>
                </c:pt>
                <c:pt idx="51">
                  <c:v>52</c:v>
                </c:pt>
                <c:pt idx="52">
                  <c:v>49</c:v>
                </c:pt>
                <c:pt idx="53">
                  <c:v>54</c:v>
                </c:pt>
                <c:pt idx="54">
                  <c:v>46</c:v>
                </c:pt>
                <c:pt idx="55">
                  <c:v>44</c:v>
                </c:pt>
                <c:pt idx="56">
                  <c:v>54</c:v>
                </c:pt>
                <c:pt idx="57">
                  <c:v>48</c:v>
                </c:pt>
                <c:pt idx="58">
                  <c:v>52</c:v>
                </c:pt>
                <c:pt idx="59">
                  <c:v>43</c:v>
                </c:pt>
                <c:pt idx="60">
                  <c:v>164</c:v>
                </c:pt>
                <c:pt idx="61">
                  <c:v>67</c:v>
                </c:pt>
                <c:pt idx="62">
                  <c:v>68</c:v>
                </c:pt>
              </c:numCache>
            </c:numRef>
          </c:val>
          <c:extLst>
            <c:ext xmlns:c16="http://schemas.microsoft.com/office/drawing/2014/chart" uri="{C3380CC4-5D6E-409C-BE32-E72D297353CC}">
              <c16:uniqueId val="{00000000-F22B-FA44-B192-8A4488ED0491}"/>
            </c:ext>
          </c:extLst>
        </c:ser>
        <c:dLbls>
          <c:showLegendKey val="0"/>
          <c:showVal val="0"/>
          <c:showCatName val="0"/>
          <c:showSerName val="0"/>
          <c:showPercent val="0"/>
          <c:showBubbleSize val="0"/>
        </c:dLbls>
        <c:gapWidth val="219"/>
        <c:overlap val="-27"/>
        <c:axId val="318994944"/>
        <c:axId val="318996672"/>
      </c:barChart>
      <c:catAx>
        <c:axId val="318994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CO"/>
          </a:p>
        </c:txPr>
        <c:crossAx val="318996672"/>
        <c:crosses val="autoZero"/>
        <c:auto val="1"/>
        <c:lblAlgn val="ctr"/>
        <c:lblOffset val="100"/>
        <c:noMultiLvlLbl val="0"/>
      </c:catAx>
      <c:valAx>
        <c:axId val="318996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CO"/>
          </a:p>
        </c:txPr>
        <c:crossAx val="3189949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CO"/>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DE948412F87041BB34D2118330D175" ma:contentTypeVersion="4" ma:contentTypeDescription="Create a new document." ma:contentTypeScope="" ma:versionID="48422cd9fce536783c854e21a7f49c27">
  <xsd:schema xmlns:xsd="http://www.w3.org/2001/XMLSchema" xmlns:xs="http://www.w3.org/2001/XMLSchema" xmlns:p="http://schemas.microsoft.com/office/2006/metadata/properties" xmlns:ns2="285e2e81-3562-4a37-aee6-c402a8aa854d" xmlns:ns3="d272827b-eeea-4c08-bc91-57f74128a8f7" targetNamespace="http://schemas.microsoft.com/office/2006/metadata/properties" ma:root="true" ma:fieldsID="3eb3a28b09da9f2fe9d200bc8d8ba638" ns2:_="" ns3:_="">
    <xsd:import namespace="285e2e81-3562-4a37-aee6-c402a8aa854d"/>
    <xsd:import namespace="d272827b-eeea-4c08-bc91-57f74128a8f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5e2e81-3562-4a37-aee6-c402a8aa854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72827b-eeea-4c08-bc91-57f74128a8f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Lee21</b:Tag>
    <b:SourceType>JournalArticle</b:SourceType>
    <b:Guid>{4B0E860F-77F3-2F40-8CC4-7EF5361C07EA}</b:Guid>
    <b:Author>
      <b:Author>
        <b:NameList>
          <b:Person>
            <b:Last>Lee</b:Last>
            <b:First>Siwook</b:First>
          </b:Person>
          <b:Person>
            <b:Last>Kim</b:Last>
            <b:First>Daeyong</b:First>
          </b:Person>
        </b:NameList>
      </b:Author>
    </b:Author>
    <b:Title>The Impact of Tax Treaties on Foreign Direct Investment: the Evidence Reconsidered</b:Title>
    <b:JournalName>SSRN</b:JournalName>
    <b:Year>2021</b:Year>
    <b:RefOrder>2</b:RefOrder>
  </b:Source>
  <b:Source>
    <b:Tag>Fab10</b:Tag>
    <b:SourceType>JournalArticle</b:SourceType>
    <b:Guid>{D9E13C6A-831C-BD43-A95C-740666DBE8E0}</b:Guid>
    <b:Author>
      <b:Author>
        <b:NameList>
          <b:Person>
            <b:Last>Barthel</b:Last>
            <b:First>Fabian</b:First>
          </b:Person>
          <b:Person>
            <b:Last>Busse</b:Last>
            <b:First>Matthias</b:First>
          </b:Person>
          <b:Person>
            <b:Last>Krever</b:Last>
            <b:First>Richard</b:First>
          </b:Person>
          <b:Person>
            <b:Last>Neumayer</b:Last>
            <b:First>Eric</b:First>
          </b:Person>
        </b:NameList>
      </b:Author>
    </b:Author>
    <b:Title>The Relationship between Double Taxation Treaties and Foreign Direct Investment</b:Title>
    <b:Year>2010</b:Year>
    <b:LCID>en-US</b:LCID>
    <b:JournalName>SSRN</b:JournalName>
    <b:RefOrder>1</b:RefOrder>
  </b:Source>
</b:Sources>
</file>

<file path=customXml/itemProps1.xml><?xml version="1.0" encoding="utf-8"?>
<ds:datastoreItem xmlns:ds="http://schemas.openxmlformats.org/officeDocument/2006/customXml" ds:itemID="{7736E059-B050-41BC-9C2B-0A661CA4FD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4F796CE-E141-4C6E-8D53-280C1D1BAE12}">
  <ds:schemaRefs>
    <ds:schemaRef ds:uri="http://schemas.microsoft.com/sharepoint/v3/contenttype/forms"/>
  </ds:schemaRefs>
</ds:datastoreItem>
</file>

<file path=customXml/itemProps3.xml><?xml version="1.0" encoding="utf-8"?>
<ds:datastoreItem xmlns:ds="http://schemas.openxmlformats.org/officeDocument/2006/customXml" ds:itemID="{22DD6A23-C566-4BC7-A9CC-25C3C17C7C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5e2e81-3562-4a37-aee6-c402a8aa854d"/>
    <ds:schemaRef ds:uri="d272827b-eeea-4c08-bc91-57f74128a8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4CED8FF-A646-F049-830F-93969476B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2511</TotalTime>
  <Pages>29</Pages>
  <Words>9274</Words>
  <Characters>52866</Characters>
  <Application>Microsoft Office Word</Application>
  <DocSecurity>0</DocSecurity>
  <Lines>440</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62016</CharactersWithSpaces>
  <SharedDoc>false</SharedDoc>
  <HLinks>
    <vt:vector size="48" baseType="variant">
      <vt:variant>
        <vt:i4>3670084</vt:i4>
      </vt:variant>
      <vt:variant>
        <vt:i4>21</vt:i4>
      </vt:variant>
      <vt:variant>
        <vt:i4>0</vt:i4>
      </vt:variant>
      <vt:variant>
        <vt:i4>5</vt:i4>
      </vt:variant>
      <vt:variant>
        <vt:lpwstr>https://papers.ssrn.com/sol3/papers.cfm?abstract_id=3995034</vt:lpwstr>
      </vt:variant>
      <vt:variant>
        <vt:lpwstr/>
      </vt:variant>
      <vt:variant>
        <vt:i4>1114154</vt:i4>
      </vt:variant>
      <vt:variant>
        <vt:i4>18</vt:i4>
      </vt:variant>
      <vt:variant>
        <vt:i4>0</vt:i4>
      </vt:variant>
      <vt:variant>
        <vt:i4>5</vt:i4>
      </vt:variant>
      <vt:variant>
        <vt:lpwstr>https://personal.lse.ac.uk/barthel/docs/dtt_fdi.pdf</vt:lpwstr>
      </vt:variant>
      <vt:variant>
        <vt:lpwstr/>
      </vt:variant>
      <vt:variant>
        <vt:i4>6160408</vt:i4>
      </vt:variant>
      <vt:variant>
        <vt:i4>15</vt:i4>
      </vt:variant>
      <vt:variant>
        <vt:i4>0</vt:i4>
      </vt:variant>
      <vt:variant>
        <vt:i4>5</vt:i4>
      </vt:variant>
      <vt:variant>
        <vt:lpwstr>https://www.researchgate.net/publication/210417692_The_Relationship_between_Double_Taxation_Treaties_and_Foreign_Direct_Investment/link/0912f508a81c939a26000000/download</vt:lpwstr>
      </vt:variant>
      <vt:variant>
        <vt:lpwstr/>
      </vt:variant>
      <vt:variant>
        <vt:i4>11337898</vt:i4>
      </vt:variant>
      <vt:variant>
        <vt:i4>12</vt:i4>
      </vt:variant>
      <vt:variant>
        <vt:i4>0</vt:i4>
      </vt:variant>
      <vt:variant>
        <vt:i4>5</vt:i4>
      </vt:variant>
      <vt:variant>
        <vt:lpwstr>https://www.andi.com.co/Uploads/ESTUDIO DE IMPACTO JURÍDICO ECONÓMICO Y FISCAL DE LAS ZONAS FRANCAS - Consorcio Araújo Ibarra Ibarra Abogados HJ Gómez.pdf</vt:lpwstr>
      </vt:variant>
      <vt:variant>
        <vt:lpwstr/>
      </vt:variant>
      <vt:variant>
        <vt:i4>8192123</vt:i4>
      </vt:variant>
      <vt:variant>
        <vt:i4>9</vt:i4>
      </vt:variant>
      <vt:variant>
        <vt:i4>0</vt:i4>
      </vt:variant>
      <vt:variant>
        <vt:i4>5</vt:i4>
      </vt:variant>
      <vt:variant>
        <vt:lpwstr>https://www.oas.org/csh/spanish/documentos/colombia.pdf</vt:lpwstr>
      </vt:variant>
      <vt:variant>
        <vt:lpwstr/>
      </vt:variant>
      <vt:variant>
        <vt:i4>2031620</vt:i4>
      </vt:variant>
      <vt:variant>
        <vt:i4>6</vt:i4>
      </vt:variant>
      <vt:variant>
        <vt:i4>0</vt:i4>
      </vt:variant>
      <vt:variant>
        <vt:i4>5</vt:i4>
      </vt:variant>
      <vt:variant>
        <vt:lpwstr>https://totoro.banrep.gov.co/analytics/saw.dll?Go</vt:lpwstr>
      </vt:variant>
      <vt:variant>
        <vt:lpwstr/>
      </vt:variant>
      <vt:variant>
        <vt:i4>1114180</vt:i4>
      </vt:variant>
      <vt:variant>
        <vt:i4>3</vt:i4>
      </vt:variant>
      <vt:variant>
        <vt:i4>0</vt:i4>
      </vt:variant>
      <vt:variant>
        <vt:i4>5</vt:i4>
      </vt:variant>
      <vt:variant>
        <vt:lpwstr>https://www.banrep.gov.co/sites/default/files/nota_de_prensa_inversion_directa.pdf</vt:lpwstr>
      </vt:variant>
      <vt:variant>
        <vt:lpwstr/>
      </vt:variant>
      <vt:variant>
        <vt:i4>3211273</vt:i4>
      </vt:variant>
      <vt:variant>
        <vt:i4>0</vt:i4>
      </vt:variant>
      <vt:variant>
        <vt:i4>0</vt:i4>
      </vt:variant>
      <vt:variant>
        <vt:i4>5</vt:i4>
      </vt:variant>
      <vt:variant>
        <vt:lpwstr>https://www.un.org/esa/ffd/wp-content/uploads/2014/08/UN_Handbook_DTT_Admin.pdf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Fillippo Aguillon</dc:creator>
  <cp:keywords/>
  <dc:description/>
  <cp:lastModifiedBy>Irina Andrea Velez Lopez</cp:lastModifiedBy>
  <cp:revision>1605</cp:revision>
  <dcterms:created xsi:type="dcterms:W3CDTF">2023-06-18T06:16:00Z</dcterms:created>
  <dcterms:modified xsi:type="dcterms:W3CDTF">2023-07-04T07:16:00Z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0x01010098DE948412F87041BB34D2118330D175</vt:lpwstr>
  </property>
</Properties>
</file>