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Segoe UI" w:hAnsi="Segoe UI"/>
          <w:b/>
          <w:color w:val="1F4E78"/>
          <w:sz w:val="48"/>
        </w:rPr>
        <w:t>Car Sales Reporting System</w:t>
        <w:br/>
        <w:t>System Design Document</w:t>
      </w:r>
    </w:p>
    <w:p>
      <w:pPr>
        <w:spacing w:after="720"/>
        <w:jc w:val="center"/>
      </w:pPr>
      <w:r>
        <w:rPr>
          <w:rFonts w:ascii="Segoe UI" w:hAnsi="Segoe UI"/>
          <w:i/>
          <w:color w:val="595959"/>
          <w:sz w:val="24"/>
        </w:rPr>
        <w:t>Day 10 Project - Business Documentation &amp; System Design</w:t>
        <w:br/>
        <w:t>Prepared for Frontend Implementation</w:t>
      </w:r>
    </w:p>
    <w:p>
      <w:pPr>
        <w:keepNext/>
        <w:spacing w:before="240" w:after="120"/>
      </w:pPr>
      <w:r>
        <w:rPr>
          <w:rFonts w:ascii="Segoe UI" w:hAnsi="Segoe UI"/>
          <w:b/>
          <w:color w:val="1F4E78"/>
          <w:sz w:val="32"/>
        </w:rPr>
        <w:t>1. System Overview</w:t>
      </w:r>
    </w:p>
    <w:p>
      <w:pPr>
        <w:spacing w:after="200" w:line="276" w:lineRule="auto"/>
      </w:pPr>
      <w:r>
        <w:t>The Car Sales Reporting System is a modern, responsive web application designed to visualize and analyze used car sales data. The core objective of this system is to ingest raw sales datasets, perform data cleaning and quality checks, store the refined records in a local CSV/JSON dataset, and present actionable business insights through a clean, premium frontend dashboard interface without requiring active backend database connections.</w:t>
      </w:r>
    </w:p>
    <w:p>
      <w:pPr>
        <w:spacing w:after="240" w:line="276" w:lineRule="auto"/>
      </w:pPr>
      <w:r>
        <w:t>For this phase (Day 10), a sample of 500 high-quality, verified car sales records is processed and exported. The system prepares the ground for frontend-only development by delivering the clean dataset directly in CSV and JSON formats, as well as a pre-aggregated Excel Pivot Report representing the expected visual analytics.</w:t>
      </w:r>
    </w:p>
    <w:p>
      <w:pPr>
        <w:keepNext/>
        <w:spacing w:before="240" w:after="120"/>
      </w:pPr>
      <w:r>
        <w:rPr>
          <w:rFonts w:ascii="Segoe UI" w:hAnsi="Segoe UI"/>
          <w:b/>
          <w:color w:val="1F4E78"/>
          <w:sz w:val="32"/>
        </w:rPr>
        <w:t>2. Website Pages Design</w:t>
      </w:r>
    </w:p>
    <w:p>
      <w:pPr>
        <w:spacing w:after="160"/>
      </w:pPr>
      <w:r>
        <w:t>The web application features three core pages, accessible via a top navigation bar. The design follows a clean, professional layout utilizing a cohesive color scheme (Navy, Steel Blue, and Slate Gray) with responsive elements for seamless desktop and mobile viewing. The data is loaded directly from a static JSON file compiled in the local directory:</w:t>
      </w:r>
    </w:p>
    <w:p>
      <w:pPr>
        <w:pStyle w:val="ListBullet"/>
        <w:spacing w:after="80"/>
      </w:pPr>
      <w:r>
        <w:rPr>
          <w:b/>
        </w:rPr>
        <w:t xml:space="preserve">Dashboard Page: </w:t>
      </w:r>
      <w:r>
        <w:t>Serves as the main analytical dashboard. It features three high-level KPI cards at the top (Total Revenue, Total Cars Sold, and Average Selling Price) and displays three interactive charts below: Brand vs Total Sales Revenue (column chart), Sales Volume Distribution by Model (pie chart), and Monthly Sales Trend (line chart).</w:t>
      </w:r>
    </w:p>
    <w:p>
      <w:pPr>
        <w:pStyle w:val="ListBullet"/>
        <w:spacing w:after="80"/>
      </w:pPr>
      <w:r>
        <w:rPr>
          <w:b/>
        </w:rPr>
        <w:t xml:space="preserve">Data Page: </w:t>
      </w:r>
      <w:r>
        <w:t>Provides a tabular view of the 500 cleaned sales records. It displays essential columns (ID, Year, Make, Model, Transmission, Odometer, Selling Price, and Sale Date) and offers client-side search, filtering by make/transmission, sorting, and pagination (e.g., 20 rows per page).</w:t>
      </w:r>
    </w:p>
    <w:p>
      <w:pPr>
        <w:pStyle w:val="ListBullet"/>
        <w:spacing w:after="240"/>
      </w:pPr>
      <w:r>
        <w:rPr>
          <w:b/>
        </w:rPr>
        <w:t xml:space="preserve">Report Page: </w:t>
      </w:r>
      <w:r>
        <w:t>Presents detailed analytical summary tables corresponding to the Excel pivot analyses. It allows the user to filter reports by date range or vehicle category and features download buttons to export the data in CSV or Excel format.</w:t>
      </w:r>
    </w:p>
    <w:p>
      <w:pPr>
        <w:keepNext/>
        <w:spacing w:before="240" w:after="120"/>
      </w:pPr>
      <w:r>
        <w:rPr>
          <w:rFonts w:ascii="Segoe UI" w:hAnsi="Segoe UI"/>
          <w:b/>
          <w:color w:val="1F4E78"/>
          <w:sz w:val="32"/>
        </w:rPr>
        <w:t>3. Data Structure (VERY IMPORTANT)</w:t>
      </w:r>
    </w:p>
    <w:p>
      <w:pPr>
        <w:spacing w:after="160"/>
      </w:pPr>
      <w:r>
        <w:t>The relational database table 'car_sales' houses the cleaned and sorted vehicle sales records. Below is the database schema mapping the exact data types and fields utilized in the database pipeline:</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8"/>
            <w:tcMar>
              <w:top w:w="100" w:type="dxa"/>
              <w:bottom w:w="100" w:type="dxa"/>
              <w:left w:w="150" w:type="dxa"/>
              <w:right w:w="150" w:type="dxa"/>
            </w:tcMar>
          </w:tcPr>
          <w:p>
            <w:pPr>
              <w:jc w:val="center"/>
            </w:pPr>
            <w:r>
              <w:rPr>
                <w:b/>
                <w:color w:val="FFFFFF"/>
              </w:rPr>
              <w:t>Field Name</w:t>
            </w:r>
          </w:p>
        </w:tc>
        <w:tc>
          <w:tcPr>
            <w:tcW w:type="dxa" w:w="2340"/>
            <w:shd w:fill="1F4E78"/>
            <w:tcMar>
              <w:top w:w="100" w:type="dxa"/>
              <w:bottom w:w="100" w:type="dxa"/>
              <w:left w:w="150" w:type="dxa"/>
              <w:right w:w="150" w:type="dxa"/>
            </w:tcMar>
          </w:tcPr>
          <w:p>
            <w:pPr>
              <w:jc w:val="center"/>
            </w:pPr>
            <w:r>
              <w:rPr>
                <w:b/>
                <w:color w:val="FFFFFF"/>
              </w:rPr>
              <w:t>Data Type</w:t>
            </w:r>
          </w:p>
        </w:tc>
        <w:tc>
          <w:tcPr>
            <w:tcW w:type="dxa" w:w="2340"/>
            <w:shd w:fill="1F4E78"/>
            <w:tcMar>
              <w:top w:w="100" w:type="dxa"/>
              <w:bottom w:w="100" w:type="dxa"/>
              <w:left w:w="150" w:type="dxa"/>
              <w:right w:w="150" w:type="dxa"/>
            </w:tcMar>
          </w:tcPr>
          <w:p>
            <w:pPr>
              <w:jc w:val="center"/>
            </w:pPr>
            <w:r>
              <w:rPr>
                <w:b/>
                <w:color w:val="FFFFFF"/>
              </w:rPr>
              <w:t>Constraints / Nullable</w:t>
            </w:r>
          </w:p>
        </w:tc>
        <w:tc>
          <w:tcPr>
            <w:tcW w:type="dxa" w:w="2340"/>
            <w:shd w:fill="1F4E78"/>
            <w:tcMar>
              <w:top w:w="100" w:type="dxa"/>
              <w:bottom w:w="100" w:type="dxa"/>
              <w:left w:w="150" w:type="dxa"/>
              <w:right w:w="150" w:type="dxa"/>
            </w:tcMar>
          </w:tcPr>
          <w:p>
            <w:pPr>
              <w:jc w:val="center"/>
            </w:pPr>
            <w:r>
              <w:rPr>
                <w:b/>
                <w:color w:val="FFFFFF"/>
              </w:rPr>
              <w:t>Description</w:t>
            </w:r>
          </w:p>
        </w:tc>
      </w:tr>
      <w:tr>
        <w:tc>
          <w:tcPr>
            <w:tcW w:type="dxa" w:w="2340"/>
            <w:tcMar>
              <w:top w:w="100" w:type="dxa"/>
              <w:bottom w:w="100" w:type="dxa"/>
              <w:left w:w="150" w:type="dxa"/>
              <w:right w:w="150" w:type="dxa"/>
            </w:tcMar>
            <w:tcBorders>
              <w:bottom w:val="single" w:sz="4" w:space="0" w:color="D3D3D3"/>
            </w:tcBorders>
          </w:tcPr>
          <w:p>
            <w:r>
              <w:t>id</w:t>
            </w:r>
          </w:p>
        </w:tc>
        <w:tc>
          <w:tcPr>
            <w:tcW w:type="dxa" w:w="2340"/>
            <w:tcMar>
              <w:top w:w="100" w:type="dxa"/>
              <w:bottom w:w="100" w:type="dxa"/>
              <w:left w:w="150" w:type="dxa"/>
              <w:right w:w="150" w:type="dxa"/>
            </w:tcMar>
            <w:tcBorders>
              <w:bottom w:val="single" w:sz="4" w:space="0" w:color="D3D3D3"/>
            </w:tcBorders>
          </w:tcPr>
          <w:p>
            <w:r>
              <w:t>INT</w:t>
            </w:r>
          </w:p>
        </w:tc>
        <w:tc>
          <w:tcPr>
            <w:tcW w:type="dxa" w:w="2340"/>
            <w:tcMar>
              <w:top w:w="100" w:type="dxa"/>
              <w:bottom w:w="100" w:type="dxa"/>
              <w:left w:w="150" w:type="dxa"/>
              <w:right w:w="150" w:type="dxa"/>
            </w:tcMar>
            <w:tcBorders>
              <w:bottom w:val="single" w:sz="4" w:space="0" w:color="D3D3D3"/>
            </w:tcBorders>
          </w:tcPr>
          <w:p>
            <w:r>
              <w:t>PRIMARY KEY, AUTO_INC</w:t>
            </w:r>
          </w:p>
        </w:tc>
        <w:tc>
          <w:tcPr>
            <w:tcW w:type="dxa" w:w="2340"/>
            <w:tcMar>
              <w:top w:w="100" w:type="dxa"/>
              <w:bottom w:w="100" w:type="dxa"/>
              <w:left w:w="150" w:type="dxa"/>
              <w:right w:w="150" w:type="dxa"/>
            </w:tcMar>
            <w:tcBorders>
              <w:bottom w:val="single" w:sz="4" w:space="0" w:color="D3D3D3"/>
            </w:tcBorders>
          </w:tcPr>
          <w:p>
            <w:r>
              <w:t>Unique auto-generated record identifier</w:t>
            </w:r>
          </w:p>
        </w:tc>
      </w:tr>
      <w:tr>
        <w:tc>
          <w:tcPr>
            <w:tcW w:type="dxa" w:w="2340"/>
            <w:tcMar>
              <w:top w:w="100" w:type="dxa"/>
              <w:bottom w:w="100" w:type="dxa"/>
              <w:left w:w="150" w:type="dxa"/>
              <w:right w:w="150" w:type="dxa"/>
            </w:tcMar>
            <w:shd w:fill="F2F6F9"/>
            <w:tcBorders>
              <w:bottom w:val="single" w:sz="4" w:space="0" w:color="D3D3D3"/>
            </w:tcBorders>
          </w:tcPr>
          <w:p>
            <w:r>
              <w:t>year</w:t>
            </w:r>
          </w:p>
        </w:tc>
        <w:tc>
          <w:tcPr>
            <w:tcW w:type="dxa" w:w="2340"/>
            <w:tcMar>
              <w:top w:w="100" w:type="dxa"/>
              <w:bottom w:w="100" w:type="dxa"/>
              <w:left w:w="150" w:type="dxa"/>
              <w:right w:w="150" w:type="dxa"/>
            </w:tcMar>
            <w:shd w:fill="F2F6F9"/>
            <w:tcBorders>
              <w:bottom w:val="single" w:sz="4" w:space="0" w:color="D3D3D3"/>
            </w:tcBorders>
          </w:tcPr>
          <w:p>
            <w:r>
              <w:t>INT</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Manufacturing year (1900 to present+2)</w:t>
            </w:r>
          </w:p>
        </w:tc>
      </w:tr>
      <w:tr>
        <w:tc>
          <w:tcPr>
            <w:tcW w:type="dxa" w:w="2340"/>
            <w:tcMar>
              <w:top w:w="100" w:type="dxa"/>
              <w:bottom w:w="100" w:type="dxa"/>
              <w:left w:w="150" w:type="dxa"/>
              <w:right w:w="150" w:type="dxa"/>
            </w:tcMar>
            <w:tcBorders>
              <w:bottom w:val="single" w:sz="4" w:space="0" w:color="D3D3D3"/>
            </w:tcBorders>
          </w:tcPr>
          <w:p>
            <w:r>
              <w:t>make</w:t>
            </w:r>
          </w:p>
        </w:tc>
        <w:tc>
          <w:tcPr>
            <w:tcW w:type="dxa" w:w="2340"/>
            <w:tcMar>
              <w:top w:w="100" w:type="dxa"/>
              <w:bottom w:w="100" w:type="dxa"/>
              <w:left w:w="150" w:type="dxa"/>
              <w:right w:w="150" w:type="dxa"/>
            </w:tcMar>
            <w:tcBorders>
              <w:bottom w:val="single" w:sz="4" w:space="0" w:color="D3D3D3"/>
            </w:tcBorders>
          </w:tcPr>
          <w:p>
            <w:r>
              <w:t>VARCHAR(50)</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Vehicle brand/manufacturer (Title Case)</w:t>
            </w:r>
          </w:p>
        </w:tc>
      </w:tr>
      <w:tr>
        <w:tc>
          <w:tcPr>
            <w:tcW w:type="dxa" w:w="2340"/>
            <w:tcMar>
              <w:top w:w="100" w:type="dxa"/>
              <w:bottom w:w="100" w:type="dxa"/>
              <w:left w:w="150" w:type="dxa"/>
              <w:right w:w="150" w:type="dxa"/>
            </w:tcMar>
            <w:shd w:fill="F2F6F9"/>
            <w:tcBorders>
              <w:bottom w:val="single" w:sz="4" w:space="0" w:color="D3D3D3"/>
            </w:tcBorders>
          </w:tcPr>
          <w:p>
            <w:r>
              <w:t>model</w:t>
            </w:r>
          </w:p>
        </w:tc>
        <w:tc>
          <w:tcPr>
            <w:tcW w:type="dxa" w:w="2340"/>
            <w:tcMar>
              <w:top w:w="100" w:type="dxa"/>
              <w:bottom w:w="100" w:type="dxa"/>
              <w:left w:w="150" w:type="dxa"/>
              <w:right w:w="150" w:type="dxa"/>
            </w:tcMar>
            <w:shd w:fill="F2F6F9"/>
            <w:tcBorders>
              <w:bottom w:val="single" w:sz="4" w:space="0" w:color="D3D3D3"/>
            </w:tcBorders>
          </w:tcPr>
          <w:p>
            <w:r>
              <w:t>VARCHAR(100)</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Vehicle model name (Title Case)</w:t>
            </w:r>
          </w:p>
        </w:tc>
      </w:tr>
      <w:tr>
        <w:tc>
          <w:tcPr>
            <w:tcW w:type="dxa" w:w="2340"/>
            <w:tcMar>
              <w:top w:w="100" w:type="dxa"/>
              <w:bottom w:w="100" w:type="dxa"/>
              <w:left w:w="150" w:type="dxa"/>
              <w:right w:w="150" w:type="dxa"/>
            </w:tcMar>
            <w:tcBorders>
              <w:bottom w:val="single" w:sz="4" w:space="0" w:color="D3D3D3"/>
            </w:tcBorders>
          </w:tcPr>
          <w:p>
            <w:r>
              <w:t>trim</w:t>
            </w:r>
          </w:p>
        </w:tc>
        <w:tc>
          <w:tcPr>
            <w:tcW w:type="dxa" w:w="2340"/>
            <w:tcMar>
              <w:top w:w="100" w:type="dxa"/>
              <w:bottom w:w="100" w:type="dxa"/>
              <w:left w:w="150" w:type="dxa"/>
              <w:right w:w="150" w:type="dxa"/>
            </w:tcMar>
            <w:tcBorders>
              <w:bottom w:val="single" w:sz="4" w:space="0" w:color="D3D3D3"/>
            </w:tcBorders>
          </w:tcPr>
          <w:p>
            <w:r>
              <w:t>VARCHAR(100)</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Trim level configuration details</w:t>
            </w:r>
          </w:p>
        </w:tc>
      </w:tr>
      <w:tr>
        <w:tc>
          <w:tcPr>
            <w:tcW w:type="dxa" w:w="2340"/>
            <w:tcMar>
              <w:top w:w="100" w:type="dxa"/>
              <w:bottom w:w="100" w:type="dxa"/>
              <w:left w:w="150" w:type="dxa"/>
              <w:right w:w="150" w:type="dxa"/>
            </w:tcMar>
            <w:shd w:fill="F2F6F9"/>
            <w:tcBorders>
              <w:bottom w:val="single" w:sz="4" w:space="0" w:color="D3D3D3"/>
            </w:tcBorders>
          </w:tcPr>
          <w:p>
            <w:r>
              <w:t>body</w:t>
            </w:r>
          </w:p>
        </w:tc>
        <w:tc>
          <w:tcPr>
            <w:tcW w:type="dxa" w:w="2340"/>
            <w:tcMar>
              <w:top w:w="100" w:type="dxa"/>
              <w:bottom w:w="100" w:type="dxa"/>
              <w:left w:w="150" w:type="dxa"/>
              <w:right w:w="150" w:type="dxa"/>
            </w:tcMar>
            <w:shd w:fill="F2F6F9"/>
            <w:tcBorders>
              <w:bottom w:val="single" w:sz="4" w:space="0" w:color="D3D3D3"/>
            </w:tcBorders>
          </w:tcPr>
          <w:p>
            <w:r>
              <w:t>VARCHAR(50)</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Body type (e.g., Sedan, SUV, Coupe)</w:t>
            </w:r>
          </w:p>
        </w:tc>
      </w:tr>
      <w:tr>
        <w:tc>
          <w:tcPr>
            <w:tcW w:type="dxa" w:w="2340"/>
            <w:tcMar>
              <w:top w:w="100" w:type="dxa"/>
              <w:bottom w:w="100" w:type="dxa"/>
              <w:left w:w="150" w:type="dxa"/>
              <w:right w:w="150" w:type="dxa"/>
            </w:tcMar>
            <w:tcBorders>
              <w:bottom w:val="single" w:sz="4" w:space="0" w:color="D3D3D3"/>
            </w:tcBorders>
          </w:tcPr>
          <w:p>
            <w:r>
              <w:t>transmission</w:t>
            </w:r>
          </w:p>
        </w:tc>
        <w:tc>
          <w:tcPr>
            <w:tcW w:type="dxa" w:w="2340"/>
            <w:tcMar>
              <w:top w:w="100" w:type="dxa"/>
              <w:bottom w:w="100" w:type="dxa"/>
              <w:left w:w="150" w:type="dxa"/>
              <w:right w:w="150" w:type="dxa"/>
            </w:tcMar>
            <w:tcBorders>
              <w:bottom w:val="single" w:sz="4" w:space="0" w:color="D3D3D3"/>
            </w:tcBorders>
          </w:tcPr>
          <w:p>
            <w:r>
              <w:t>VARCHAR(20)</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Gearbox type (automatic or manual)</w:t>
            </w:r>
          </w:p>
        </w:tc>
      </w:tr>
      <w:tr>
        <w:tc>
          <w:tcPr>
            <w:tcW w:type="dxa" w:w="2340"/>
            <w:tcMar>
              <w:top w:w="100" w:type="dxa"/>
              <w:bottom w:w="100" w:type="dxa"/>
              <w:left w:w="150" w:type="dxa"/>
              <w:right w:w="150" w:type="dxa"/>
            </w:tcMar>
            <w:shd w:fill="F2F6F9"/>
            <w:tcBorders>
              <w:bottom w:val="single" w:sz="4" w:space="0" w:color="D3D3D3"/>
            </w:tcBorders>
          </w:tcPr>
          <w:p>
            <w:r>
              <w:t>vin</w:t>
            </w:r>
          </w:p>
        </w:tc>
        <w:tc>
          <w:tcPr>
            <w:tcW w:type="dxa" w:w="2340"/>
            <w:tcMar>
              <w:top w:w="100" w:type="dxa"/>
              <w:bottom w:w="100" w:type="dxa"/>
              <w:left w:w="150" w:type="dxa"/>
              <w:right w:w="150" w:type="dxa"/>
            </w:tcMar>
            <w:shd w:fill="F2F6F9"/>
            <w:tcBorders>
              <w:bottom w:val="single" w:sz="4" w:space="0" w:color="D3D3D3"/>
            </w:tcBorders>
          </w:tcPr>
          <w:p>
            <w:r>
              <w:t>VARCHAR(50)</w:t>
            </w:r>
          </w:p>
        </w:tc>
        <w:tc>
          <w:tcPr>
            <w:tcW w:type="dxa" w:w="2340"/>
            <w:tcMar>
              <w:top w:w="100" w:type="dxa"/>
              <w:bottom w:w="100" w:type="dxa"/>
              <w:left w:w="150" w:type="dxa"/>
              <w:right w:w="150" w:type="dxa"/>
            </w:tcMar>
            <w:shd w:fill="F2F6F9"/>
            <w:tcBorders>
              <w:bottom w:val="single" w:sz="4" w:space="0" w:color="D3D3D3"/>
            </w:tcBorders>
          </w:tcPr>
          <w:p>
            <w:r>
              <w:t>UNIQUE INDEX, NOT NULL</w:t>
            </w:r>
          </w:p>
        </w:tc>
        <w:tc>
          <w:tcPr>
            <w:tcW w:type="dxa" w:w="2340"/>
            <w:tcMar>
              <w:top w:w="100" w:type="dxa"/>
              <w:bottom w:w="100" w:type="dxa"/>
              <w:left w:w="150" w:type="dxa"/>
              <w:right w:w="150" w:type="dxa"/>
            </w:tcMar>
            <w:shd w:fill="F2F6F9"/>
            <w:tcBorders>
              <w:bottom w:val="single" w:sz="4" w:space="0" w:color="D3D3D3"/>
            </w:tcBorders>
          </w:tcPr>
          <w:p>
            <w:r>
              <w:t>17-character alphanumeric VIN</w:t>
            </w:r>
          </w:p>
        </w:tc>
      </w:tr>
      <w:tr>
        <w:tc>
          <w:tcPr>
            <w:tcW w:type="dxa" w:w="2340"/>
            <w:tcMar>
              <w:top w:w="100" w:type="dxa"/>
              <w:bottom w:w="100" w:type="dxa"/>
              <w:left w:w="150" w:type="dxa"/>
              <w:right w:w="150" w:type="dxa"/>
            </w:tcMar>
            <w:tcBorders>
              <w:bottom w:val="single" w:sz="4" w:space="0" w:color="D3D3D3"/>
            </w:tcBorders>
          </w:tcPr>
          <w:p>
            <w:r>
              <w:t>state</w:t>
            </w:r>
          </w:p>
        </w:tc>
        <w:tc>
          <w:tcPr>
            <w:tcW w:type="dxa" w:w="2340"/>
            <w:tcMar>
              <w:top w:w="100" w:type="dxa"/>
              <w:bottom w:w="100" w:type="dxa"/>
              <w:left w:w="150" w:type="dxa"/>
              <w:right w:w="150" w:type="dxa"/>
            </w:tcMar>
            <w:tcBorders>
              <w:bottom w:val="single" w:sz="4" w:space="0" w:color="D3D3D3"/>
            </w:tcBorders>
          </w:tcPr>
          <w:p>
            <w:r>
              <w:t>VARCHAR(10)</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US State code where sold (Uppercase)</w:t>
            </w:r>
          </w:p>
        </w:tc>
      </w:tr>
      <w:tr>
        <w:tc>
          <w:tcPr>
            <w:tcW w:type="dxa" w:w="2340"/>
            <w:tcMar>
              <w:top w:w="100" w:type="dxa"/>
              <w:bottom w:w="100" w:type="dxa"/>
              <w:left w:w="150" w:type="dxa"/>
              <w:right w:w="150" w:type="dxa"/>
            </w:tcMar>
            <w:shd w:fill="F2F6F9"/>
            <w:tcBorders>
              <w:bottom w:val="single" w:sz="4" w:space="0" w:color="D3D3D3"/>
            </w:tcBorders>
          </w:tcPr>
          <w:p>
            <w:r>
              <w:t>condition</w:t>
            </w:r>
          </w:p>
        </w:tc>
        <w:tc>
          <w:tcPr>
            <w:tcW w:type="dxa" w:w="2340"/>
            <w:tcMar>
              <w:top w:w="100" w:type="dxa"/>
              <w:bottom w:w="100" w:type="dxa"/>
              <w:left w:w="150" w:type="dxa"/>
              <w:right w:w="150" w:type="dxa"/>
            </w:tcMar>
            <w:shd w:fill="F2F6F9"/>
            <w:tcBorders>
              <w:bottom w:val="single" w:sz="4" w:space="0" w:color="D3D3D3"/>
            </w:tcBorders>
          </w:tcPr>
          <w:p>
            <w:r>
              <w:t>FLOAT</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Condition rating (range: 0.0 - 50.0)</w:t>
            </w:r>
          </w:p>
        </w:tc>
      </w:tr>
      <w:tr>
        <w:tc>
          <w:tcPr>
            <w:tcW w:type="dxa" w:w="2340"/>
            <w:tcMar>
              <w:top w:w="100" w:type="dxa"/>
              <w:bottom w:w="100" w:type="dxa"/>
              <w:left w:w="150" w:type="dxa"/>
              <w:right w:w="150" w:type="dxa"/>
            </w:tcMar>
            <w:tcBorders>
              <w:bottom w:val="single" w:sz="4" w:space="0" w:color="D3D3D3"/>
            </w:tcBorders>
          </w:tcPr>
          <w:p>
            <w:r>
              <w:t>odometer</w:t>
            </w:r>
          </w:p>
        </w:tc>
        <w:tc>
          <w:tcPr>
            <w:tcW w:type="dxa" w:w="2340"/>
            <w:tcMar>
              <w:top w:w="100" w:type="dxa"/>
              <w:bottom w:w="100" w:type="dxa"/>
              <w:left w:w="150" w:type="dxa"/>
              <w:right w:w="150" w:type="dxa"/>
            </w:tcMar>
            <w:tcBorders>
              <w:bottom w:val="single" w:sz="4" w:space="0" w:color="D3D3D3"/>
            </w:tcBorders>
          </w:tcPr>
          <w:p>
            <w:r>
              <w:t>INT</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Mileage value (non-negative)</w:t>
            </w:r>
          </w:p>
        </w:tc>
      </w:tr>
      <w:tr>
        <w:tc>
          <w:tcPr>
            <w:tcW w:type="dxa" w:w="2340"/>
            <w:tcMar>
              <w:top w:w="100" w:type="dxa"/>
              <w:bottom w:w="100" w:type="dxa"/>
              <w:left w:w="150" w:type="dxa"/>
              <w:right w:w="150" w:type="dxa"/>
            </w:tcMar>
            <w:shd w:fill="F2F6F9"/>
            <w:tcBorders>
              <w:bottom w:val="single" w:sz="4" w:space="0" w:color="D3D3D3"/>
            </w:tcBorders>
          </w:tcPr>
          <w:p>
            <w:r>
              <w:t>color</w:t>
            </w:r>
          </w:p>
        </w:tc>
        <w:tc>
          <w:tcPr>
            <w:tcW w:type="dxa" w:w="2340"/>
            <w:tcMar>
              <w:top w:w="100" w:type="dxa"/>
              <w:bottom w:w="100" w:type="dxa"/>
              <w:left w:w="150" w:type="dxa"/>
              <w:right w:w="150" w:type="dxa"/>
            </w:tcMar>
            <w:shd w:fill="F2F6F9"/>
            <w:tcBorders>
              <w:bottom w:val="single" w:sz="4" w:space="0" w:color="D3D3D3"/>
            </w:tcBorders>
          </w:tcPr>
          <w:p>
            <w:r>
              <w:t>VARCHAR(50)</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Exterior color (Title Case)</w:t>
            </w:r>
          </w:p>
        </w:tc>
      </w:tr>
      <w:tr>
        <w:tc>
          <w:tcPr>
            <w:tcW w:type="dxa" w:w="2340"/>
            <w:tcMar>
              <w:top w:w="100" w:type="dxa"/>
              <w:bottom w:w="100" w:type="dxa"/>
              <w:left w:w="150" w:type="dxa"/>
              <w:right w:w="150" w:type="dxa"/>
            </w:tcMar>
            <w:tcBorders>
              <w:bottom w:val="single" w:sz="4" w:space="0" w:color="D3D3D3"/>
            </w:tcBorders>
          </w:tcPr>
          <w:p>
            <w:r>
              <w:t>interior</w:t>
            </w:r>
          </w:p>
        </w:tc>
        <w:tc>
          <w:tcPr>
            <w:tcW w:type="dxa" w:w="2340"/>
            <w:tcMar>
              <w:top w:w="100" w:type="dxa"/>
              <w:bottom w:w="100" w:type="dxa"/>
              <w:left w:w="150" w:type="dxa"/>
              <w:right w:w="150" w:type="dxa"/>
            </w:tcMar>
            <w:tcBorders>
              <w:bottom w:val="single" w:sz="4" w:space="0" w:color="D3D3D3"/>
            </w:tcBorders>
          </w:tcPr>
          <w:p>
            <w:r>
              <w:t>VARCHAR(50)</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Interior color (Title Case)</w:t>
            </w:r>
          </w:p>
        </w:tc>
      </w:tr>
      <w:tr>
        <w:tc>
          <w:tcPr>
            <w:tcW w:type="dxa" w:w="2340"/>
            <w:tcMar>
              <w:top w:w="100" w:type="dxa"/>
              <w:bottom w:w="100" w:type="dxa"/>
              <w:left w:w="150" w:type="dxa"/>
              <w:right w:w="150" w:type="dxa"/>
            </w:tcMar>
            <w:shd w:fill="F2F6F9"/>
            <w:tcBorders>
              <w:bottom w:val="single" w:sz="4" w:space="0" w:color="D3D3D3"/>
            </w:tcBorders>
          </w:tcPr>
          <w:p>
            <w:r>
              <w:t>seller</w:t>
            </w:r>
          </w:p>
        </w:tc>
        <w:tc>
          <w:tcPr>
            <w:tcW w:type="dxa" w:w="2340"/>
            <w:tcMar>
              <w:top w:w="100" w:type="dxa"/>
              <w:bottom w:w="100" w:type="dxa"/>
              <w:left w:w="150" w:type="dxa"/>
              <w:right w:w="150" w:type="dxa"/>
            </w:tcMar>
            <w:shd w:fill="F2F6F9"/>
            <w:tcBorders>
              <w:bottom w:val="single" w:sz="4" w:space="0" w:color="D3D3D3"/>
            </w:tcBorders>
          </w:tcPr>
          <w:p>
            <w:r>
              <w:t>VARCHAR(255)</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Dealer or auction seller name</w:t>
            </w:r>
          </w:p>
        </w:tc>
      </w:tr>
      <w:tr>
        <w:tc>
          <w:tcPr>
            <w:tcW w:type="dxa" w:w="2340"/>
            <w:tcMar>
              <w:top w:w="100" w:type="dxa"/>
              <w:bottom w:w="100" w:type="dxa"/>
              <w:left w:w="150" w:type="dxa"/>
              <w:right w:w="150" w:type="dxa"/>
            </w:tcMar>
            <w:tcBorders>
              <w:bottom w:val="single" w:sz="4" w:space="0" w:color="D3D3D3"/>
            </w:tcBorders>
          </w:tcPr>
          <w:p>
            <w:r>
              <w:t>mmr</w:t>
            </w:r>
          </w:p>
        </w:tc>
        <w:tc>
          <w:tcPr>
            <w:tcW w:type="dxa" w:w="2340"/>
            <w:tcMar>
              <w:top w:w="100" w:type="dxa"/>
              <w:bottom w:w="100" w:type="dxa"/>
              <w:left w:w="150" w:type="dxa"/>
              <w:right w:w="150" w:type="dxa"/>
            </w:tcMar>
            <w:tcBorders>
              <w:bottom w:val="single" w:sz="4" w:space="0" w:color="D3D3D3"/>
            </w:tcBorders>
          </w:tcPr>
          <w:p>
            <w:r>
              <w:t>INT</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Manheim Market Report estimated trade value</w:t>
            </w:r>
          </w:p>
        </w:tc>
      </w:tr>
      <w:tr>
        <w:tc>
          <w:tcPr>
            <w:tcW w:type="dxa" w:w="2340"/>
            <w:tcMar>
              <w:top w:w="100" w:type="dxa"/>
              <w:bottom w:w="100" w:type="dxa"/>
              <w:left w:w="150" w:type="dxa"/>
              <w:right w:w="150" w:type="dxa"/>
            </w:tcMar>
            <w:shd w:fill="F2F6F9"/>
            <w:tcBorders>
              <w:bottom w:val="single" w:sz="4" w:space="0" w:color="D3D3D3"/>
            </w:tcBorders>
          </w:tcPr>
          <w:p>
            <w:r>
              <w:t>sellingprice</w:t>
            </w:r>
          </w:p>
        </w:tc>
        <w:tc>
          <w:tcPr>
            <w:tcW w:type="dxa" w:w="2340"/>
            <w:tcMar>
              <w:top w:w="100" w:type="dxa"/>
              <w:bottom w:w="100" w:type="dxa"/>
              <w:left w:w="150" w:type="dxa"/>
              <w:right w:w="150" w:type="dxa"/>
            </w:tcMar>
            <w:shd w:fill="F2F6F9"/>
            <w:tcBorders>
              <w:bottom w:val="single" w:sz="4" w:space="0" w:color="D3D3D3"/>
            </w:tcBorders>
          </w:tcPr>
          <w:p>
            <w:r>
              <w:t>INT</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Actual closing sale price (non-negative)</w:t>
            </w:r>
          </w:p>
        </w:tc>
      </w:tr>
      <w:tr>
        <w:tc>
          <w:tcPr>
            <w:tcW w:type="dxa" w:w="2340"/>
            <w:tcMar>
              <w:top w:w="100" w:type="dxa"/>
              <w:bottom w:w="100" w:type="dxa"/>
              <w:left w:w="150" w:type="dxa"/>
              <w:right w:w="150" w:type="dxa"/>
            </w:tcMar>
            <w:tcBorders>
              <w:bottom w:val="single" w:sz="4" w:space="0" w:color="D3D3D3"/>
            </w:tcBorders>
          </w:tcPr>
          <w:p>
            <w:r>
              <w:t>saledate</w:t>
            </w:r>
          </w:p>
        </w:tc>
        <w:tc>
          <w:tcPr>
            <w:tcW w:type="dxa" w:w="2340"/>
            <w:tcMar>
              <w:top w:w="100" w:type="dxa"/>
              <w:bottom w:w="100" w:type="dxa"/>
              <w:left w:w="150" w:type="dxa"/>
              <w:right w:w="150" w:type="dxa"/>
            </w:tcMar>
            <w:tcBorders>
              <w:bottom w:val="single" w:sz="4" w:space="0" w:color="D3D3D3"/>
            </w:tcBorders>
          </w:tcPr>
          <w:p>
            <w:r>
              <w:t>DATE</w:t>
            </w:r>
          </w:p>
        </w:tc>
        <w:tc>
          <w:tcPr>
            <w:tcW w:type="dxa" w:w="2340"/>
            <w:tcMar>
              <w:top w:w="100" w:type="dxa"/>
              <w:bottom w:w="100" w:type="dxa"/>
              <w:left w:w="150" w:type="dxa"/>
              <w:right w:w="150" w:type="dxa"/>
            </w:tcMar>
            <w:tcBorders>
              <w:bottom w:val="single" w:sz="4" w:space="0" w:color="D3D3D3"/>
            </w:tcBorders>
          </w:tcPr>
          <w:p>
            <w:r>
              <w:t>NOT NULL</w:t>
            </w:r>
          </w:p>
        </w:tc>
        <w:tc>
          <w:tcPr>
            <w:tcW w:type="dxa" w:w="2340"/>
            <w:tcMar>
              <w:top w:w="100" w:type="dxa"/>
              <w:bottom w:w="100" w:type="dxa"/>
              <w:left w:w="150" w:type="dxa"/>
              <w:right w:w="150" w:type="dxa"/>
            </w:tcMar>
            <w:tcBorders>
              <w:bottom w:val="single" w:sz="4" w:space="0" w:color="D3D3D3"/>
            </w:tcBorders>
          </w:tcPr>
          <w:p>
            <w:r>
              <w:t>Chronological date of transaction (YYYY-MM-DD)</w:t>
            </w:r>
          </w:p>
        </w:tc>
      </w:tr>
      <w:tr>
        <w:tc>
          <w:tcPr>
            <w:tcW w:type="dxa" w:w="2340"/>
            <w:tcMar>
              <w:top w:w="100" w:type="dxa"/>
              <w:bottom w:w="100" w:type="dxa"/>
              <w:left w:w="150" w:type="dxa"/>
              <w:right w:w="150" w:type="dxa"/>
            </w:tcMar>
            <w:shd w:fill="F2F6F9"/>
            <w:tcBorders>
              <w:bottom w:val="single" w:sz="4" w:space="0" w:color="D3D3D3"/>
            </w:tcBorders>
          </w:tcPr>
          <w:p>
            <w:r>
              <w:t>saleday</w:t>
            </w:r>
          </w:p>
        </w:tc>
        <w:tc>
          <w:tcPr>
            <w:tcW w:type="dxa" w:w="2340"/>
            <w:tcMar>
              <w:top w:w="100" w:type="dxa"/>
              <w:bottom w:w="100" w:type="dxa"/>
              <w:left w:w="150" w:type="dxa"/>
              <w:right w:w="150" w:type="dxa"/>
            </w:tcMar>
            <w:shd w:fill="F2F6F9"/>
            <w:tcBorders>
              <w:bottom w:val="single" w:sz="4" w:space="0" w:color="D3D3D3"/>
            </w:tcBorders>
          </w:tcPr>
          <w:p>
            <w:r>
              <w:t>VARCHAR(20)</w:t>
            </w:r>
          </w:p>
        </w:tc>
        <w:tc>
          <w:tcPr>
            <w:tcW w:type="dxa" w:w="2340"/>
            <w:tcMar>
              <w:top w:w="100" w:type="dxa"/>
              <w:bottom w:w="100" w:type="dxa"/>
              <w:left w:w="150" w:type="dxa"/>
              <w:right w:w="150" w:type="dxa"/>
            </w:tcMar>
            <w:shd w:fill="F2F6F9"/>
            <w:tcBorders>
              <w:bottom w:val="single" w:sz="4" w:space="0" w:color="D3D3D3"/>
            </w:tcBorders>
          </w:tcPr>
          <w:p>
            <w:r>
              <w:t>NOT NULL</w:t>
            </w:r>
          </w:p>
        </w:tc>
        <w:tc>
          <w:tcPr>
            <w:tcW w:type="dxa" w:w="2340"/>
            <w:tcMar>
              <w:top w:w="100" w:type="dxa"/>
              <w:bottom w:w="100" w:type="dxa"/>
              <w:left w:w="150" w:type="dxa"/>
              <w:right w:w="150" w:type="dxa"/>
            </w:tcMar>
            <w:shd w:fill="F2F6F9"/>
            <w:tcBorders>
              <w:bottom w:val="single" w:sz="4" w:space="0" w:color="D3D3D3"/>
            </w:tcBorders>
          </w:tcPr>
          <w:p>
            <w:r>
              <w:t>Weekday name of transaction (e.g., Tuesday)</w:t>
            </w:r>
          </w:p>
        </w:tc>
      </w:tr>
    </w:tbl>
    <w:p>
      <w:pPr>
        <w:spacing w:after="240"/>
      </w:pPr>
    </w:p>
    <w:p>
      <w:pPr>
        <w:keepNext/>
        <w:spacing w:before="240" w:after="120"/>
      </w:pPr>
      <w:r>
        <w:rPr>
          <w:rFonts w:ascii="Segoe UI" w:hAnsi="Segoe UI"/>
          <w:b/>
          <w:color w:val="1F4E78"/>
          <w:sz w:val="32"/>
        </w:rPr>
        <w:t>4. User Roles</w:t>
      </w:r>
    </w:p>
    <w:p>
      <w:pPr>
        <w:spacing w:after="160"/>
      </w:pPr>
      <w:r>
        <w:t>To ensure proper authorization, security, and interface personalization, the system supports three distinct user roles, each with specific interface privileges:</w:t>
      </w:r>
    </w:p>
    <w:p>
      <w:pPr>
        <w:pStyle w:val="ListBullet"/>
        <w:spacing w:after="80"/>
      </w:pPr>
      <w:r>
        <w:rPr>
          <w:b/>
        </w:rPr>
        <w:t xml:space="preserve">Administrator: </w:t>
      </w:r>
      <w:r>
        <w:t>Full read-write database privileges. Access to administrative controls for manual CSV uploads, running data cleaning pipelines, viewing process/error logs, and managing other user account levels.</w:t>
      </w:r>
    </w:p>
    <w:p>
      <w:pPr>
        <w:pStyle w:val="ListBullet"/>
        <w:spacing w:after="80"/>
      </w:pPr>
      <w:r>
        <w:rPr>
          <w:b/>
        </w:rPr>
        <w:t xml:space="preserve">Sales Manager: </w:t>
      </w:r>
      <w:r>
        <w:t>Read-only access to all dashboard visualizations and report screens. Granted authorization to download raw or filtered data, export standard Excel reports, and print report dashboards.</w:t>
      </w:r>
    </w:p>
    <w:p>
      <w:pPr>
        <w:pStyle w:val="ListBullet"/>
        <w:spacing w:after="240"/>
      </w:pPr>
      <w:r>
        <w:rPr>
          <w:b/>
        </w:rPr>
        <w:t xml:space="preserve">Sales Agent: </w:t>
      </w:r>
      <w:r>
        <w:t>Standard read access to the Data Listing Page. Can perform search queries on individual VINs and view historical prices, but has no access to aggregation dashboards or export functions.</w:t>
      </w:r>
    </w:p>
    <w:p>
      <w:pPr>
        <w:keepNext/>
        <w:spacing w:before="240" w:after="120"/>
      </w:pPr>
      <w:r>
        <w:rPr>
          <w:rFonts w:ascii="Segoe UI" w:hAnsi="Segoe UI"/>
          <w:b/>
          <w:color w:val="1F4E78"/>
          <w:sz w:val="32"/>
        </w:rPr>
        <w:t>5. Functional Requirements</w:t>
      </w:r>
    </w:p>
    <w:p>
      <w:pPr>
        <w:spacing w:after="160"/>
      </w:pPr>
      <w:r>
        <w:t>The system is built to satisfy the following business and technical rules:</w:t>
      </w:r>
    </w:p>
    <w:p>
      <w:pPr>
        <w:pStyle w:val="ListBullet"/>
        <w:spacing w:after="80"/>
      </w:pPr>
      <w:r>
        <w:rPr>
          <w:b/>
        </w:rPr>
        <w:t xml:space="preserve">FR1: Data Scrubbing &amp; Validation. </w:t>
      </w:r>
      <w:r>
        <w:t>All raw records with missing values, placeholders ('—', 'null', 'nan'), or out-of-bounds metrics must be skipped.</w:t>
      </w:r>
    </w:p>
    <w:p>
      <w:pPr>
        <w:pStyle w:val="ListBullet"/>
        <w:spacing w:after="80"/>
      </w:pPr>
      <w:r>
        <w:rPr>
          <w:b/>
        </w:rPr>
        <w:t xml:space="preserve">FR2: Chronological Ordering. </w:t>
      </w:r>
      <w:r>
        <w:t>Data must be sorted ascending by sale date (saledate) during CSV import to ensure chronological consistency.</w:t>
      </w:r>
    </w:p>
    <w:p>
      <w:pPr>
        <w:pStyle w:val="ListBullet"/>
        <w:spacing w:after="80"/>
      </w:pPr>
      <w:r>
        <w:rPr>
          <w:b/>
        </w:rPr>
        <w:t xml:space="preserve">FR3: Ingestion Capping. </w:t>
      </w:r>
      <w:r>
        <w:t>The database pipeline must load exactly 500 verified records for this iteration, truncating any previous values.</w:t>
      </w:r>
    </w:p>
    <w:p>
      <w:pPr>
        <w:pStyle w:val="ListBullet"/>
        <w:spacing w:after="80"/>
      </w:pPr>
      <w:r>
        <w:rPr>
          <w:b/>
        </w:rPr>
        <w:t xml:space="preserve">FR4: High-Performance Indexes. </w:t>
      </w:r>
      <w:r>
        <w:t>The database table must maintain an index on the VIN column to support instant search responses.</w:t>
      </w:r>
    </w:p>
    <w:p>
      <w:pPr>
        <w:pStyle w:val="ListBullet"/>
        <w:spacing w:after="240"/>
      </w:pPr>
      <w:r>
        <w:rPr>
          <w:b/>
        </w:rPr>
        <w:t xml:space="preserve">FR5: Automated Analytics. </w:t>
      </w:r>
      <w:r>
        <w:t>The system must dynamically aggregate and generate brand sales summaries, average brand pricing, model sales counts, and monthly trends.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