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A329BA" w:rsidRDefault="00A329BA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1449ECA5" w:rsidR="00A329BA" w:rsidRPr="00D74DF2" w:rsidRDefault="00A329BA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описания текста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A329BA" w:rsidRDefault="00A329BA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1449ECA5" w:rsidR="00A329BA" w:rsidRPr="00D74DF2" w:rsidRDefault="00A329BA">
                          <w:pPr>
                            <w:pStyle w:val="15"/>
                          </w:pPr>
                          <w:r>
                            <w:t xml:space="preserve">Инструкция по составлению описания текста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A329BA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A329BA" w:rsidRDefault="00A329BA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A329BA" w:rsidRDefault="00A329BA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A329BA" w:rsidRDefault="00A329BA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A329BA" w:rsidRDefault="00A329BA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A329BA" w:rsidRDefault="007E441F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9BA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A329BA" w:rsidRDefault="00A329BA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A329BA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A329BA" w:rsidRDefault="00A329BA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A329BA" w:rsidRDefault="00A329BA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A329BA" w:rsidRDefault="00A329BA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A329BA" w:rsidRDefault="00A329BA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A329BA" w:rsidRDefault="007E441F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9BA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A329BA" w:rsidRDefault="00A329BA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bookmarkStart w:id="0" w:name="_GoBack"/>
        <w:bookmarkEnd w:id="0"/>
        <w:p w14:paraId="23F6317B" w14:textId="7B4A8508" w:rsidR="00B0573A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9809948" w:history="1">
            <w:r w:rsidR="00B0573A" w:rsidRPr="00096E63">
              <w:rPr>
                <w:rStyle w:val="af1"/>
                <w:noProof/>
              </w:rPr>
              <w:t>Пояснительная записка</w:t>
            </w:r>
            <w:r w:rsidR="00B0573A">
              <w:rPr>
                <w:noProof/>
                <w:webHidden/>
              </w:rPr>
              <w:tab/>
            </w:r>
            <w:r w:rsidR="00B0573A">
              <w:rPr>
                <w:noProof/>
                <w:webHidden/>
              </w:rPr>
              <w:fldChar w:fldCharType="begin"/>
            </w:r>
            <w:r w:rsidR="00B0573A">
              <w:rPr>
                <w:noProof/>
                <w:webHidden/>
              </w:rPr>
              <w:instrText xml:space="preserve"> PAGEREF _Toc499809948 \h </w:instrText>
            </w:r>
            <w:r w:rsidR="00B0573A">
              <w:rPr>
                <w:noProof/>
                <w:webHidden/>
              </w:rPr>
            </w:r>
            <w:r w:rsidR="00B0573A">
              <w:rPr>
                <w:noProof/>
                <w:webHidden/>
              </w:rPr>
              <w:fldChar w:fldCharType="separate"/>
            </w:r>
            <w:r w:rsidR="00B0573A">
              <w:rPr>
                <w:noProof/>
                <w:webHidden/>
              </w:rPr>
              <w:t>2</w:t>
            </w:r>
            <w:r w:rsidR="00B0573A">
              <w:rPr>
                <w:noProof/>
                <w:webHidden/>
              </w:rPr>
              <w:fldChar w:fldCharType="end"/>
            </w:r>
          </w:hyperlink>
        </w:p>
        <w:p w14:paraId="36D4F0A9" w14:textId="41EAA1CA" w:rsidR="00B0573A" w:rsidRDefault="00B0573A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9809949" w:history="1">
            <w:r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Структура 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46FB" w14:textId="265FB557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0" w:history="1">
            <w:r w:rsidRPr="00096E63">
              <w:rPr>
                <w:rStyle w:val="af1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DEE0" w14:textId="72DD7801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1" w:history="1">
            <w:r w:rsidRPr="00096E63">
              <w:rPr>
                <w:rStyle w:val="af1"/>
                <w:noProof/>
              </w:rPr>
              <w:t>Малая вечерня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3376" w14:textId="5C9DB328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2" w:history="1">
            <w:r w:rsidRPr="00096E63">
              <w:rPr>
                <w:rStyle w:val="af1"/>
                <w:noProof/>
              </w:rPr>
              <w:t>Вечерня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E18C" w14:textId="6DC4C49E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3" w:history="1">
            <w:r w:rsidRPr="00096E63">
              <w:rPr>
                <w:rStyle w:val="af1"/>
                <w:noProof/>
              </w:rPr>
              <w:t>Повечерие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B418" w14:textId="7888310E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4" w:history="1">
            <w:r w:rsidRPr="00096E63">
              <w:rPr>
                <w:rStyle w:val="af1"/>
                <w:noProof/>
              </w:rPr>
              <w:t>Полунощница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B657" w14:textId="5AD66075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5" w:history="1">
            <w:r w:rsidRPr="00096E63">
              <w:rPr>
                <w:rStyle w:val="af1"/>
                <w:noProof/>
              </w:rPr>
              <w:t>Утреня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F53C" w14:textId="26EB3EF6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6" w:history="1">
            <w:r w:rsidRPr="00096E63">
              <w:rPr>
                <w:rStyle w:val="af1"/>
                <w:noProof/>
              </w:rPr>
              <w:t>6-й час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B92B" w14:textId="365CD192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57" w:history="1">
            <w:r w:rsidRPr="00096E63">
              <w:rPr>
                <w:rStyle w:val="af1"/>
                <w:noProof/>
              </w:rPr>
              <w:t>Литургия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6D33" w14:textId="0B0FE726" w:rsidR="00B0573A" w:rsidRDefault="00B0573A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09958" w:history="1">
            <w:r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Канон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41C6" w14:textId="7A6D6883" w:rsidR="00B0573A" w:rsidRDefault="00B0573A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9809959" w:history="1">
            <w:r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39B2" w14:textId="17CA200B" w:rsidR="00B0573A" w:rsidRDefault="00B0573A">
          <w:pPr>
            <w:pStyle w:val="24"/>
            <w:rPr>
              <w:noProof/>
              <w:color w:val="auto"/>
              <w:szCs w:val="22"/>
            </w:rPr>
          </w:pPr>
          <w:hyperlink w:anchor="_Toc499809960" w:history="1">
            <w:r w:rsidRPr="00096E63">
              <w:rPr>
                <w:rStyle w:val="af1"/>
                <w:noProof/>
              </w:rPr>
              <w:t>Элементы разметки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49AA" w14:textId="4C998E4D" w:rsidR="00B0573A" w:rsidRDefault="00B0573A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09961" w:history="1">
            <w:r w:rsidRPr="00096E6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CHOIR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DD18" w14:textId="05F12DD8" w:rsidR="00B0573A" w:rsidRDefault="00B0573A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9809962" w:history="1">
            <w:r w:rsidRPr="00096E63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A091" w14:textId="0F5DFE6C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1" w:name="_Toc499809948"/>
      <w:r w:rsidRPr="00076CE4">
        <w:lastRenderedPageBreak/>
        <w:t>Пояснительная записка</w:t>
      </w:r>
      <w:bookmarkEnd w:id="1"/>
    </w:p>
    <w:sdt>
      <w:sdtPr>
        <w:id w:val="-1252579605"/>
        <w:placeholder>
          <w:docPart w:val="1A4D451852F84078BBBB6CBC04714EC4"/>
        </w:placeholder>
        <w15:appearance w15:val="hidden"/>
      </w:sdtPr>
      <w:sdtEndPr/>
      <w:sdtContent>
        <w:p w14:paraId="023E5A12" w14:textId="620CB493" w:rsidR="00581098" w:rsidRPr="002420CD" w:rsidRDefault="00AB607D" w:rsidP="002420CD">
          <w:pPr>
            <w:spacing w:after="120"/>
            <w:rPr>
              <w:sz w:val="24"/>
            </w:rPr>
          </w:pPr>
          <w:r w:rsidRPr="002420CD">
            <w:rPr>
              <w:sz w:val="24"/>
            </w:rPr>
            <w:t xml:space="preserve">Ниже представлены правила составления </w:t>
          </w:r>
          <w:r w:rsidR="00A329BA">
            <w:rPr>
              <w:sz w:val="24"/>
            </w:rPr>
            <w:t>структур</w:t>
          </w:r>
          <w:r w:rsidR="00EF34B8">
            <w:rPr>
              <w:sz w:val="24"/>
            </w:rPr>
            <w:t xml:space="preserve"> для богослуже</w:t>
          </w:r>
          <w:r w:rsidR="00BF3CDB">
            <w:rPr>
              <w:sz w:val="24"/>
            </w:rPr>
            <w:t>бных текстов</w:t>
          </w:r>
          <w:r w:rsidR="002420CD" w:rsidRPr="002420CD">
            <w:rPr>
              <w:sz w:val="24"/>
            </w:rPr>
            <w:t xml:space="preserve"> в xml-формате</w:t>
          </w:r>
          <w:r w:rsidR="00581098" w:rsidRPr="002420CD">
            <w:rPr>
              <w:sz w:val="24"/>
            </w:rPr>
            <w:t>.</w:t>
          </w:r>
        </w:p>
        <w:p w14:paraId="7ECF3576" w14:textId="2A070BC6" w:rsidR="00AB607D" w:rsidRDefault="00AB607D" w:rsidP="002420CD">
          <w:pPr>
            <w:spacing w:after="120"/>
            <w:rPr>
              <w:sz w:val="24"/>
            </w:rPr>
          </w:pPr>
          <w:r w:rsidRPr="002420CD">
            <w:rPr>
              <w:sz w:val="24"/>
            </w:rPr>
            <w:t xml:space="preserve">Формат составляется, используя </w:t>
          </w:r>
          <w:r w:rsidRPr="002420CD">
            <w:rPr>
              <w:sz w:val="24"/>
              <w:lang w:val="en-US"/>
            </w:rPr>
            <w:t>xml</w:t>
          </w:r>
          <w:r w:rsidRPr="002420CD">
            <w:rPr>
              <w:sz w:val="24"/>
            </w:rPr>
            <w:t xml:space="preserve">-файл структуры, которая определена в схеме </w:t>
          </w:r>
          <w:r w:rsidR="00BF3CDB">
            <w:rPr>
              <w:sz w:val="24"/>
              <w:lang w:val="en-US"/>
            </w:rPr>
            <w:t>Day</w:t>
          </w:r>
          <w:r w:rsidR="007D213D">
            <w:rPr>
              <w:sz w:val="24"/>
              <w:lang w:val="en-US"/>
            </w:rPr>
            <w:t>S</w:t>
          </w:r>
          <w:r w:rsidRPr="002420CD">
            <w:rPr>
              <w:sz w:val="24"/>
              <w:lang w:val="en-US"/>
            </w:rPr>
            <w:t>chema</w:t>
          </w:r>
          <w:r w:rsidRPr="002420CD">
            <w:rPr>
              <w:sz w:val="24"/>
            </w:rPr>
            <w:t>.</w:t>
          </w:r>
        </w:p>
        <w:p w14:paraId="3316B607" w14:textId="67AD54BF" w:rsidR="002420CD" w:rsidRDefault="002420CD" w:rsidP="002420C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2" w:name="_Toc499809949"/>
          <w:r w:rsidRPr="002420CD"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Структура службы</w:t>
          </w:r>
          <w:bookmarkEnd w:id="2"/>
        </w:p>
        <w:p w14:paraId="4EE50C1F" w14:textId="3921732F" w:rsidR="00DA6130" w:rsidRDefault="00DA6130" w:rsidP="002420C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3" w:name="_Toc499809950"/>
          <w:r>
            <w:rPr>
              <w:color w:val="F24F4F" w:themeColor="accent1"/>
              <w:sz w:val="36"/>
              <w:szCs w:val="36"/>
            </w:rPr>
            <w:t>Ограничения</w:t>
          </w:r>
          <w:bookmarkEnd w:id="3"/>
        </w:p>
        <w:tbl>
          <w:tblPr>
            <w:tblStyle w:val="a9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908"/>
          </w:tblGrid>
          <w:tr w:rsidR="00184BED" w14:paraId="31B58568" w14:textId="77777777" w:rsidTr="00184BED">
            <w:tc>
              <w:tcPr>
                <w:tcW w:w="9628" w:type="dxa"/>
              </w:tcPr>
              <w:p w14:paraId="20F0DC0A" w14:textId="77777777" w:rsidR="00184BED" w:rsidRDefault="00184BED" w:rsidP="00184BED">
                <w:pPr>
                  <w:pStyle w:val="aff9"/>
                  <w:numPr>
                    <w:ilvl w:val="0"/>
                    <w:numId w:val="19"/>
                  </w:numPr>
                  <w:rPr>
                    <w:b/>
                    <w:u w:val="single"/>
                  </w:rPr>
                </w:pPr>
                <w:r w:rsidRPr="00DA6130">
                  <w:rPr>
                    <w:b/>
                    <w:u w:val="single"/>
                  </w:rPr>
                  <w:t>В службе должен быть обязательно набран тропарь праздника или святому. Если его нет в Минее, необходимо взять из общих служб по чину святого.</w:t>
                </w:r>
              </w:p>
              <w:p w14:paraId="098440C5" w14:textId="0397C954" w:rsidR="00B928BC" w:rsidRPr="00184BED" w:rsidRDefault="00B928BC" w:rsidP="00184BED">
                <w:pPr>
                  <w:pStyle w:val="aff9"/>
                  <w:numPr>
                    <w:ilvl w:val="0"/>
                    <w:numId w:val="19"/>
                  </w:numPr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t>Стихиры на стиховне пишутся всегда со стихами.</w:t>
                </w:r>
              </w:p>
            </w:tc>
          </w:tr>
        </w:tbl>
        <w:p w14:paraId="3697038A" w14:textId="4A3ADAB4" w:rsidR="00F04911" w:rsidRDefault="00F04911" w:rsidP="002420C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4" w:name="_Toc499809951"/>
          <w:r>
            <w:rPr>
              <w:color w:val="F24F4F" w:themeColor="accent1"/>
              <w:sz w:val="36"/>
              <w:szCs w:val="36"/>
            </w:rPr>
            <w:t>Малая вечерня</w:t>
          </w:r>
          <w:bookmarkEnd w:id="4"/>
        </w:p>
        <w:p w14:paraId="1CE51FFB" w14:textId="77777777" w:rsidR="00BF3CDB" w:rsidRPr="00BF3CDB" w:rsidRDefault="00BF3CDB" w:rsidP="00BF3CDB"/>
        <w:p w14:paraId="0275D353" w14:textId="0A807199" w:rsidR="00F04911" w:rsidRDefault="00F04911" w:rsidP="002420C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5" w:name="_Toc499809952"/>
          <w:r>
            <w:rPr>
              <w:color w:val="F24F4F" w:themeColor="accent1"/>
              <w:sz w:val="36"/>
              <w:szCs w:val="36"/>
            </w:rPr>
            <w:t>Вечерня</w:t>
          </w:r>
          <w:bookmarkEnd w:id="5"/>
        </w:p>
        <w:p w14:paraId="1848824C" w14:textId="28757FC1" w:rsidR="00C745BC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EB2D7B8" w14:textId="2C76B301" w:rsidR="00C745BC" w:rsidRPr="00DE6174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>
            <w:rPr>
              <w:rFonts w:ascii="Arial" w:hAnsi="Arial" w:cs="Arial"/>
              <w:color w:val="0000FF"/>
              <w:highlight w:val="white"/>
            </w:rPr>
            <w:t>&lt;</w:t>
          </w:r>
          <w:r>
            <w:rPr>
              <w:rFonts w:ascii="Arial" w:hAnsi="Arial" w:cs="Arial"/>
              <w:color w:val="800000"/>
              <w:highlight w:val="white"/>
            </w:rPr>
            <w:t>esperinos</w:t>
          </w:r>
          <w:r>
            <w:rPr>
              <w:rFonts w:ascii="Arial" w:hAnsi="Arial" w:cs="Arial"/>
              <w:color w:val="0000FF"/>
              <w:highlight w:val="white"/>
            </w:rPr>
            <w:t>&gt;</w:t>
          </w:r>
        </w:p>
        <w:p w14:paraId="30BB532F" w14:textId="3F6B198F" w:rsidR="00C745BC" w:rsidRPr="00587DAF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  <w:lang w:val="en-US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1D73070C" w14:textId="60BDF30C" w:rsidR="00C745BC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7221EA59" w14:textId="5C6B3486" w:rsidR="00C745BC" w:rsidRDefault="00C745BC" w:rsidP="00C745BC">
          <w:pPr>
            <w:pStyle w:val="aff9"/>
            <w:keepNext/>
            <w:keepLines/>
            <w:numPr>
              <w:ilvl w:val="0"/>
              <w:numId w:val="18"/>
            </w:numPr>
            <w:spacing w:before="120" w:after="120" w:line="240" w:lineRule="auto"/>
            <w:rPr>
              <w:b/>
              <w:bCs/>
              <w:sz w:val="26"/>
              <w:szCs w:val="26"/>
            </w:rPr>
          </w:pPr>
          <w:r w:rsidRPr="00C745BC">
            <w:rPr>
              <w:b/>
              <w:bCs/>
              <w:sz w:val="26"/>
              <w:szCs w:val="26"/>
            </w:rPr>
            <w:t>kekragaria</w:t>
          </w:r>
        </w:p>
        <w:p w14:paraId="17CAD811" w14:textId="79CC05BC" w:rsidR="00C745BC" w:rsidRDefault="00C745BC" w:rsidP="00C745BC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Господи воззвах</w:t>
          </w:r>
        </w:p>
        <w:p w14:paraId="2304FA81" w14:textId="12852126" w:rsidR="00C745BC" w:rsidRPr="00C745BC" w:rsidRDefault="00C745BC" w:rsidP="00C745BC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 xml:space="preserve">Стихиры одного гласа группируются в элемент </w:t>
          </w:r>
          <w:r>
            <w:rPr>
              <w:b/>
              <w:bCs/>
              <w:sz w:val="26"/>
              <w:szCs w:val="26"/>
              <w:lang w:val="en-US"/>
            </w:rPr>
            <w:t>group</w:t>
          </w:r>
        </w:p>
        <w:p w14:paraId="60E20A16" w14:textId="77777777" w:rsidR="00C745BC" w:rsidRPr="00DE6174" w:rsidRDefault="00C745BC" w:rsidP="00C745BC">
          <w:pPr>
            <w:keepNext/>
            <w:keepLines/>
            <w:spacing w:before="120" w:after="120" w:line="240" w:lineRule="auto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4EC2B926" w14:textId="24E7C315" w:rsidR="00BF3CDB" w:rsidRDefault="00BF3CDB" w:rsidP="00BF3CDB">
          <w:pPr>
            <w:pStyle w:val="2"/>
            <w:rPr>
              <w:color w:val="F24F4F" w:themeColor="accent1"/>
              <w:sz w:val="36"/>
              <w:szCs w:val="36"/>
            </w:rPr>
          </w:pPr>
          <w:bookmarkStart w:id="6" w:name="_Toc499809953"/>
          <w:r>
            <w:rPr>
              <w:color w:val="F24F4F" w:themeColor="accent1"/>
              <w:sz w:val="36"/>
              <w:szCs w:val="36"/>
            </w:rPr>
            <w:t>Повечерие</w:t>
          </w:r>
          <w:bookmarkEnd w:id="6"/>
        </w:p>
        <w:p w14:paraId="7C92AB95" w14:textId="2DF790B8" w:rsidR="00F04911" w:rsidRPr="00BF3CDB" w:rsidRDefault="00BF3CDB" w:rsidP="00BF3CDB">
          <w:pPr>
            <w:pStyle w:val="2"/>
            <w:rPr>
              <w:color w:val="F24F4F" w:themeColor="accent1"/>
              <w:sz w:val="36"/>
              <w:szCs w:val="36"/>
            </w:rPr>
          </w:pPr>
          <w:bookmarkStart w:id="7" w:name="_Toc499809954"/>
          <w:r w:rsidRPr="00BF3CDB">
            <w:rPr>
              <w:color w:val="F24F4F" w:themeColor="accent1"/>
              <w:sz w:val="36"/>
              <w:szCs w:val="36"/>
            </w:rPr>
            <w:t>Полунощница</w:t>
          </w:r>
          <w:bookmarkEnd w:id="7"/>
        </w:p>
        <w:p w14:paraId="7F991F2A" w14:textId="18435E6F" w:rsidR="002420CD" w:rsidRDefault="002420CD" w:rsidP="002420C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8" w:name="_Toc499809955"/>
          <w:r w:rsidRPr="002420CD">
            <w:rPr>
              <w:color w:val="F24F4F" w:themeColor="accent1"/>
              <w:sz w:val="36"/>
              <w:szCs w:val="36"/>
            </w:rPr>
            <w:t>Утреня</w:t>
          </w:r>
          <w:bookmarkEnd w:id="8"/>
        </w:p>
        <w:p w14:paraId="1F7E9095" w14:textId="79C9B0CF" w:rsidR="00974F55" w:rsidRDefault="00974F55" w:rsidP="00E0615E">
          <w:r>
            <w:t>Канонов на Утрени может быть от 1 до 3.</w:t>
          </w:r>
        </w:p>
        <w:p w14:paraId="2AAFB530" w14:textId="29CFAF23" w:rsidR="00E0615E" w:rsidRDefault="00E0615E" w:rsidP="00E0615E">
          <w:r>
            <w:t>Катавасии канона для святых со знаком славословия и выше, будут подставляться автоматически согласно периоду года, поэтому они в описании текста богослужения не указываются.</w:t>
          </w:r>
        </w:p>
        <w:p w14:paraId="6B8A88D6" w14:textId="312D1C9E" w:rsidR="00E0615E" w:rsidRPr="00E0615E" w:rsidRDefault="00E0615E" w:rsidP="00E0615E">
          <w:r>
            <w:t>Если святой имеет знак от полиелея и выше, по Уставу полагается чтение канона Пресвятой Богородице и затем уже самому святому. Богородичный канон необходимо явно прописывать в службе святому. Механизма автоматического поиска этого канона не предусматривается.</w:t>
          </w:r>
        </w:p>
        <w:p w14:paraId="31FFC9CD" w14:textId="09F1CD59" w:rsidR="00BF3CDB" w:rsidRDefault="00BF3CDB" w:rsidP="00F04911">
          <w:pPr>
            <w:pStyle w:val="2"/>
            <w:rPr>
              <w:color w:val="F24F4F" w:themeColor="accent1"/>
              <w:sz w:val="36"/>
              <w:szCs w:val="36"/>
            </w:rPr>
          </w:pPr>
          <w:bookmarkStart w:id="9" w:name="_Toc499809956"/>
          <w:r>
            <w:rPr>
              <w:color w:val="F24F4F" w:themeColor="accent1"/>
              <w:sz w:val="36"/>
              <w:szCs w:val="36"/>
            </w:rPr>
            <w:lastRenderedPageBreak/>
            <w:t>6-й час</w:t>
          </w:r>
          <w:bookmarkEnd w:id="9"/>
        </w:p>
        <w:p w14:paraId="6F30C578" w14:textId="77AFE562" w:rsidR="00F04911" w:rsidRPr="00F04911" w:rsidRDefault="00F04911" w:rsidP="00F04911">
          <w:pPr>
            <w:pStyle w:val="2"/>
            <w:rPr>
              <w:color w:val="F24F4F" w:themeColor="accent1"/>
              <w:sz w:val="36"/>
              <w:szCs w:val="36"/>
            </w:rPr>
          </w:pPr>
          <w:bookmarkStart w:id="10" w:name="_Toc499809957"/>
          <w:r w:rsidRPr="00F04911">
            <w:rPr>
              <w:color w:val="F24F4F" w:themeColor="accent1"/>
              <w:sz w:val="36"/>
              <w:szCs w:val="36"/>
            </w:rPr>
            <w:t>Литургия</w:t>
          </w:r>
          <w:bookmarkEnd w:id="10"/>
        </w:p>
        <w:p w14:paraId="621549AE" w14:textId="616BF8A8" w:rsidR="002420CD" w:rsidRDefault="002420CD" w:rsidP="002420CD">
          <w:pPr>
            <w:keepNext/>
            <w:keepLines/>
            <w:spacing w:before="24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1" w:name="_Toc499809958"/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Канон</w:t>
          </w:r>
          <w:bookmarkEnd w:id="11"/>
        </w:p>
        <w:p w14:paraId="062F3DE5" w14:textId="736CBB93" w:rsidR="002420CD" w:rsidRPr="002420CD" w:rsidRDefault="002420CD" w:rsidP="002420CD">
          <w:pPr>
            <w:spacing w:after="120"/>
            <w:rPr>
              <w:sz w:val="24"/>
            </w:rPr>
          </w:pPr>
          <w:r w:rsidRPr="002420CD">
            <w:rPr>
              <w:sz w:val="24"/>
            </w:rPr>
            <w:t>Канон состоит из 9 Песен</w:t>
          </w:r>
        </w:p>
        <w:p w14:paraId="2BFC07BB" w14:textId="4A0386ED" w:rsidR="00AB607D" w:rsidRPr="00AB607D" w:rsidRDefault="00AB607D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12" w:name="_Toc499809959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Элементы</w:t>
          </w:r>
          <w:bookmarkEnd w:id="12"/>
        </w:p>
        <w:p w14:paraId="29AA9967" w14:textId="55EBB97E" w:rsidR="00AB607D" w:rsidRDefault="002B1B87" w:rsidP="00AB607D">
          <w:pPr>
            <w:pStyle w:val="2"/>
            <w:rPr>
              <w:color w:val="F24F4F" w:themeColor="accent1"/>
              <w:sz w:val="36"/>
              <w:szCs w:val="36"/>
            </w:rPr>
          </w:pPr>
          <w:bookmarkStart w:id="13" w:name="_Исполняемые_элементы"/>
          <w:bookmarkStart w:id="14" w:name="_Toc499809960"/>
          <w:bookmarkEnd w:id="13"/>
          <w:r>
            <w:rPr>
              <w:color w:val="F24F4F" w:themeColor="accent1"/>
              <w:sz w:val="36"/>
              <w:szCs w:val="36"/>
            </w:rPr>
            <w:t>Э</w:t>
          </w:r>
          <w:r w:rsidR="00AB607D">
            <w:rPr>
              <w:color w:val="F24F4F" w:themeColor="accent1"/>
              <w:sz w:val="36"/>
              <w:szCs w:val="36"/>
            </w:rPr>
            <w:t>лементы</w:t>
          </w:r>
          <w:r>
            <w:rPr>
              <w:color w:val="F24F4F" w:themeColor="accent1"/>
              <w:sz w:val="36"/>
              <w:szCs w:val="36"/>
            </w:rPr>
            <w:t xml:space="preserve"> разметки</w:t>
          </w:r>
          <w:bookmarkEnd w:id="14"/>
        </w:p>
        <w:p w14:paraId="5FC64DFE" w14:textId="73A1DC40" w:rsidR="002B1B87" w:rsidRPr="00E0615E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bookmarkStart w:id="15" w:name="_Toc499809961"/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  <w:lang w:val="en-US"/>
            </w:rPr>
            <w:t>CHOIR</w:t>
          </w:r>
          <w:bookmarkEnd w:id="15"/>
        </w:p>
        <w:p w14:paraId="55AAFCD0" w14:textId="238B7631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384201DB" w14:textId="533B30E5" w:rsidR="002B1B87" w:rsidRPr="002B1B87" w:rsidRDefault="002B1B87" w:rsidP="002B1B87">
          <w:pPr>
            <w:spacing w:after="120"/>
            <w:ind w:firstLine="360"/>
            <w:rPr>
              <w:sz w:val="24"/>
            </w:rPr>
          </w:pPr>
          <w:r w:rsidRPr="002B1B87">
            <w:rPr>
              <w:sz w:val="24"/>
            </w:rPr>
            <w:t>Элемент разметки для текста, полагающегося для хора</w:t>
          </w:r>
        </w:p>
        <w:p w14:paraId="1BB194DA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06A82825" w14:textId="1B201DBD" w:rsidR="002B1B87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3A218E2A" w14:textId="3457A512" w:rsidR="002B1B87" w:rsidRPr="00E0615E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  <w:lang w:val="en-US"/>
            </w:rPr>
            <w:t>p</w:t>
          </w:r>
        </w:p>
        <w:p w14:paraId="7C18C8B6" w14:textId="77777777" w:rsidR="002B1B87" w:rsidRPr="00DE6174" w:rsidRDefault="002B1B87" w:rsidP="002B1B87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3BF36996" w14:textId="5DD8F3F0" w:rsidR="00DE6174" w:rsidRPr="00DE6174" w:rsidRDefault="002B1B87" w:rsidP="002B1B87">
          <w:pPr>
            <w:keepNext/>
            <w:keepLines/>
            <w:spacing w:before="720" w:after="0"/>
            <w:outlineLvl w:val="2"/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 xml:space="preserve"> </w:t>
          </w:r>
          <w:bookmarkStart w:id="16" w:name="_Toc499809962"/>
          <w:r w:rsidR="00DE6174">
            <w:rPr>
              <w:rFonts w:asciiTheme="majorHAnsi" w:eastAsiaTheme="majorEastAsia" w:hAnsiTheme="majorHAnsi" w:cstheme="majorBidi"/>
              <w:color w:val="940B0B" w:themeColor="accent1" w:themeShade="7F"/>
              <w:sz w:val="24"/>
              <w:szCs w:val="24"/>
            </w:rPr>
            <w:t>__ШАБЛОН ДЛЯ ЗАПОЛНЕНИЯ___</w:t>
          </w:r>
          <w:bookmarkEnd w:id="16"/>
        </w:p>
        <w:p w14:paraId="04266B19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Описание</w:t>
          </w:r>
        </w:p>
        <w:p w14:paraId="50E75C1F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Правила заполнения</w:t>
          </w:r>
        </w:p>
        <w:p w14:paraId="56C5FA63" w14:textId="77777777" w:rsidR="00DE6174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Дочерние элементы</w:t>
          </w:r>
        </w:p>
        <w:p w14:paraId="686CB329" w14:textId="04237BBD" w:rsidR="00AB607D" w:rsidRPr="00DE6174" w:rsidRDefault="00DE6174" w:rsidP="00DE6174">
          <w:pPr>
            <w:keepNext/>
            <w:keepLines/>
            <w:spacing w:before="120" w:after="120" w:line="240" w:lineRule="auto"/>
            <w:ind w:left="360"/>
            <w:rPr>
              <w:b/>
              <w:bCs/>
              <w:sz w:val="26"/>
              <w:szCs w:val="26"/>
            </w:rPr>
          </w:pPr>
          <w:r w:rsidRPr="00DE6174">
            <w:rPr>
              <w:b/>
              <w:bCs/>
              <w:sz w:val="26"/>
              <w:szCs w:val="26"/>
            </w:rPr>
            <w:t>Примеры</w:t>
          </w:r>
        </w:p>
        <w:p w14:paraId="423E0F01" w14:textId="77777777" w:rsidR="005F16C6" w:rsidRPr="00076CE4" w:rsidRDefault="007E441F"/>
      </w:sdtContent>
    </w:sdt>
    <w:p w14:paraId="61D2789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sectPr w:rsidR="00DD7A76" w:rsidSect="002420CD">
      <w:pgSz w:w="11906" w:h="16838" w:code="9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D7F24" w14:textId="77777777" w:rsidR="007E441F" w:rsidRDefault="007E441F">
      <w:pPr>
        <w:spacing w:after="0" w:line="240" w:lineRule="auto"/>
      </w:pPr>
      <w:r>
        <w:separator/>
      </w:r>
    </w:p>
  </w:endnote>
  <w:endnote w:type="continuationSeparator" w:id="0">
    <w:p w14:paraId="3E1C0BFE" w14:textId="77777777" w:rsidR="007E441F" w:rsidRDefault="007E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F6D2C" w14:textId="77777777" w:rsidR="007E441F" w:rsidRDefault="007E441F">
      <w:pPr>
        <w:spacing w:after="0" w:line="240" w:lineRule="auto"/>
      </w:pPr>
      <w:r>
        <w:separator/>
      </w:r>
    </w:p>
  </w:footnote>
  <w:footnote w:type="continuationSeparator" w:id="0">
    <w:p w14:paraId="0FCC6D7C" w14:textId="77777777" w:rsidR="007E441F" w:rsidRDefault="007E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B24A2"/>
    <w:multiLevelType w:val="hybridMultilevel"/>
    <w:tmpl w:val="4DA88D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6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5"/>
  </w:num>
  <w:num w:numId="11">
    <w:abstractNumId w:val="8"/>
  </w:num>
  <w:num w:numId="12">
    <w:abstractNumId w:val="7"/>
  </w:num>
  <w:num w:numId="13">
    <w:abstractNumId w:val="14"/>
  </w:num>
  <w:num w:numId="14">
    <w:abstractNumId w:val="6"/>
  </w:num>
  <w:num w:numId="15">
    <w:abstractNumId w:val="17"/>
  </w:num>
  <w:num w:numId="16">
    <w:abstractNumId w:val="9"/>
  </w:num>
  <w:num w:numId="17">
    <w:abstractNumId w:val="12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669B6"/>
    <w:rsid w:val="00076CE4"/>
    <w:rsid w:val="0008310F"/>
    <w:rsid w:val="00083C77"/>
    <w:rsid w:val="000B35B3"/>
    <w:rsid w:val="000C2B4E"/>
    <w:rsid w:val="000C5DDD"/>
    <w:rsid w:val="000D4630"/>
    <w:rsid w:val="000D5AE5"/>
    <w:rsid w:val="000D5B3B"/>
    <w:rsid w:val="00140B97"/>
    <w:rsid w:val="00157203"/>
    <w:rsid w:val="00184BED"/>
    <w:rsid w:val="00184D72"/>
    <w:rsid w:val="001A1DEC"/>
    <w:rsid w:val="001E6123"/>
    <w:rsid w:val="001F6125"/>
    <w:rsid w:val="001F65FE"/>
    <w:rsid w:val="00222142"/>
    <w:rsid w:val="002420CD"/>
    <w:rsid w:val="00274624"/>
    <w:rsid w:val="002763EF"/>
    <w:rsid w:val="00292AC4"/>
    <w:rsid w:val="002A3658"/>
    <w:rsid w:val="002A66F1"/>
    <w:rsid w:val="002B1B87"/>
    <w:rsid w:val="002B6525"/>
    <w:rsid w:val="00305FD9"/>
    <w:rsid w:val="00347292"/>
    <w:rsid w:val="00354BBC"/>
    <w:rsid w:val="003A734F"/>
    <w:rsid w:val="003E17FF"/>
    <w:rsid w:val="003E37C3"/>
    <w:rsid w:val="003E7268"/>
    <w:rsid w:val="003F160A"/>
    <w:rsid w:val="004059DB"/>
    <w:rsid w:val="0040660F"/>
    <w:rsid w:val="0041687A"/>
    <w:rsid w:val="00435F43"/>
    <w:rsid w:val="004733E0"/>
    <w:rsid w:val="00475B08"/>
    <w:rsid w:val="004B6D78"/>
    <w:rsid w:val="004C2101"/>
    <w:rsid w:val="005072C6"/>
    <w:rsid w:val="00534419"/>
    <w:rsid w:val="005369EB"/>
    <w:rsid w:val="00542442"/>
    <w:rsid w:val="00581098"/>
    <w:rsid w:val="00587DAF"/>
    <w:rsid w:val="005D5ACB"/>
    <w:rsid w:val="005E258C"/>
    <w:rsid w:val="005F16C6"/>
    <w:rsid w:val="005F2C83"/>
    <w:rsid w:val="00636C27"/>
    <w:rsid w:val="006429EC"/>
    <w:rsid w:val="0069482D"/>
    <w:rsid w:val="006A34AA"/>
    <w:rsid w:val="006B01F6"/>
    <w:rsid w:val="0071774D"/>
    <w:rsid w:val="00720620"/>
    <w:rsid w:val="00721F87"/>
    <w:rsid w:val="00736285"/>
    <w:rsid w:val="007803AF"/>
    <w:rsid w:val="00786FEE"/>
    <w:rsid w:val="007A3550"/>
    <w:rsid w:val="007A39C0"/>
    <w:rsid w:val="007D213D"/>
    <w:rsid w:val="007E441F"/>
    <w:rsid w:val="008313F8"/>
    <w:rsid w:val="0084317D"/>
    <w:rsid w:val="008437FA"/>
    <w:rsid w:val="008513A0"/>
    <w:rsid w:val="00874B55"/>
    <w:rsid w:val="008D3C55"/>
    <w:rsid w:val="008F2209"/>
    <w:rsid w:val="00925E00"/>
    <w:rsid w:val="00955B87"/>
    <w:rsid w:val="0095702C"/>
    <w:rsid w:val="0095779F"/>
    <w:rsid w:val="00965333"/>
    <w:rsid w:val="00974F55"/>
    <w:rsid w:val="009A218F"/>
    <w:rsid w:val="009F2FEA"/>
    <w:rsid w:val="009F3755"/>
    <w:rsid w:val="00A329BA"/>
    <w:rsid w:val="00A40865"/>
    <w:rsid w:val="00A662EA"/>
    <w:rsid w:val="00AB607D"/>
    <w:rsid w:val="00AE7CE9"/>
    <w:rsid w:val="00B0573A"/>
    <w:rsid w:val="00B928BC"/>
    <w:rsid w:val="00BA7709"/>
    <w:rsid w:val="00BF3CDB"/>
    <w:rsid w:val="00C04099"/>
    <w:rsid w:val="00C745BC"/>
    <w:rsid w:val="00C7679B"/>
    <w:rsid w:val="00D45B4D"/>
    <w:rsid w:val="00D5114E"/>
    <w:rsid w:val="00D564C7"/>
    <w:rsid w:val="00D568AD"/>
    <w:rsid w:val="00D74DF2"/>
    <w:rsid w:val="00D97244"/>
    <w:rsid w:val="00D97A51"/>
    <w:rsid w:val="00DA2E2C"/>
    <w:rsid w:val="00DA5D01"/>
    <w:rsid w:val="00DA6130"/>
    <w:rsid w:val="00DC7549"/>
    <w:rsid w:val="00DD7A76"/>
    <w:rsid w:val="00DE2960"/>
    <w:rsid w:val="00DE2D21"/>
    <w:rsid w:val="00DE6174"/>
    <w:rsid w:val="00E0615E"/>
    <w:rsid w:val="00E3469D"/>
    <w:rsid w:val="00E3766B"/>
    <w:rsid w:val="00E41CDA"/>
    <w:rsid w:val="00E6527F"/>
    <w:rsid w:val="00E846D8"/>
    <w:rsid w:val="00E9421A"/>
    <w:rsid w:val="00E96065"/>
    <w:rsid w:val="00EF34B8"/>
    <w:rsid w:val="00F04911"/>
    <w:rsid w:val="00F0496E"/>
    <w:rsid w:val="00F10A0D"/>
    <w:rsid w:val="00F5372C"/>
    <w:rsid w:val="00F56EA7"/>
    <w:rsid w:val="00FA42E0"/>
    <w:rsid w:val="00FB3793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5B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073285"/>
    <w:rsid w:val="001250D6"/>
    <w:rsid w:val="001346D0"/>
    <w:rsid w:val="00155D76"/>
    <w:rsid w:val="003D3F50"/>
    <w:rsid w:val="00765997"/>
    <w:rsid w:val="007C3BD8"/>
    <w:rsid w:val="00A443A7"/>
    <w:rsid w:val="00AE4D6F"/>
    <w:rsid w:val="00BE0962"/>
    <w:rsid w:val="00CC36F5"/>
    <w:rsid w:val="00D60339"/>
    <w:rsid w:val="00EF6D95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17350-5B4D-4EAD-BD11-D82EF36F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24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11</cp:revision>
  <dcterms:created xsi:type="dcterms:W3CDTF">2017-07-27T09:47:00Z</dcterms:created>
  <dcterms:modified xsi:type="dcterms:W3CDTF">2017-11-30T09:57:00Z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