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A17B7">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Организация Навоийского областного государственного архива и классификация фондов</w:t>
      </w:r>
    </w:p>
    <w:p w14:paraId="4E87FADE">
      <w:pPr>
        <w:spacing w:line="360" w:lineRule="auto"/>
        <w:jc w:val="right"/>
        <w:rPr>
          <w:rFonts w:hint="default" w:ascii="Times New Roman" w:hAnsi="Times New Roman"/>
          <w:b w:val="0"/>
          <w:bCs w:val="0"/>
          <w:i/>
          <w:iCs/>
          <w:sz w:val="28"/>
          <w:szCs w:val="28"/>
        </w:rPr>
      </w:pPr>
      <w:r>
        <w:rPr>
          <w:rFonts w:hint="default" w:ascii="Times New Roman" w:hAnsi="Times New Roman"/>
          <w:b w:val="0"/>
          <w:bCs w:val="0"/>
          <w:i/>
          <w:iCs/>
          <w:sz w:val="28"/>
          <w:szCs w:val="28"/>
        </w:rPr>
        <w:t>Искандарова Шохсанам Исоевна</w:t>
      </w:r>
    </w:p>
    <w:p w14:paraId="553CEC7D">
      <w:pPr>
        <w:spacing w:line="360" w:lineRule="auto"/>
        <w:jc w:val="right"/>
        <w:rPr>
          <w:rFonts w:hint="default" w:ascii="Times New Roman" w:hAnsi="Times New Roman"/>
          <w:b w:val="0"/>
          <w:bCs w:val="0"/>
          <w:i/>
          <w:iCs/>
          <w:sz w:val="28"/>
          <w:szCs w:val="28"/>
        </w:rPr>
      </w:pPr>
      <w:r>
        <w:rPr>
          <w:rFonts w:hint="default" w:ascii="Times New Roman" w:hAnsi="Times New Roman"/>
          <w:b w:val="0"/>
          <w:bCs w:val="0"/>
          <w:i/>
          <w:iCs/>
          <w:sz w:val="28"/>
          <w:szCs w:val="28"/>
        </w:rPr>
        <w:t xml:space="preserve">Преподаватель кафедры </w:t>
      </w:r>
    </w:p>
    <w:p w14:paraId="400253EB">
      <w:pPr>
        <w:spacing w:line="360" w:lineRule="auto"/>
        <w:jc w:val="right"/>
        <w:rPr>
          <w:rFonts w:hint="default" w:ascii="Times New Roman" w:hAnsi="Times New Roman"/>
          <w:b w:val="0"/>
          <w:bCs w:val="0"/>
          <w:i/>
          <w:iCs/>
          <w:sz w:val="28"/>
          <w:szCs w:val="28"/>
        </w:rPr>
      </w:pPr>
      <w:r>
        <w:rPr>
          <w:rFonts w:hint="default" w:ascii="Times New Roman" w:hAnsi="Times New Roman"/>
          <w:b w:val="0"/>
          <w:bCs w:val="0"/>
          <w:i/>
          <w:iCs/>
          <w:sz w:val="28"/>
          <w:szCs w:val="28"/>
        </w:rPr>
        <w:t xml:space="preserve">«Социальные и гуманитарные науки» </w:t>
      </w:r>
    </w:p>
    <w:p w14:paraId="3DB5E90D">
      <w:pPr>
        <w:spacing w:line="360" w:lineRule="auto"/>
        <w:jc w:val="right"/>
        <w:rPr>
          <w:rFonts w:hint="default" w:ascii="Times New Roman" w:hAnsi="Times New Roman"/>
          <w:b w:val="0"/>
          <w:bCs w:val="0"/>
          <w:i/>
          <w:iCs/>
          <w:sz w:val="28"/>
          <w:szCs w:val="28"/>
        </w:rPr>
      </w:pPr>
      <w:r>
        <w:rPr>
          <w:rFonts w:hint="default" w:ascii="Times New Roman" w:hAnsi="Times New Roman"/>
          <w:b w:val="0"/>
          <w:bCs w:val="0"/>
          <w:i/>
          <w:iCs/>
          <w:sz w:val="28"/>
          <w:szCs w:val="28"/>
        </w:rPr>
        <w:t>Университета Востока</w:t>
      </w:r>
    </w:p>
    <w:p w14:paraId="27201CD8">
      <w:pPr>
        <w:wordWrap/>
        <w:spacing w:line="360" w:lineRule="auto"/>
        <w:jc w:val="right"/>
        <w:rPr>
          <w:rFonts w:hint="default" w:ascii="Times New Roman" w:hAnsi="Times New Roman" w:cs="Times New Roman"/>
          <w:b w:val="0"/>
          <w:bCs w:val="0"/>
          <w:i/>
          <w:iCs/>
          <w:sz w:val="28"/>
          <w:szCs w:val="28"/>
          <w:lang w:val="en-US"/>
        </w:rPr>
      </w:pPr>
      <w:r>
        <w:rPr>
          <w:rFonts w:hint="default" w:ascii="Times New Roman" w:hAnsi="Times New Roman" w:cs="Times New Roman"/>
          <w:b w:val="0"/>
          <w:bCs w:val="0"/>
          <w:i/>
          <w:iCs/>
          <w:sz w:val="28"/>
          <w:szCs w:val="28"/>
          <w:lang w:val="en-US"/>
        </w:rPr>
        <w:t>ORCID:</w:t>
      </w:r>
      <w:r>
        <w:rPr>
          <w:rFonts w:hint="default" w:ascii="Times New Roman" w:hAnsi="Times New Roman"/>
          <w:b w:val="0"/>
          <w:bCs w:val="0"/>
          <w:i/>
          <w:iCs/>
          <w:sz w:val="28"/>
          <w:szCs w:val="28"/>
          <w:lang w:val="en-US"/>
        </w:rPr>
        <w:t>0009-0004-6030-5268</w:t>
      </w:r>
    </w:p>
    <w:p w14:paraId="277C70B2">
      <w:pPr>
        <w:wordWrap/>
        <w:spacing w:line="360" w:lineRule="auto"/>
        <w:jc w:val="right"/>
        <w:rPr>
          <w:rFonts w:hint="default" w:ascii="Times New Roman" w:hAnsi="Times New Roman" w:cs="Times New Roman"/>
          <w:b w:val="0"/>
          <w:bCs w:val="0"/>
          <w:i/>
          <w:iCs/>
          <w:sz w:val="28"/>
          <w:szCs w:val="28"/>
          <w:lang w:val="en-US"/>
        </w:rPr>
      </w:pPr>
      <w:r>
        <w:rPr>
          <w:rFonts w:hint="default" w:ascii="Times New Roman" w:hAnsi="Times New Roman" w:cs="Times New Roman"/>
          <w:b w:val="0"/>
          <w:bCs w:val="0"/>
          <w:i/>
          <w:iCs/>
          <w:sz w:val="28"/>
          <w:szCs w:val="28"/>
          <w:lang w:val="en-US"/>
        </w:rPr>
        <w:fldChar w:fldCharType="begin"/>
      </w:r>
      <w:r>
        <w:rPr>
          <w:rFonts w:hint="default" w:ascii="Times New Roman" w:hAnsi="Times New Roman" w:cs="Times New Roman"/>
          <w:b w:val="0"/>
          <w:bCs w:val="0"/>
          <w:i/>
          <w:iCs/>
          <w:sz w:val="28"/>
          <w:szCs w:val="28"/>
          <w:lang w:val="en-US"/>
        </w:rPr>
        <w:instrText xml:space="preserve"> HYPERLINK "mailto:shohsanamiskandarova@mail.com" </w:instrText>
      </w:r>
      <w:r>
        <w:rPr>
          <w:rFonts w:hint="default" w:ascii="Times New Roman" w:hAnsi="Times New Roman" w:cs="Times New Roman"/>
          <w:b w:val="0"/>
          <w:bCs w:val="0"/>
          <w:i/>
          <w:iCs/>
          <w:sz w:val="28"/>
          <w:szCs w:val="28"/>
          <w:lang w:val="en-US"/>
        </w:rPr>
        <w:fldChar w:fldCharType="separate"/>
      </w:r>
      <w:r>
        <w:rPr>
          <w:rStyle w:val="51"/>
          <w:rFonts w:hint="default" w:ascii="Times New Roman" w:hAnsi="Times New Roman" w:cs="Times New Roman"/>
          <w:b w:val="0"/>
          <w:bCs w:val="0"/>
          <w:i/>
          <w:iCs/>
          <w:sz w:val="28"/>
          <w:szCs w:val="28"/>
          <w:lang w:val="en-US"/>
        </w:rPr>
        <w:t>shohsanamiskandarova@mail.com</w:t>
      </w:r>
      <w:r>
        <w:rPr>
          <w:rFonts w:hint="default" w:ascii="Times New Roman" w:hAnsi="Times New Roman" w:cs="Times New Roman"/>
          <w:b w:val="0"/>
          <w:bCs w:val="0"/>
          <w:i/>
          <w:iCs/>
          <w:sz w:val="28"/>
          <w:szCs w:val="28"/>
          <w:lang w:val="en-US"/>
        </w:rPr>
        <w:fldChar w:fldCharType="end"/>
      </w:r>
    </w:p>
    <w:p w14:paraId="78DF1458">
      <w:pPr>
        <w:spacing w:line="360" w:lineRule="auto"/>
        <w:ind w:firstLine="720" w:firstLineChars="0"/>
        <w:jc w:val="both"/>
        <w:rPr>
          <w:rFonts w:hint="default" w:ascii="Times New Roman" w:hAnsi="Times New Roman"/>
          <w:b w:val="0"/>
          <w:bCs w:val="0"/>
          <w:sz w:val="28"/>
          <w:szCs w:val="28"/>
        </w:rPr>
      </w:pPr>
      <w:r>
        <w:rPr>
          <w:rFonts w:hint="default" w:ascii="Times New Roman" w:hAnsi="Times New Roman"/>
          <w:b/>
          <w:bCs/>
          <w:sz w:val="28"/>
          <w:szCs w:val="28"/>
        </w:rPr>
        <w:t xml:space="preserve">Аннотация. </w:t>
      </w:r>
      <w:r>
        <w:rPr>
          <w:rFonts w:hint="default" w:ascii="Times New Roman" w:hAnsi="Times New Roman"/>
          <w:b w:val="0"/>
          <w:bCs w:val="0"/>
          <w:sz w:val="28"/>
          <w:szCs w:val="28"/>
        </w:rPr>
        <w:t>В данной статье представлена ​​подробная информация об организации архивной работы и создании архивной деятельности в Навоийской области, каждый факт анализируется на основе архивных данных. Указаны проблемы, возникшие до создания архивной деятельности, и способы их решения. Особое внимание уделяется вопросу целостности фондов. Рассмотрены вопросы концентрации и перерегистрации архивных документов в фондах и их влияние на архивную деятельность. Анализируется место Навоийского архива в истории архивной работы в Узбекистане.</w:t>
      </w:r>
    </w:p>
    <w:p w14:paraId="545FEB00">
      <w:pPr>
        <w:spacing w:line="360" w:lineRule="auto"/>
        <w:ind w:firstLine="720" w:firstLineChars="0"/>
        <w:jc w:val="both"/>
        <w:rPr>
          <w:rFonts w:hint="default" w:ascii="Times New Roman" w:hAnsi="Times New Roman"/>
          <w:b w:val="0"/>
          <w:bCs w:val="0"/>
          <w:sz w:val="28"/>
          <w:szCs w:val="28"/>
        </w:rPr>
      </w:pPr>
      <w:r>
        <w:rPr>
          <w:rFonts w:hint="default" w:ascii="Times New Roman" w:hAnsi="Times New Roman"/>
          <w:b/>
          <w:bCs/>
          <w:sz w:val="28"/>
          <w:szCs w:val="28"/>
        </w:rPr>
        <w:t>Ключевые слова:</w:t>
      </w:r>
      <w:r>
        <w:rPr>
          <w:rFonts w:hint="default" w:ascii="Times New Roman" w:hAnsi="Times New Roman"/>
          <w:b w:val="0"/>
          <w:bCs w:val="0"/>
          <w:sz w:val="28"/>
          <w:szCs w:val="28"/>
        </w:rPr>
        <w:t xml:space="preserve"> Архив, оцифровка, фонд, список, том коллекции, лист, фонд, сортировка документов, архивариус, штатное подразделение.</w:t>
      </w:r>
    </w:p>
    <w:p w14:paraId="4DA159A3">
      <w:pPr>
        <w:spacing w:line="360" w:lineRule="auto"/>
        <w:ind w:firstLine="720" w:firstLineChars="0"/>
        <w:jc w:val="both"/>
        <w:rPr>
          <w:rFonts w:hint="default" w:ascii="Times New Roman" w:hAnsi="Times New Roman"/>
          <w:b w:val="0"/>
          <w:bCs w:val="0"/>
          <w:sz w:val="28"/>
          <w:szCs w:val="28"/>
        </w:rPr>
      </w:pPr>
      <w:r>
        <w:rPr>
          <w:rFonts w:hint="default" w:ascii="Times New Roman" w:hAnsi="Times New Roman"/>
          <w:b/>
          <w:bCs/>
          <w:sz w:val="28"/>
          <w:szCs w:val="28"/>
        </w:rPr>
        <w:t>Abstract.</w:t>
      </w:r>
      <w:r>
        <w:rPr>
          <w:rFonts w:hint="default" w:ascii="Times New Roman" w:hAnsi="Times New Roman"/>
          <w:b w:val="0"/>
          <w:bCs w:val="0"/>
          <w:sz w:val="28"/>
          <w:szCs w:val="28"/>
        </w:rPr>
        <w:t xml:space="preserve"> This article provides detailed information on the organization of archival work and the establishment of archival activities in the Navoi region, analyzing each fact based on archival data. Problems that arose before the establishment of archival activities and solutions are identified.Particular attention is given to the integrity of the collections. The issues of concentration and re-registration of archival documents in collections and their impact on archival activities are examined. The place of the Navoi Archive in the history of archival work in Uzbekistan is analyzed.</w:t>
      </w:r>
    </w:p>
    <w:p w14:paraId="0BAC7C70">
      <w:pPr>
        <w:spacing w:line="360" w:lineRule="auto"/>
        <w:ind w:firstLine="720" w:firstLineChars="0"/>
        <w:jc w:val="both"/>
        <w:rPr>
          <w:rFonts w:hint="default" w:ascii="Times New Roman" w:hAnsi="Times New Roman"/>
          <w:b w:val="0"/>
          <w:bCs w:val="0"/>
          <w:sz w:val="28"/>
          <w:szCs w:val="28"/>
        </w:rPr>
      </w:pPr>
      <w:r>
        <w:rPr>
          <w:rFonts w:hint="default" w:ascii="Times New Roman" w:hAnsi="Times New Roman"/>
          <w:b/>
          <w:bCs/>
          <w:sz w:val="28"/>
          <w:szCs w:val="28"/>
        </w:rPr>
        <w:t>Keywords:</w:t>
      </w:r>
      <w:r>
        <w:rPr>
          <w:rFonts w:hint="default" w:ascii="Times New Roman" w:hAnsi="Times New Roman"/>
          <w:b w:val="0"/>
          <w:bCs w:val="0"/>
          <w:sz w:val="28"/>
          <w:szCs w:val="28"/>
        </w:rPr>
        <w:t xml:space="preserve"> Archive, digitization, collection, list, collection volume, sheet, collection, document sorting, archivist, staff unit.</w:t>
      </w:r>
    </w:p>
    <w:p w14:paraId="6F634F63">
      <w:pPr>
        <w:pStyle w:val="85"/>
        <w:spacing w:before="0" w:beforeAutospacing="0" w:after="0" w:afterAutospacing="0" w:line="360" w:lineRule="auto"/>
        <w:ind w:firstLine="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Annotatsiya.</w:t>
      </w:r>
      <w:r>
        <w:rPr>
          <w:rFonts w:hint="default" w:ascii="Times New Roman" w:hAnsi="Times New Roman" w:cs="Times New Roman"/>
          <w:sz w:val="28"/>
          <w:szCs w:val="28"/>
          <w:lang w:val="en-US"/>
        </w:rPr>
        <w:t xml:space="preserve"> Ushbu maqolada Navoiy viloyatida arxiv ishini tashkil etilishi hamda arxiv faoliyatining yo‘lga qo‘yilishi to‘g‘risida batafsil ma’lumot berilib, har bir fakt arxiv ma’lumotlari asosida tahlil etilgan. Arxiv ishi faoliyati yo‘lga qo‘yilguniga qadar duch kelingan muammolar va ularning bartaraf etilishi ko‘rsatilgan. Fondlashtirish masalasiga alohida ahamiyat berilgan. Arxiv hujjatlari fondlarga jamlanishi va qayta xatlovdan o‘tkazilishi, buning arxiv faoliyatiga ta’siri masalalari yoritilgan. O‘zbekiston arxiv ishi tarixida Navoiy viloyati arxivining o‘rni tahlil etilgan. </w:t>
      </w:r>
    </w:p>
    <w:p w14:paraId="75961593">
      <w:pPr>
        <w:pStyle w:val="85"/>
        <w:spacing w:before="0" w:beforeAutospacing="0" w:after="0" w:afterAutospacing="0" w:line="360" w:lineRule="auto"/>
        <w:ind w:firstLine="720"/>
        <w:jc w:val="both"/>
        <w:rPr>
          <w:rFonts w:hint="default" w:ascii="Times New Roman" w:hAnsi="Times New Roman"/>
          <w:b w:val="0"/>
          <w:bCs w:val="0"/>
          <w:sz w:val="28"/>
          <w:szCs w:val="28"/>
        </w:rPr>
      </w:pPr>
      <w:r>
        <w:rPr>
          <w:rFonts w:hint="default" w:ascii="Times New Roman" w:hAnsi="Times New Roman" w:cs="Times New Roman"/>
          <w:b/>
          <w:bCs/>
          <w:sz w:val="28"/>
          <w:szCs w:val="28"/>
          <w:lang w:val="en-US"/>
        </w:rPr>
        <w:t>Kalit so‘zlar.</w:t>
      </w:r>
      <w:r>
        <w:rPr>
          <w:rFonts w:hint="default" w:ascii="Times New Roman" w:hAnsi="Times New Roman" w:cs="Times New Roman"/>
          <w:sz w:val="28"/>
          <w:szCs w:val="28"/>
          <w:lang w:val="en-US"/>
        </w:rPr>
        <w:t xml:space="preserve"> Arxiv, raqamlashtirish, fond, ro‘yxat, yig‘ma jild, varaq, fondlashtirish, hujjat saralash, arxivchi, shtat birligi.</w:t>
      </w:r>
    </w:p>
    <w:p w14:paraId="1A47E0C7">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b/>
          <w:bCs/>
          <w:sz w:val="28"/>
          <w:szCs w:val="28"/>
        </w:rPr>
        <w:t>Введение</w:t>
      </w:r>
      <w:r>
        <w:rPr>
          <w:rFonts w:hint="default" w:ascii="Times New Roman" w:hAnsi="Times New Roman"/>
          <w:b/>
          <w:bCs/>
          <w:sz w:val="28"/>
          <w:szCs w:val="28"/>
          <w:lang w:val="en-US"/>
        </w:rPr>
        <w:t>.</w:t>
      </w:r>
      <w:r>
        <w:rPr>
          <w:rFonts w:hint="default" w:ascii="Times New Roman" w:hAnsi="Times New Roman" w:cs="Times New Roman"/>
          <w:sz w:val="28"/>
          <w:szCs w:val="28"/>
        </w:rPr>
        <w:t>Архивная работа в Республике Узбекистан является важным источником изучения истории государства и общества как неотъемлемая часть национального культурного наследия. Архивные документы служат основным источником свидетельств, освещающих социально-политические, экономические и культурные процессы прошлого. Архивная система Республики Узбекистан — это важный институт, созданный для сохранения истории государства и общества, передачи документального наследия будущим поколениям и обеспечения надежных источников для научных исследований. Поэтому порядок приема, хранения и использования архивных документов в Республике Узбекистан установлен законом</w:t>
      </w:r>
      <w:r>
        <w:rPr>
          <w:rFonts w:hint="default" w:ascii="Times New Roman" w:hAnsi="Times New Roman" w:cs="Times New Roman"/>
          <w:sz w:val="28"/>
          <w:szCs w:val="28"/>
          <w:lang w:val="en-US"/>
        </w:rPr>
        <w:t>[2].</w:t>
      </w:r>
    </w:p>
    <w:p w14:paraId="2D21F3AE">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b/>
          <w:bCs/>
          <w:sz w:val="28"/>
          <w:szCs w:val="28"/>
          <w:lang w:val="en-US"/>
        </w:rPr>
        <w:t>O</w:t>
      </w:r>
      <w:r>
        <w:rPr>
          <w:rFonts w:hint="default" w:ascii="Times New Roman" w:hAnsi="Times New Roman"/>
          <w:b/>
          <w:bCs/>
          <w:sz w:val="28"/>
          <w:szCs w:val="28"/>
        </w:rPr>
        <w:t>бзор литературы</w:t>
      </w:r>
      <w:r>
        <w:rPr>
          <w:rFonts w:hint="default" w:ascii="Times New Roman" w:hAnsi="Times New Roman"/>
          <w:b/>
          <w:bCs/>
          <w:sz w:val="28"/>
          <w:szCs w:val="28"/>
          <w:lang w:val="en-US"/>
        </w:rPr>
        <w:t>.</w:t>
      </w:r>
      <w:r>
        <w:rPr>
          <w:rFonts w:hint="default" w:ascii="Times New Roman" w:hAnsi="Times New Roman"/>
          <w:sz w:val="28"/>
          <w:szCs w:val="28"/>
          <w:lang w:val="en-US"/>
        </w:rPr>
        <w:t xml:space="preserve"> </w:t>
      </w:r>
      <w:r>
        <w:rPr>
          <w:rFonts w:hint="default" w:ascii="Times New Roman" w:hAnsi="Times New Roman" w:cs="Times New Roman"/>
          <w:sz w:val="28"/>
          <w:szCs w:val="28"/>
        </w:rPr>
        <w:t>Навоийская область, расположенная в оазисе Азим-Зарафшон, в Кызылкумской области, месте бесчисленных природных ресурсов, является, так сказать, сокровищницей драгоценных камней</w:t>
      </w:r>
      <w:r>
        <w:rPr>
          <w:rFonts w:hint="default" w:ascii="Times New Roman" w:hAnsi="Times New Roman" w:cs="Times New Roman"/>
          <w:sz w:val="28"/>
          <w:szCs w:val="28"/>
          <w:lang w:val="en-US"/>
        </w:rPr>
        <w:t>[1].</w:t>
      </w:r>
      <w:r>
        <w:rPr>
          <w:rFonts w:hint="default" w:ascii="Times New Roman" w:hAnsi="Times New Roman" w:cs="Times New Roman"/>
          <w:sz w:val="28"/>
          <w:szCs w:val="28"/>
        </w:rPr>
        <w:t xml:space="preserve"> Неотъемлемой частью архивной работы в Узбекистане, частью, имеющей особое значение в формировании истории архивной работы в целом, является история архивной работы в Навоийской области. В этом контексте формирование истории архивной работы также прошло свой уникальный исторический путь. С хронологической точки зрения, историю формирования архивной деятельности в Навоийской области можно разделить на два периода: 1. Архивная работа в советскую эпоху, 2. Архивная работа в годы независимости</w:t>
      </w:r>
      <w:r>
        <w:rPr>
          <w:rFonts w:hint="default" w:ascii="Times New Roman" w:hAnsi="Times New Roman" w:cs="Times New Roman"/>
          <w:sz w:val="28"/>
          <w:szCs w:val="28"/>
          <w:lang w:val="en-US"/>
        </w:rPr>
        <w:t>[3]</w:t>
      </w:r>
      <w:r>
        <w:rPr>
          <w:rFonts w:hint="default" w:ascii="Times New Roman" w:hAnsi="Times New Roman" w:cs="Times New Roman"/>
          <w:sz w:val="28"/>
          <w:szCs w:val="28"/>
        </w:rPr>
        <w:t>.</w:t>
      </w:r>
    </w:p>
    <w:p w14:paraId="722C296A">
      <w:pPr>
        <w:spacing w:line="360" w:lineRule="auto"/>
        <w:ind w:firstLine="720" w:firstLineChars="0"/>
        <w:jc w:val="both"/>
        <w:rPr>
          <w:rFonts w:hint="default" w:ascii="Times New Roman" w:hAnsi="Times New Roman"/>
          <w:sz w:val="28"/>
          <w:szCs w:val="28"/>
        </w:rPr>
      </w:pPr>
      <w:bookmarkStart w:id="0" w:name="_GoBack"/>
      <w:bookmarkEnd w:id="0"/>
      <w:r>
        <w:rPr>
          <w:rFonts w:hint="default" w:ascii="Times New Roman" w:hAnsi="Times New Roman"/>
          <w:b/>
          <w:bCs/>
          <w:sz w:val="28"/>
          <w:szCs w:val="28"/>
        </w:rPr>
        <w:t>Методология исследования</w:t>
      </w:r>
      <w:r>
        <w:rPr>
          <w:rFonts w:hint="default" w:ascii="Times New Roman" w:hAnsi="Times New Roman"/>
          <w:b/>
          <w:bCs/>
          <w:sz w:val="28"/>
          <w:szCs w:val="28"/>
          <w:lang w:val="en-US"/>
        </w:rPr>
        <w:t xml:space="preserve">. </w:t>
      </w:r>
      <w:r>
        <w:rPr>
          <w:rFonts w:hint="default" w:ascii="Times New Roman" w:hAnsi="Times New Roman"/>
          <w:sz w:val="28"/>
          <w:szCs w:val="28"/>
        </w:rPr>
        <w:t>В данной статье представлен сравнительный анализ истории архивной работы в Навоийской области, ее роли в освещении социально-экономической и духовной жизни, а также ее влияния на духовность молодежи, как целостной истории, основанной на принципе преемственности и хронологии.</w:t>
      </w:r>
    </w:p>
    <w:p w14:paraId="3C6069BF">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b/>
          <w:bCs/>
          <w:sz w:val="28"/>
          <w:szCs w:val="28"/>
        </w:rPr>
        <w:t>Анализ и результаты</w:t>
      </w:r>
      <w:r>
        <w:rPr>
          <w:rFonts w:hint="default" w:ascii="Times New Roman" w:hAnsi="Times New Roman"/>
          <w:b/>
          <w:bCs/>
          <w:sz w:val="28"/>
          <w:szCs w:val="28"/>
          <w:lang w:val="en-US"/>
        </w:rPr>
        <w:t>.</w:t>
      </w:r>
      <w:r>
        <w:rPr>
          <w:rFonts w:hint="default" w:ascii="Times New Roman" w:hAnsi="Times New Roman"/>
          <w:sz w:val="28"/>
          <w:szCs w:val="28"/>
          <w:lang w:val="en-US"/>
        </w:rPr>
        <w:t xml:space="preserve"> </w:t>
      </w:r>
      <w:r>
        <w:rPr>
          <w:rFonts w:hint="default" w:ascii="Times New Roman" w:hAnsi="Times New Roman" w:cs="Times New Roman"/>
          <w:sz w:val="28"/>
          <w:szCs w:val="28"/>
        </w:rPr>
        <w:t>Архивные документы считаются первоисточниками по истории советской эпохи в Узбекистане, и в настоящее время в Национальном архиве Узбекистана хранится более 1,2 миллиона архивных документов, относящихся к советской эпохе.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Эти исторические документы служат важным источником для освещения истории Узбекской ССР и имеют большое значение для изучения архивных документов, связанных с политической и социально-экономической историей советского режима, понимания истинной сущности исторических процессов и их объективной оценки</w:t>
      </w:r>
      <w:r>
        <w:rPr>
          <w:rFonts w:hint="default" w:ascii="Times New Roman" w:hAnsi="Times New Roman" w:cs="Times New Roman"/>
          <w:sz w:val="28"/>
          <w:szCs w:val="28"/>
          <w:lang w:val="en-US"/>
        </w:rPr>
        <w:t>[5].</w:t>
      </w:r>
      <w:r>
        <w:rPr>
          <w:rFonts w:hint="default" w:ascii="Times New Roman" w:hAnsi="Times New Roman" w:cs="Times New Roman"/>
          <w:sz w:val="28"/>
          <w:szCs w:val="28"/>
        </w:rPr>
        <w:t xml:space="preserve"> </w:t>
      </w:r>
    </w:p>
    <w:p w14:paraId="75D2CB47">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Навоийской области организация и становление архивной работы в советскую эпоху также следовали уникальным историческим путем. На основании Указа Президиума Верховного Совета Узбекской ССР № 2247-X от 20 апреля 1982 года, Навоийской области и областными организациями были созданы Постановлением Совета Министров Узбекской ССР № 3304 от 1982 года</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Директором Навоийского областного государственного архива была назначена Ольга Александровна Яковлева</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2EB694AB">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15 октября текущего года Исполнительный комитет Навоийского областного совета народных депутатов принял постановление № 249/7 об утверждении Положения «Об областном государственном архиве и его филиалах» и разработал «Положение об областном государственном архиве» в целях развития и совершенствования архивной работы в регионе, обеспечения сохранности документов Государственного фонда СССР, их хранения в областном государственном архиве и его филиалах, а также организации сбора и использования документов</w:t>
      </w:r>
      <w:r>
        <w:rPr>
          <w:rFonts w:hint="default" w:ascii="Times New Roman" w:hAnsi="Times New Roman" w:cs="Times New Roman"/>
          <w:sz w:val="28"/>
          <w:szCs w:val="28"/>
          <w:lang w:val="en-US"/>
        </w:rPr>
        <w:t>[6]</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Кроме того, Навоийскому региональному архивному управлению было поручено обеспечить </w:t>
      </w:r>
      <w:r>
        <w:rPr>
          <w:rFonts w:hint="default" w:ascii="Times New Roman" w:hAnsi="Times New Roman" w:cs="Times New Roman"/>
          <w:sz w:val="28"/>
          <w:szCs w:val="28"/>
          <w:lang w:val="ru-RU"/>
        </w:rPr>
        <w:tab/>
      </w:r>
      <w:r>
        <w:rPr>
          <w:rFonts w:hint="default" w:ascii="Times New Roman" w:hAnsi="Times New Roman" w:cs="Times New Roman"/>
          <w:sz w:val="28"/>
          <w:szCs w:val="28"/>
        </w:rPr>
        <w:t>Навоийское региональное архивное управление всем необходимым оборудованием к декабрю 1982 года, обеспечить методическое руководство архивной деятельностью в филиалах архивного управления, постоянно повышать квалификацию сотрудников архивного управления и с января 1983 года распределить персонал для сотрудников архивного управления в 4 подразделения по филиалам в Кызылтепе, Кониме</w:t>
      </w: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и Хатирчи</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w:t>
      </w:r>
    </w:p>
    <w:p w14:paraId="252D526C">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целях повышения эффективности архивной деятельности и постоянного контроля качества сохранения архивных документов по распоряжению архивного управления Навоийского регионального исполнительного комитета была создана Навоийская региональная государственная архивная методическая комиссия</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Перед Комиссией стояла задача решения научно-методических вопросов, возникающих в процессе подготовки нормативных документов, научно-методических разработок и методических пособий, необходимых для методического обеспечения основных направлений деятельности Архива, содействия повышению качества и исполнения нормативно-правовых документов, научно-методических пособий и методических пособий на всех этапах подготовки, а также предоставления соответствующих рекомендаций</w:t>
      </w:r>
      <w:r>
        <w:rPr>
          <w:rFonts w:hint="default" w:ascii="Times New Roman" w:hAnsi="Times New Roman" w:cs="Times New Roman"/>
          <w:sz w:val="28"/>
          <w:szCs w:val="28"/>
          <w:lang w:val="en-US"/>
        </w:rPr>
        <w:t xml:space="preserve">[6]. </w:t>
      </w:r>
      <w:r>
        <w:rPr>
          <w:rFonts w:hint="default" w:ascii="Times New Roman" w:hAnsi="Times New Roman" w:cs="Times New Roman"/>
          <w:sz w:val="28"/>
          <w:szCs w:val="28"/>
        </w:rPr>
        <w:t>Разработка «Положения о региональном государственном архиве» и создание Комиссии, регулирующей архивную деятельность Навоийской области, послужили основой для возникновения архивной деятельности в Навоийской области. Таким образом, впервые на территории Навоийской области было создано региональное архивное дело.</w:t>
      </w:r>
    </w:p>
    <w:p w14:paraId="44F80C9B">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Постановлением Верховного Совета Президиума Узбекской ССР от 6 сентября 1988 года Навоийская область была объединена с Самаркандской областью, а город Навои был включен в Самаркандскую область. Деятельность Навоийского областного архива. Деятельность архива изменилась в связи с реорганизацией Навоийской и Самаркандской областей Узбекской ССР в соответствии с постановлением Президиума Верховного Совета Узбекской ССР от 6 сентября 1988 года</w:t>
      </w:r>
      <w:r>
        <w:rPr>
          <w:rFonts w:hint="default" w:ascii="Times New Roman" w:hAnsi="Times New Roman" w:cs="Times New Roman"/>
          <w:sz w:val="28"/>
          <w:szCs w:val="28"/>
          <w:lang w:val="en-US"/>
        </w:rPr>
        <w:t>[9].</w:t>
      </w:r>
      <w:r>
        <w:rPr>
          <w:rFonts w:hint="default" w:ascii="Times New Roman" w:hAnsi="Times New Roman" w:cs="Times New Roman"/>
          <w:sz w:val="28"/>
          <w:szCs w:val="28"/>
        </w:rPr>
        <w:t xml:space="preserve"> </w:t>
      </w:r>
    </w:p>
    <w:p w14:paraId="55E3CA3C">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Документы, собранные Навоийским областным архивом в период с 1986 по 1988 год, были включены в фонд «29-й архивный отдел» и также хранятся в Навоийском областном государственном архиве</w:t>
      </w:r>
      <w:r>
        <w:rPr>
          <w:rFonts w:hint="default" w:ascii="Times New Roman" w:hAnsi="Times New Roman" w:cs="Times New Roman"/>
          <w:sz w:val="28"/>
          <w:szCs w:val="28"/>
          <w:lang w:val="en-US"/>
        </w:rPr>
        <w:t>[9].</w:t>
      </w:r>
      <w:r>
        <w:rPr>
          <w:rFonts w:hint="default" w:ascii="Times New Roman" w:hAnsi="Times New Roman" w:cs="Times New Roman"/>
          <w:sz w:val="28"/>
          <w:szCs w:val="28"/>
        </w:rPr>
        <w:t xml:space="preserve"> По распоряжению Навоийского областного архивного отдела от 30 декабря 1988 года был составлен список сотрудников, переведенных в Самаркандский областной архив. Постановлением Совета народных депутатов Самаркандского исполнительного комитета № 41/2 от 13 февраля 1989 года и распоряжением Самаркандского областного архивного отдела № 3-П от 28 февраля 1989 года деятельность Навоийского областного государственного архива была прекращена. 16 мая 1989 года Президиум Верховного Совета Узбекской ССР принял постановление «О частичном переносе границ Самаркандской области». На основании постановления Совета Министров Узбекской ССР № Ф-148 от 19 мая 1989 года приграничные районы Самаркандской области, Нуротского, Хатирчинского и Кызылтепского районов были переданы в состав Бухарской области. Таким образом, город Навои с его приграничными районами был включен в состав Бухарской области.</w:t>
      </w:r>
    </w:p>
    <w:p w14:paraId="5837BAED">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Согласно приказу № 14 от 31 мая 1989 года, сотрудники бывшей Навоийской областной экономической группы, работавшие в бухгалтерии Самаркандского областного архива, были переведены в Бухарский областной архив и работали без заработной платы за счет Навоийского филиала Навоийского областного государственного архива.</w:t>
      </w:r>
    </w:p>
    <w:p w14:paraId="2B5595DE">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По решению Навоийского областного исполнительного комитета № 600/21 от 19 октября 1989 года в Навоии была создана независимая экономическая группа на базе Бухарского филиала, имевшая собственный банковский счет и начавшая получать заработную плату с ноября 1989 года. Таким образом, сотрудникам экономической группы, переведенным из Самаркандской области, была выплачена заработная плата за июль-октябрь 1989 года</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w:t>
      </w:r>
    </w:p>
    <w:p w14:paraId="2A029E6C">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Таким образом, в архивных фондах сформировался перечень работ, представленных на постоянное хранение, планы работ, бухгалтерские расчеты, графики и платежные ведомости, включавшие 47 работ (1982–1991 гг., частично). Документы о кадровом составе архивных работников этого фонда хранились в Навоийском областном архиве с 1982 по март 1989 года, были включены в «29-й фонд» (архивный отдел Навоийско-областного исполнительного комитета) и хранятся в Навоийском областном архиве</w:t>
      </w:r>
      <w:r>
        <w:rPr>
          <w:rFonts w:hint="default" w:ascii="Times New Roman" w:hAnsi="Times New Roman" w:cs="Times New Roman"/>
          <w:sz w:val="28"/>
          <w:szCs w:val="28"/>
          <w:lang w:val="en-US"/>
        </w:rPr>
        <w:t>[10].</w:t>
      </w:r>
      <w:r>
        <w:rPr>
          <w:rFonts w:hint="default" w:ascii="Times New Roman" w:hAnsi="Times New Roman" w:cs="Times New Roman"/>
          <w:sz w:val="28"/>
          <w:szCs w:val="28"/>
        </w:rPr>
        <w:t xml:space="preserve"> </w:t>
      </w:r>
    </w:p>
    <w:p w14:paraId="2A16E4F9">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Формирование и развитие архивной работы в Навоийской области играет важную роль в постколониальной истории Республики Узбекистан. В годы независимости архивная система была радикально реформирована, и начался новый этап хранения документов, научно-технической обработки и их защиты государством.</w:t>
      </w:r>
    </w:p>
    <w:p w14:paraId="627DC8EB">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результате восстановления Навоийской области в 1992 году была реорганизована организационно-правовая база архивного сектора. В соответствии с Постановлением Кабинета Министров при Президенте Республики Узбекистан № 188 от 27 февраля 1992 года «Об организационных мерах, связанных с восстановлением Навоийской области», Постановлением Исполнительного комитета Совета народных депутатов Навоийской области № К-01/3 от 7 января 1993 года был создан Государственный архив Навоийской области</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w:t>
      </w:r>
    </w:p>
    <w:p w14:paraId="13FDE09A">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Согласно этому постановлению, Навоийский областной государственный архив был определен как учреждение, действующее в рамках системы Навоийской областной хокимиият. Архив включал филиалы государственных архивов в городах Навои и Зарафшан, а также в Кызылтепском, Конимехском, Томди, Нуротском и Хатирчинском районах. Это объединило архивную систему в регионе под единым управлением.</w:t>
      </w:r>
    </w:p>
    <w:p w14:paraId="1B953B9F">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31 августа 1993 года постановлением № 7 Экспертной комиссии (КК) архивного отдела Навоийской областной хокимиият была проведена первичная научно-техническая обработка архивных документов. В результате были собраны и переданы в государственное хранилище документы отдела за 1982–1991 годы. Эти документы, состоящие в общей сложности из 47 единиц хранения, представляли собой важные источники, отражающие экономическую и социальную жизнь региона</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2566B62D">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соответствии с порядком обустройства архивных документов в государственных архивах, в Навоийском областном государственном архиве интенсивно проводилась работа по распределению фондов, содержащих документы советской эпохи и периода независимости. Содержание работы заключалось в совершенствовании списков работ, находящихся в постоянном хранении, и создании для них научно-справочного аппарата.</w:t>
      </w:r>
    </w:p>
    <w:p w14:paraId="4A58CC77">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процессе обустройства учитывались такие факторы, как изменения в конституционных основах государства, изменения в административно-территориальном делении, изменения в форме собственности организаций (организаций, управляющих фондами), их ликвидация или реорганизация. По этой причине был выполнен ряд комплексных работ.</w:t>
      </w:r>
    </w:p>
    <w:p w14:paraId="3B0D6A60">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Основная работа по вопросу документального финансирования с 1992 года обусловлена ​​тем, что изменения в государственной независимости не были учтены в работе, проведенной до настоящего времени. В ходе финансирования документы из некоторых фондов были выделены и включены в отдельные фонды за период после 1992 года</w:t>
      </w:r>
      <w:r>
        <w:rPr>
          <w:rFonts w:hint="default" w:ascii="Times New Roman" w:hAnsi="Times New Roman" w:cs="Times New Roman"/>
          <w:sz w:val="28"/>
          <w:szCs w:val="28"/>
          <w:lang w:val="en-US"/>
        </w:rPr>
        <w:t>[11].</w:t>
      </w:r>
      <w:r>
        <w:rPr>
          <w:rFonts w:hint="default" w:ascii="Times New Roman" w:hAnsi="Times New Roman" w:cs="Times New Roman"/>
          <w:sz w:val="28"/>
          <w:szCs w:val="28"/>
        </w:rPr>
        <w:t xml:space="preserve"> </w:t>
      </w:r>
    </w:p>
    <w:p w14:paraId="5744D713">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Анализ состава фондов показывает, что в процессе финансирования, когда организации реорганизовывались (изменение формы собственности: АО, КМЦ, ООО, СП и др.), принцип создания новых фондов не учитывался. В результате, несмотря на реорганизацию организаций, прежние фонды продолжали пополняться, а новые фонды не создавались</w:t>
      </w:r>
      <w:r>
        <w:rPr>
          <w:rFonts w:hint="default" w:ascii="Times New Roman" w:hAnsi="Times New Roman" w:cs="Times New Roman"/>
          <w:sz w:val="28"/>
          <w:szCs w:val="28"/>
          <w:lang w:val="en-US"/>
        </w:rPr>
        <w:t>[10]</w:t>
      </w:r>
      <w:r>
        <w:rPr>
          <w:rFonts w:hint="default" w:ascii="Times New Roman" w:hAnsi="Times New Roman" w:cs="Times New Roman"/>
          <w:sz w:val="28"/>
          <w:szCs w:val="28"/>
        </w:rPr>
        <w:t>.</w:t>
      </w:r>
    </w:p>
    <w:p w14:paraId="77C7DD08">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Кроме того, наряду с улучшением списков планируется идентифицировать и отделить документы, относящиеся к другим фондам, но ошибочно включенные в существующие фонды. В процессе составления и улучшения исторических справок и вводных частей списков было выявлено крайне низкое качество списков фондов, поступающих в Навоийское городское отделение.</w:t>
      </w:r>
    </w:p>
    <w:p w14:paraId="35E2226B">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штатное расписание Навоийского областного государственного архива (по состоянию на 1993 год) входили заведующий, 2 старших архивиста, секретарь, бухгалтер, архивист 1-й категории и архивист 2-й категории. В настоящее время в областном архиве работают 25 сотрудников в 21 подразделении. Это важный фактор, определяющий качество услуг, предоставляемых нашим людям.</w:t>
      </w:r>
    </w:p>
    <w:p w14:paraId="3633323A">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1993 году в архивах Навоийской областной государственной архивы хранилось 55 фондов и 6139 документов, а в настоящее время (по состоянию на 01.01.2020) в архивах находятся 720 фондов, содержащих в общей сложности 83 924 документа, из которых 57 172 — управленческие документы и 26 752 — кадровые документы. С учетом этих проблем, в соответствии с планом развития архивной работы Навоийской областной государственной архивы на 2013 год, были выявлены и исправлены ошибки и недостатки, допущенные к настоящему времени в процессе фондирования. В соответствии с установленным порядком фондирования вновь созданным организациям присваиваются новые фондовые номера, а в названиях фондов советской эпохи сохраняется только новое название организации (в связи с независимостью государства).</w:t>
      </w:r>
    </w:p>
    <w:p w14:paraId="5C8DCB6C">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Архивные фонды периода независимости получили новые номера и были обозначены буквой «М». Колхозные фонды, хранящиеся в архиве, сохранили свои старые номера до преобразования в акционерные общества в 1993 году. Фонды государственных органов и административных учреждений были разделены с 1992 года, то есть документы Советских депутатских советов и документы органов власти были помещены в отдельные фонды. Также была упорядочена нумерация фондов с учетом необходимости уточнения хронологических границ вновь созданных фондов и присвоения им серийных номеров. Документам архивного фонда до 1991 года были присвоены номера П-1, П-4, П-6, П-7, П-8, П-9, П-10</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w:t>
      </w:r>
    </w:p>
    <w:p w14:paraId="19A1DF93">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Документы, созданные в последующий период, продолжали нумероваться в том же порядке: в фонд П-11 — инспекционные документы о качестве и торговле сельскохозяйственной продукцией Навоийской области, в фонд П-13 — региональный союз агропромышленных и кооперативных предприятий и организаций Навоийской области (Облагропромсоюз), в фонд П-14 — документы департамента здравоохранения Навоийской области, в фонд П-15 — документы департамента социального обеспечения Навоийской области</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734F05F7">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До 2010 года Навоийский областной государственный архив не имел собственного административного здания и в этот период функционировал в арендованных помещениях различных организаций. По соответствующему поручению Кабинета Министров Республики Узбекистан и благодаря усилиям агентства «Узархов» при Кабинете Министров впервые в республике было решено построить в Навоийской области специальное здание для государственного архива.</w:t>
      </w:r>
    </w:p>
    <w:p w14:paraId="06F814D9">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Таким образом, в соответствии с распоряжением Кабинета Министров Республики Узбекистан № 08-6-44 от 16 мая 2008 года и соответствующим поручением Навоийской областной губернаторши, а также постановлением Навоийской городской губернаторши № К-1218/07 от 29 июля 2008 года, был выделен земельный участок под строительство архивного здания в 17-м районе города.</w:t>
      </w:r>
    </w:p>
    <w:p w14:paraId="1D23DEB4">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Два года спустя, в октябре 2010 года, произошло историческое событие в сфере республиканской архивной работы — впервые в нашей стране в Навои было построено и введено в эксплуатацию трехэтажное современное архивное здание. В частности, в тот же период была опубликована статья, посвященная переезду регионального архива в новое здание, в которой содержались следующие предложения: «На строительство этого здания из государственного бюджета было выделено 870 миллионов сумов, а в конце прошлого года строительная компания «Голиб Бекзод» запустила образцовый проект. Благодаря неустанному труду квалифицированных строителей и вниманию ответственных организаций, великолепное трехэтажное здание, воздвигнутое сегодня, украшает горизонт Навои»</w:t>
      </w:r>
      <w:r>
        <w:rPr>
          <w:rFonts w:hint="default" w:ascii="Times New Roman" w:hAnsi="Times New Roman" w:cs="Times New Roman"/>
          <w:sz w:val="28"/>
          <w:szCs w:val="28"/>
          <w:lang w:val="en-US"/>
        </w:rPr>
        <w:t>[11]</w:t>
      </w:r>
      <w:r>
        <w:rPr>
          <w:rFonts w:hint="default" w:ascii="Times New Roman" w:hAnsi="Times New Roman" w:cs="Times New Roman"/>
          <w:sz w:val="28"/>
          <w:szCs w:val="28"/>
        </w:rPr>
        <w:t>.</w:t>
      </w:r>
    </w:p>
    <w:p w14:paraId="79C51C7D">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здании создан читальный зал, оборудованный компьютерной техникой. Также оборудованы шесть специальных помещений, приспособленных для надлежащего хранения документов, в соответствии с требуемыми стандартами</w:t>
      </w:r>
      <w:r>
        <w:rPr>
          <w:rFonts w:hint="default" w:ascii="Times New Roman" w:hAnsi="Times New Roman" w:cs="Times New Roman"/>
          <w:sz w:val="28"/>
          <w:szCs w:val="28"/>
          <w:lang w:val="en-US"/>
        </w:rPr>
        <w:t>[7]</w:t>
      </w:r>
      <w:r>
        <w:rPr>
          <w:rFonts w:hint="default" w:ascii="Times New Roman" w:hAnsi="Times New Roman" w:cs="Times New Roman"/>
          <w:sz w:val="28"/>
          <w:szCs w:val="28"/>
        </w:rPr>
        <w:t>.  На первом этаже здания расположены Навоийский региональный архивный отдел, конференц-зал на 70 мест, библиотека, читальный зал на 24 места и помещения для обработки документов. На втором этаже здания находятся комнаты для персонала и 2 хранилища Навоийского регионального государственного архива. На третьем этаже здания расположены 6 хранилищ документов. Все помещения оборудованы современными техническими средствами в соответствии с требованиями времени. Созданы все условия для эффективной работы сотрудников</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3C95B795">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здании создан читальный зал, оборудованный компьютерной техникой. Также оборудованы шесть специальных помещений, приспособленных для надлежащего хранения документов, в соответствии с требуемыми стандартами</w:t>
      </w:r>
      <w:r>
        <w:rPr>
          <w:rFonts w:hint="default" w:ascii="Times New Roman" w:hAnsi="Times New Roman" w:cs="Times New Roman"/>
          <w:sz w:val="28"/>
          <w:szCs w:val="28"/>
          <w:lang w:val="en-US"/>
        </w:rPr>
        <w:t>[7]</w:t>
      </w:r>
      <w:r>
        <w:rPr>
          <w:rFonts w:hint="default" w:ascii="Times New Roman" w:hAnsi="Times New Roman" w:cs="Times New Roman"/>
          <w:sz w:val="28"/>
          <w:szCs w:val="28"/>
        </w:rPr>
        <w:t>.  На первом этаже здания расположены Навоийский региональный архивный отдел, конференц-зал на 70 мест, библиотека, читальный зал на 24 места и помещения для обработки документов. На втором этаже здания находятся комнаты для персонала и 2 хранилища Навоийского регионального государственного архива. На третьем этаже здания расположены 6 хранилищ документов. Все помещения оборудованы современными техническими средствами в соответствии с требованиями времени. Созданы все условия для эффективной работы сотрудников</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5E327657">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Согласно пояснительной записке, подготовленной Навоийским областным государственным архивом 1 января 2011 года, было выявлено, что ряд документов, полученных за 2000-2002 годы, не были заархивированы, а также отсутствовали документы из ряда фондов</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Для устранения этих недостатков Навоийский областной государственный архив издал Приказ № 34 от 1 июля 2011 года и поручил старшему архивариусу Ш. Юлдошевой, старшему хранителю фондов Д. Саидовой, архивариусу 1-й категории З. Зоировой и хранителю фондов Г. Гайбуллаевой устранить существующие недостатки в течение года</w:t>
      </w:r>
      <w:r>
        <w:rPr>
          <w:rFonts w:hint="default" w:ascii="Times New Roman" w:hAnsi="Times New Roman" w:cs="Times New Roman"/>
          <w:sz w:val="28"/>
          <w:szCs w:val="28"/>
          <w:lang w:val="en-US"/>
        </w:rPr>
        <w:t>[6].</w:t>
      </w:r>
      <w:r>
        <w:rPr>
          <w:rFonts w:hint="default" w:ascii="Times New Roman" w:hAnsi="Times New Roman" w:cs="Times New Roman"/>
          <w:sz w:val="28"/>
          <w:szCs w:val="28"/>
        </w:rPr>
        <w:t xml:space="preserve"> </w:t>
      </w:r>
    </w:p>
    <w:p w14:paraId="4FFF73B7">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течение 2015–2017 годов документы в фондах, находящихся на хранении, были разделены на периоды Советского Союза и Независимости и перегруппированы. Документы советского периода обозначались буквами «Ш», а документы периода независимости — буквами «М». Например: Фонд Государственного архива Навоийской области № Ш-30 (1982–1991), Фонд Государственного архива Навоийской области № М-304 (1992–2018)</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w:t>
      </w:r>
    </w:p>
    <w:p w14:paraId="4ADE75AA">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b/>
          <w:bCs/>
          <w:sz w:val="28"/>
          <w:szCs w:val="28"/>
        </w:rPr>
        <w:t>Заключение</w:t>
      </w:r>
      <w:r>
        <w:rPr>
          <w:rFonts w:hint="default" w:ascii="Times New Roman" w:hAnsi="Times New Roman"/>
          <w:b/>
          <w:bCs/>
          <w:sz w:val="28"/>
          <w:szCs w:val="28"/>
          <w:lang w:val="en-US"/>
        </w:rPr>
        <w:t>.</w:t>
      </w:r>
      <w:r>
        <w:rPr>
          <w:rFonts w:hint="default" w:ascii="Times New Roman" w:hAnsi="Times New Roman"/>
          <w:sz w:val="28"/>
          <w:szCs w:val="28"/>
          <w:lang w:val="en-US"/>
        </w:rPr>
        <w:t xml:space="preserve"> </w:t>
      </w:r>
      <w:r>
        <w:rPr>
          <w:rFonts w:hint="default" w:ascii="Times New Roman" w:hAnsi="Times New Roman" w:cs="Times New Roman"/>
          <w:sz w:val="28"/>
          <w:szCs w:val="28"/>
        </w:rPr>
        <w:t>Вкратце, история Навоийского областного государственного архива восходит к советской эпохе, а в годы независимости система была реформирована, развита за счет финансирования документов, научно-технической обработки и создания современного архивного здания. Таким образом, областной архив стал одним из важнейших объектов в регионе, обеспечивающим большое количество документов научно-практического значения, связанных с социально-экономической и политической историей региона, надежные источники для научных исследований и эффективную организацию архивной работы.</w:t>
      </w:r>
    </w:p>
    <w:p w14:paraId="7B1AC84C">
      <w:pPr>
        <w:spacing w:line="360" w:lineRule="auto"/>
        <w:ind w:firstLine="720" w:firstLineChars="0"/>
        <w:jc w:val="center"/>
        <w:rPr>
          <w:rFonts w:hint="default" w:ascii="Times New Roman" w:hAnsi="Times New Roman"/>
          <w:b/>
          <w:bCs/>
          <w:sz w:val="28"/>
          <w:szCs w:val="28"/>
        </w:rPr>
      </w:pPr>
      <w:r>
        <w:rPr>
          <w:rFonts w:hint="default" w:ascii="Times New Roman" w:hAnsi="Times New Roman"/>
          <w:b/>
          <w:bCs/>
          <w:sz w:val="28"/>
          <w:szCs w:val="28"/>
        </w:rPr>
        <w:t>Список литературы</w:t>
      </w:r>
    </w:p>
    <w:p w14:paraId="3F90969A">
      <w:pPr>
        <w:numPr>
          <w:ilvl w:val="0"/>
          <w:numId w:val="11"/>
        </w:num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Мирзиёев Ш. Мы строим наше великое будущее вместе с нашим храбрым и благородным народом. – Т.: «Узбекистон», 2017. – С. 111.</w:t>
      </w:r>
    </w:p>
    <w:p w14:paraId="038C23F1">
      <w:pPr>
        <w:numPr>
          <w:ilvl w:val="0"/>
          <w:numId w:val="11"/>
        </w:num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Закон Республики Узбекистан «Об архивной работе». Дата принятия: 5 апреля 2012 г. — [Электронный источник]: https://lex.uz/uz/docs/1993490</w:t>
      </w:r>
    </w:p>
    <w:p w14:paraId="54868A0A">
      <w:p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2. УзМА, Р-400-фонд, 1-роях, 414-том, 61-лист.</w:t>
      </w:r>
    </w:p>
    <w:p w14:paraId="40D2C6E7">
      <w:p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3. Кучарова Д. Архивы — зеркало истории, важный источник информации, основанный на документальных свидетельствах... https://uza.uz/</w:t>
      </w:r>
    </w:p>
    <w:p w14:paraId="6E7D57FB">
      <w:p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5. Чориев Ш. Социально-экономическая история Узбекистана (1924-1941)/монография в документах УзМА — Ташкент: Книга многотиражного издания. 2024. Б-4.</w:t>
      </w:r>
    </w:p>
    <w:p w14:paraId="6AC1F481">
      <w:p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6. Навоийский областной государственный архив, фонд 30, список 1, том 316, лист 4.</w:t>
      </w:r>
    </w:p>
    <w:p w14:paraId="0608437A">
      <w:pPr>
        <w:spacing w:line="360" w:lineRule="auto"/>
        <w:ind w:firstLine="720" w:firstLineChars="0"/>
        <w:jc w:val="both"/>
        <w:rPr>
          <w:rFonts w:hint="default" w:ascii="Times New Roman" w:hAnsi="Times New Roman"/>
          <w:sz w:val="28"/>
          <w:szCs w:val="28"/>
        </w:rPr>
      </w:pPr>
      <w:r>
        <w:rPr>
          <w:rFonts w:hint="default" w:ascii="Times New Roman" w:hAnsi="Times New Roman"/>
          <w:sz w:val="28"/>
          <w:szCs w:val="28"/>
        </w:rPr>
        <w:t>7. Сабуров Р. Областный государственный архив - в новом здании // «</w:t>
      </w:r>
      <w:r>
        <w:rPr>
          <w:rFonts w:hint="default" w:ascii="Times New Roman" w:hAnsi="Times New Roman"/>
          <w:sz w:val="28"/>
          <w:szCs w:val="28"/>
          <w:lang w:val="en-US"/>
        </w:rPr>
        <w:t>Do‘stlik bayrog‘i</w:t>
      </w:r>
      <w:r>
        <w:rPr>
          <w:rFonts w:hint="default" w:ascii="Times New Roman" w:hAnsi="Times New Roman"/>
          <w:sz w:val="28"/>
          <w:szCs w:val="28"/>
        </w:rPr>
        <w:t>». 11 сентября 2010 г.</w:t>
      </w:r>
    </w:p>
    <w:p w14:paraId="3E2EFCA6">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sz w:val="28"/>
          <w:szCs w:val="28"/>
          <w:lang w:val="en-US"/>
        </w:rPr>
        <w:t>8.</w:t>
      </w:r>
      <w:r>
        <w:rPr>
          <w:rFonts w:hint="default" w:ascii="Times New Roman" w:hAnsi="Times New Roman" w:cs="Times New Roman"/>
          <w:sz w:val="28"/>
          <w:szCs w:val="28"/>
        </w:rPr>
        <w:t>Из текущих фондов Навоийского регионального государственного архива.</w:t>
      </w:r>
    </w:p>
    <w:p w14:paraId="4DAB880F">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9.</w:t>
      </w:r>
      <w:r>
        <w:rPr>
          <w:sz w:val="28"/>
          <w:szCs w:val="28"/>
        </w:rPr>
        <w:t xml:space="preserve"> </w:t>
      </w:r>
      <w:r>
        <w:rPr>
          <w:rFonts w:hint="default" w:ascii="Times New Roman" w:hAnsi="Times New Roman" w:cs="Times New Roman"/>
          <w:sz w:val="28"/>
          <w:szCs w:val="28"/>
        </w:rPr>
        <w:t>Навоийский областной государственный архив, фонд 30, список 1, том 49, лист 2.</w:t>
      </w:r>
    </w:p>
    <w:p w14:paraId="0630713C">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10.</w:t>
      </w:r>
      <w:r>
        <w:rPr>
          <w:rFonts w:hint="default" w:ascii="Times New Roman" w:hAnsi="Times New Roman" w:cs="Times New Roman"/>
          <w:sz w:val="28"/>
          <w:szCs w:val="28"/>
        </w:rPr>
        <w:t>Навоийско-областной государственный архив, фонд 30, список 1, том 49, лист 3.</w:t>
      </w:r>
    </w:p>
    <w:p w14:paraId="7CBE1598">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11.</w:t>
      </w:r>
      <w:r>
        <w:rPr>
          <w:rFonts w:hint="default" w:ascii="Times New Roman" w:hAnsi="Times New Roman" w:cs="Times New Roman"/>
          <w:sz w:val="28"/>
          <w:szCs w:val="28"/>
        </w:rPr>
        <w:t>Навоийский областной государственный архив, фонд 30, список 1, том 161, лист 16</w:t>
      </w:r>
    </w:p>
    <w:p w14:paraId="0170864F">
      <w:pPr>
        <w:spacing w:line="360" w:lineRule="auto"/>
        <w:ind w:firstLine="720" w:firstLineChars="0"/>
        <w:jc w:val="both"/>
        <w:rPr>
          <w:rFonts w:hint="default" w:ascii="Times New Roman" w:hAnsi="Times New Roman"/>
          <w:sz w:val="28"/>
          <w:szCs w:val="28"/>
        </w:rPr>
      </w:pPr>
    </w:p>
    <w:p w14:paraId="4A23AD01">
      <w:pPr>
        <w:spacing w:line="360" w:lineRule="auto"/>
        <w:jc w:val="both"/>
        <w:rPr>
          <w:rFonts w:hint="default" w:ascii="Times New Roman" w:hAnsi="Times New Roman" w:cs="Times New Roman"/>
          <w:sz w:val="28"/>
          <w:szCs w:val="28"/>
        </w:rPr>
      </w:pPr>
    </w:p>
    <w:p w14:paraId="2FF7A18E">
      <w:pPr>
        <w:spacing w:line="360" w:lineRule="auto"/>
        <w:jc w:val="both"/>
        <w:rPr>
          <w:rFonts w:hint="default" w:ascii="Times New Roman" w:hAnsi="Times New Roman" w:cs="Times New Roman"/>
          <w:sz w:val="28"/>
          <w:szCs w:val="28"/>
        </w:rPr>
      </w:pPr>
    </w:p>
    <w:p w14:paraId="6950462C">
      <w:pPr>
        <w:spacing w:line="360" w:lineRule="auto"/>
        <w:jc w:val="both"/>
        <w:rPr>
          <w:rFonts w:hint="default" w:ascii="Times New Roman" w:hAnsi="Times New Roman" w:cs="Times New Roman"/>
          <w:sz w:val="28"/>
          <w:szCs w:val="28"/>
        </w:rPr>
      </w:pPr>
    </w:p>
    <w:p w14:paraId="0B0FE8F2">
      <w:pPr>
        <w:spacing w:line="360" w:lineRule="auto"/>
        <w:jc w:val="both"/>
        <w:rPr>
          <w:rFonts w:hint="default" w:ascii="Times New Roman" w:hAnsi="Times New Roman" w:cs="Times New Roman"/>
          <w:sz w:val="28"/>
          <w:szCs w:val="28"/>
        </w:rPr>
      </w:pPr>
    </w:p>
    <w:p w14:paraId="52C73A70">
      <w:pPr>
        <w:spacing w:line="360" w:lineRule="auto"/>
        <w:jc w:val="both"/>
        <w:rPr>
          <w:rFonts w:hint="default" w:ascii="Times New Roman" w:hAnsi="Times New Roman" w:cs="Times New Roman"/>
          <w:sz w:val="28"/>
          <w:szCs w:val="28"/>
        </w:rPr>
      </w:pPr>
    </w:p>
    <w:p w14:paraId="7DCE997C">
      <w:pPr>
        <w:spacing w:line="360" w:lineRule="auto"/>
        <w:jc w:val="both"/>
        <w:rPr>
          <w:rFonts w:hint="default" w:ascii="Times New Roman" w:hAnsi="Times New Roman" w:cs="Times New Roman"/>
          <w:sz w:val="28"/>
          <w:szCs w:val="28"/>
        </w:rPr>
      </w:pPr>
    </w:p>
    <w:p w14:paraId="6B0CC93E">
      <w:pPr>
        <w:spacing w:line="360" w:lineRule="auto"/>
        <w:jc w:val="both"/>
        <w:rPr>
          <w:rFonts w:hint="default" w:ascii="Times New Roman" w:hAnsi="Times New Roman" w:cs="Times New Roman"/>
          <w:sz w:val="28"/>
          <w:szCs w:val="28"/>
        </w:rPr>
      </w:pPr>
    </w:p>
    <w:p w14:paraId="149C7413">
      <w:pPr>
        <w:spacing w:line="360" w:lineRule="auto"/>
        <w:jc w:val="both"/>
        <w:rPr>
          <w:rFonts w:hint="default" w:ascii="Times New Roman" w:hAnsi="Times New Roman" w:cs="Times New Roman"/>
          <w:sz w:val="28"/>
          <w:szCs w:val="28"/>
        </w:rPr>
      </w:pPr>
    </w:p>
    <w:p w14:paraId="41AE0D6C">
      <w:pPr>
        <w:spacing w:line="360" w:lineRule="auto"/>
        <w:jc w:val="both"/>
        <w:rPr>
          <w:rFonts w:hint="default" w:ascii="Times New Roman" w:hAnsi="Times New Roman" w:cs="Times New Roman"/>
          <w:sz w:val="28"/>
          <w:szCs w:val="28"/>
        </w:rPr>
      </w:pPr>
    </w:p>
    <w:p w14:paraId="73E8143A">
      <w:pPr>
        <w:spacing w:line="360" w:lineRule="auto"/>
        <w:jc w:val="both"/>
        <w:rPr>
          <w:rFonts w:hint="default" w:ascii="Times New Roman" w:hAnsi="Times New Roman" w:cs="Times New Roman"/>
          <w:sz w:val="28"/>
          <w:szCs w:val="28"/>
        </w:rPr>
      </w:pP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9A1AEE"/>
    <w:multiLevelType w:val="singleLevel"/>
    <w:tmpl w:val="FE9A1AEE"/>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80401B"/>
    <w:rsid w:val="09C11246"/>
    <w:rsid w:val="0A80259A"/>
    <w:rsid w:val="103D5475"/>
    <w:rsid w:val="13BF2BD9"/>
    <w:rsid w:val="14BE0D6F"/>
    <w:rsid w:val="1C6A4686"/>
    <w:rsid w:val="1EB67AA4"/>
    <w:rsid w:val="26A47224"/>
    <w:rsid w:val="29192C19"/>
    <w:rsid w:val="2DC6452F"/>
    <w:rsid w:val="358210ED"/>
    <w:rsid w:val="384733A1"/>
    <w:rsid w:val="39F3524C"/>
    <w:rsid w:val="3B4775AC"/>
    <w:rsid w:val="3E482196"/>
    <w:rsid w:val="3EEC52B8"/>
    <w:rsid w:val="3F02126A"/>
    <w:rsid w:val="3F5E3FDE"/>
    <w:rsid w:val="40E37232"/>
    <w:rsid w:val="4486115D"/>
    <w:rsid w:val="4C5A5E33"/>
    <w:rsid w:val="54EA5A59"/>
    <w:rsid w:val="552B0678"/>
    <w:rsid w:val="55E51185"/>
    <w:rsid w:val="59A654EA"/>
    <w:rsid w:val="5CA47999"/>
    <w:rsid w:val="5E7D5A9A"/>
    <w:rsid w:val="5FA344E7"/>
    <w:rsid w:val="65687BCF"/>
    <w:rsid w:val="68430D6E"/>
    <w:rsid w:val="6B375D75"/>
    <w:rsid w:val="713E4EF9"/>
    <w:rsid w:val="71A75C99"/>
    <w:rsid w:val="73831FCE"/>
    <w:rsid w:val="76B656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00" w:beforeAutospacing="1" w:afterAutospacing="0" w:line="360" w:lineRule="auto"/>
    </w:pPr>
    <w:rPr>
      <w:rFonts w:ascii="Calibri" w:hAnsi="Calibri" w:eastAsia="等线" w:cs="Times New Roman"/>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paragraph" w:styleId="10">
    <w:name w:val="heading 9"/>
    <w:basedOn w:val="1"/>
    <w:next w:val="1"/>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00" w:beforeAutospacing="1" w:afterAutospacing="0" w:line="360" w:lineRule="auto"/>
    </w:pPr>
    <w:rPr>
      <w:rFonts w:ascii="Courier New" w:hAnsi="Courier New" w:eastAsia="等线" w:cs="Courier New"/>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12"/>
    <w:qFormat/>
    <w:uiPriority w:val="0"/>
    <w:pPr>
      <w:widowControl w:val="0"/>
      <w:jc w:val="both"/>
    </w:p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12"/>
    <w:qFormat/>
    <w:uiPriority w:val="0"/>
    <w:pPr>
      <w:widowControl w:val="0"/>
      <w:jc w:val="both"/>
    </w:pP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5">
    <w:name w:val="Table Columns 2"/>
    <w:basedOn w:val="12"/>
    <w:qFormat/>
    <w:uiPriority w:val="0"/>
    <w:pPr>
      <w:widowControl w:val="0"/>
      <w:jc w:val="both"/>
    </w:pPr>
    <w:rPr>
      <w:b/>
      <w:bCs/>
    </w:rP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7">
    <w:name w:val="Table Columns 4"/>
    <w:basedOn w:val="12"/>
    <w:qFormat/>
    <w:uiPriority w:val="0"/>
    <w:pPr>
      <w:widowControl w:val="0"/>
      <w:jc w:val="both"/>
    </w:pPr>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34">
    <w:name w:val="Table Subtle 1"/>
    <w:basedOn w:val="12"/>
    <w:qFormat/>
    <w:uiPriority w:val="0"/>
    <w:pPr>
      <w:widowControl w:val="0"/>
      <w:jc w:val="both"/>
    </w:pPr>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Pr/>
    </w:tblStylePr>
    <w:tblStylePr w:type="lastCol">
      <w:rPr>
        <w:b/>
        <w:bCs/>
      </w:rPr>
      <w:tbl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cs="Times New Roman"/>
        <w:b/>
        <w:bCs/>
      </w:rPr>
      <w:tbl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bottom w:val="nil"/>
          <w:right w:val="nil"/>
          <w:insideH w:val="nil"/>
          <w:insideV w:val="nil"/>
          <w:tl2br w:val="nil"/>
          <w:tr2bl w:val="nil"/>
        </w:tcBorders>
      </w:tcPr>
    </w:tblStylePr>
    <w:tblStylePr w:type="lastRow">
      <w:rPr>
        <w:b/>
        <w:bCs/>
        <w:color w:val="1F497D"/>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000000" w:sz="8" w:space="0"/>
          <w:left w:val="single" w:color="000000" w:sz="8" w:space="0"/>
          <w:bottom w:val="nil"/>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bottom w:val="nil"/>
          <w:right w:val="nil"/>
          <w:insideH w:val="nil"/>
          <w:insideV w:val="nil"/>
          <w:tl2br w:val="nil"/>
          <w:tr2bl w:val="nil"/>
        </w:tcBorders>
      </w:tcPr>
    </w:tblStylePr>
    <w:tblStylePr w:type="lastRow">
      <w:rPr>
        <w:b/>
        <w:bCs/>
        <w:color w:val="1F497D"/>
      </w:rPr>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4F81BD" w:sz="8" w:space="0"/>
          <w:left w:val="single" w:color="4F81BD" w:sz="8" w:space="0"/>
          <w:bottom w:val="nil"/>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bottom w:val="nil"/>
          <w:right w:val="nil"/>
          <w:insideH w:val="nil"/>
          <w:insideV w:val="nil"/>
          <w:tl2br w:val="nil"/>
          <w:tr2bl w:val="nil"/>
        </w:tcBorders>
      </w:tcPr>
    </w:tblStylePr>
    <w:tblStylePr w:type="lastRow">
      <w:rPr>
        <w:b/>
        <w:bCs/>
        <w:color w:val="1F497D"/>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C0504D" w:sz="8" w:space="0"/>
          <w:left w:val="single" w:color="C0504D" w:sz="8" w:space="0"/>
          <w:bottom w:val="nil"/>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bottom w:val="nil"/>
          <w:right w:val="nil"/>
          <w:insideH w:val="nil"/>
          <w:insideV w:val="nil"/>
          <w:tl2br w:val="nil"/>
          <w:tr2bl w:val="nil"/>
        </w:tcBorders>
      </w:tcPr>
    </w:tblStylePr>
    <w:tblStylePr w:type="lastRow">
      <w:rPr>
        <w:b/>
        <w:bCs/>
        <w:color w:val="1F497D"/>
      </w:rPr>
      <w:tblPr/>
      <w:tcPr>
        <w:tcBorders>
          <w:top w:val="single" w:color="9BBB59" w:sz="8" w:space="0"/>
          <w:left w:val="single" w:color="9BBB59"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9BBB59" w:sz="8" w:space="0"/>
          <w:left w:val="single" w:color="9BBB59" w:sz="8" w:space="0"/>
          <w:bottom w:val="nil"/>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bottom w:val="nil"/>
          <w:right w:val="nil"/>
          <w:insideH w:val="nil"/>
          <w:insideV w:val="nil"/>
          <w:tl2br w:val="nil"/>
          <w:tr2bl w:val="nil"/>
        </w:tcBorders>
      </w:tcPr>
    </w:tblStylePr>
    <w:tblStylePr w:type="lastRow">
      <w:rPr>
        <w:b/>
        <w:bCs/>
        <w:color w:val="1F497D"/>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8064A2" w:sz="8" w:space="0"/>
          <w:left w:val="single" w:color="8064A2" w:sz="8" w:space="0"/>
          <w:bottom w:val="nil"/>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bottom w:val="nil"/>
          <w:right w:val="nil"/>
          <w:insideH w:val="nil"/>
          <w:insideV w:val="nil"/>
          <w:tl2br w:val="nil"/>
          <w:tr2bl w:val="nil"/>
        </w:tcBorders>
      </w:tcPr>
    </w:tblStylePr>
    <w:tblStylePr w:type="lastRow">
      <w:rPr>
        <w:b/>
        <w:bCs/>
        <w:color w:val="1F497D"/>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4BACC6" w:sz="8" w:space="0"/>
          <w:left w:val="single" w:color="4BACC6" w:sz="8" w:space="0"/>
          <w:bottom w:val="nil"/>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bottom w:val="nil"/>
          <w:right w:val="nil"/>
          <w:insideH w:val="nil"/>
          <w:insideV w:val="nil"/>
          <w:tl2br w:val="nil"/>
          <w:tr2bl w:val="nil"/>
        </w:tcBorders>
      </w:tcPr>
    </w:tblStylePr>
    <w:tblStylePr w:type="lastRow">
      <w:rPr>
        <w:b/>
        <w:bCs/>
        <w:color w:val="1F497D"/>
      </w:rPr>
      <w:tblPr/>
      <w:tcPr>
        <w:tcBorders>
          <w:top w:val="single" w:color="F79646" w:sz="8" w:space="0"/>
          <w:left w:val="single" w:color="F79646" w:sz="8" w:space="0"/>
          <w:bottom w:val="nil"/>
          <w:right w:val="nil"/>
          <w:insideH w:val="nil"/>
          <w:insideV w:val="nil"/>
          <w:tl2br w:val="nil"/>
          <w:tr2bl w:val="nil"/>
        </w:tcBorders>
      </w:tcPr>
    </w:tblStylePr>
    <w:tblStylePr w:type="firstCol">
      <w:rPr>
        <w:b/>
        <w:bCs/>
      </w:rPr>
      <w:tblPr/>
    </w:tblStylePr>
    <w:tblStylePr w:type="lastCol">
      <w:rPr>
        <w:b/>
        <w:bCs/>
      </w:rPr>
      <w:tblPr/>
      <w:tcPr>
        <w:tcBorders>
          <w:top w:val="single" w:color="F79646" w:sz="8" w:space="0"/>
          <w:left w:val="single" w:color="F79646" w:sz="8" w:space="0"/>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l2br w:val="nil"/>
          <w:tr2bl w:val="nil"/>
        </w:tcBorders>
        <w:shd w:val="clear" w:color="auto" w:fill="FFFFFF"/>
      </w:tcPr>
    </w:tblStylePr>
    <w:tblStylePr w:type="lastRow">
      <w:tblPr/>
      <w:tcPr>
        <w:tcBorders>
          <w:top w:val="single" w:color="000000"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000000" w:sz="8" w:space="0"/>
          <w:insideH w:val="nil"/>
          <w:insideV w:val="nil"/>
          <w:tl2br w:val="nil"/>
          <w:tr2bl w:val="nil"/>
        </w:tcBorders>
        <w:shd w:val="clear" w:color="auto" w:fill="FFFFFF"/>
      </w:tcPr>
    </w:tblStylePr>
    <w:tblStylePr w:type="lastCol">
      <w:tblPr/>
      <w:tcPr>
        <w:tcBorders>
          <w:top w:val="nil"/>
          <w:left w:val="nil"/>
          <w:bottom w:val="single" w:color="000000"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nil"/>
          <w:bottom w:val="single" w:color="4F81BD"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nil"/>
          <w:bottom w:val="single" w:color="C0504D"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nil"/>
          <w:bottom w:val="single" w:color="9BBB59"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nil"/>
          <w:bottom w:val="single" w:color="8064A2"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nil"/>
          <w:bottom w:val="single" w:color="4BACC6"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nil"/>
          <w:bottom w:val="single" w:color="F79646"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Pr/>
    </w:tblStylePr>
    <w:tblStylePr w:type="lastRow">
      <w:rPr>
        <w:b/>
        <w:bCs/>
      </w:rPr>
      <w:tblPr/>
      <w:tcPr>
        <w:tcBorders>
          <w:top w:val="single" w:color="404040"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insideV w:val="single" w:sz="6" w:space="0"/>
          <w:tl2br w:val="nil"/>
          <w:tr2bl w:val="nil"/>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221">
    <w:name w:val="Dark List"/>
    <w:basedOn w:val="12"/>
    <w:qFormat/>
    <w:uiPriority w:val="70"/>
    <w:rPr>
      <w:color w:val="FFFFFF"/>
    </w:rPr>
    <w:tblPr/>
    <w:tcPr>
      <w:shd w:val="clear" w:color="auto" w:fill="000000"/>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color="FFFFFF" w:sz="18" w:space="0"/>
          <w:insideH w:val="nil"/>
          <w:insideV w:val="nil"/>
          <w:tl2br w:val="nil"/>
          <w:tr2bl w:val="nil"/>
        </w:tcBorders>
        <w:shd w:val="clear" w:color="auto" w:fill="000000"/>
      </w:tcPr>
    </w:tblStylePr>
    <w:tblStylePr w:type="lastCol">
      <w:tblPr/>
      <w:tcPr>
        <w:tcBorders>
          <w:top w:val="nil"/>
          <w:left w:val="nil"/>
          <w:bottom w:val="single" w:color="FFFFFF" w:sz="18" w:space="0"/>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styleId="222">
    <w:name w:val="Dark List Accent 1"/>
    <w:basedOn w:val="12"/>
    <w:qFormat/>
    <w:uiPriority w:val="70"/>
    <w:rPr>
      <w:color w:val="FFFFFF"/>
    </w:rPr>
    <w:tblPr/>
    <w:tcPr>
      <w:shd w:val="clear" w:color="auto" w:fill="4F81BD"/>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nil"/>
          <w:bottom w:val="single" w:color="FFFFFF" w:sz="18" w:space="0"/>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223">
    <w:name w:val="Dark List Accent 2"/>
    <w:basedOn w:val="12"/>
    <w:qFormat/>
    <w:uiPriority w:val="70"/>
    <w:rPr>
      <w:color w:val="FFFFFF"/>
    </w:rPr>
    <w:tblPr/>
    <w:tcPr>
      <w:shd w:val="clear" w:color="auto" w:fill="C0504D"/>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nil"/>
          <w:bottom w:val="single" w:color="FFFFFF" w:sz="18" w:space="0"/>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224">
    <w:name w:val="Dark List Accent 3"/>
    <w:basedOn w:val="12"/>
    <w:qFormat/>
    <w:uiPriority w:val="70"/>
    <w:rPr>
      <w:color w:val="FFFFFF"/>
    </w:rPr>
    <w:tblPr/>
    <w:tcPr>
      <w:shd w:val="clear" w:color="auto" w:fill="9BBB59"/>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nil"/>
          <w:bottom w:val="single" w:color="FFFFFF" w:sz="18" w:space="0"/>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225">
    <w:name w:val="Dark List Accent 4"/>
    <w:basedOn w:val="12"/>
    <w:qFormat/>
    <w:uiPriority w:val="70"/>
    <w:rPr>
      <w:color w:val="FFFFFF"/>
    </w:rPr>
    <w:tblPr/>
    <w:tcPr>
      <w:shd w:val="clear" w:color="auto" w:fill="8064A2"/>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nil"/>
          <w:bottom w:val="single" w:color="FFFFFF" w:sz="18" w:space="0"/>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226">
    <w:name w:val="Dark List Accent 5"/>
    <w:basedOn w:val="12"/>
    <w:qFormat/>
    <w:uiPriority w:val="70"/>
    <w:rPr>
      <w:color w:val="FFFFFF"/>
    </w:rPr>
    <w:tblPr/>
    <w:tcPr>
      <w:shd w:val="clear" w:color="auto" w:fill="4BACC6"/>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nil"/>
          <w:bottom w:val="single" w:color="FFFFFF" w:sz="18" w:space="0"/>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227">
    <w:name w:val="Dark List Accent 6"/>
    <w:basedOn w:val="12"/>
    <w:qFormat/>
    <w:uiPriority w:val="70"/>
    <w:rPr>
      <w:color w:val="FFFFFF"/>
    </w:rPr>
    <w:tblPr/>
    <w:tcPr>
      <w:shd w:val="clear" w:color="auto" w:fill="F79646"/>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nil"/>
          <w:bottom w:val="single" w:color="FFFFFF" w:sz="18" w:space="0"/>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Pr/>
    </w:tblStylePr>
    <w:tblStylePr w:type="nwCell">
      <w:rPr>
        <w:color w:val="000000"/>
      </w:rPr>
      <w:tbl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Pr/>
    </w:tblStylePr>
    <w:tblStylePr w:type="nwCell">
      <w:rPr>
        <w:color w:val="000000"/>
      </w:rPr>
      <w:tbl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Pr/>
    </w:tblStylePr>
    <w:tblStylePr w:type="nwCell">
      <w:rPr>
        <w:color w:val="000000"/>
      </w:rPr>
      <w:tbl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Pr/>
    </w:tblStylePr>
    <w:tblStylePr w:type="nwCell">
      <w:rPr>
        <w:color w:val="000000"/>
      </w:rPr>
      <w:tbl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Pr/>
    </w:tblStylePr>
    <w:tblStylePr w:type="nwCell">
      <w:rPr>
        <w:color w:val="000000"/>
      </w:rPr>
      <w:tbl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Pr/>
    </w:tblStylePr>
    <w:tblStylePr w:type="nwCell">
      <w:rPr>
        <w:color w:val="000000"/>
      </w:rPr>
      <w:tblPr/>
    </w:tblStylePr>
  </w:style>
  <w:style w:type="table" w:styleId="235">
    <w:name w:val="Colorful List"/>
    <w:basedOn w:val="12"/>
    <w:qFormat/>
    <w:uiPriority w:val="72"/>
    <w:rPr>
      <w:color w:val="000000"/>
    </w:rPr>
    <w:tblPr/>
    <w:tcPr>
      <w:shd w:val="clear" w:color="auto" w:fill="E6E6E6"/>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cPr>
      <w:shd w:val="clear" w:color="auto" w:fill="EDF2F8"/>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cPr>
      <w:shd w:val="clear" w:color="auto" w:fill="F8EDED"/>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cPr>
      <w:shd w:val="clear" w:color="auto" w:fill="F5F8EE"/>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cPr>
      <w:shd w:val="clear" w:color="auto" w:fill="F2EFF6"/>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cPr>
      <w:shd w:val="clear" w:color="auto" w:fill="EDF6F9"/>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cPr>
      <w:shd w:val="clear" w:color="auto" w:fill="FEF4EC"/>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2025-10-31T08:58:00Z</dcterms:created>
  <dc:creator>shohsanam Iskandarova</dc:creator>
  <cp:lastModifiedBy>shohsanam Iskandarova</cp:lastModifiedBy>
  <dcterms:modified xsi:type="dcterms:W3CDTF">2026-01-20T11:13:25Z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80944AC9A85D498FB60BC6991ABEF12A_13</vt:lpwstr>
  </property>
</Properties>
</file>