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14B35" w14:textId="77777777" w:rsidR="00BD2719" w:rsidRDefault="00000000">
      <w:pPr>
        <w:jc w:val="center"/>
      </w:pPr>
      <w:r>
        <w:rPr>
          <w:b/>
          <w:color w:val="1F4E79"/>
          <w:sz w:val="36"/>
        </w:rPr>
        <w:t>Machine Learning–Based Prediction of Customer Churn in the Telecommunications Sector</w:t>
      </w:r>
    </w:p>
    <w:p w14:paraId="0AAF267F" w14:textId="77777777" w:rsidR="00BD2719" w:rsidRDefault="00000000">
      <w:pPr>
        <w:jc w:val="center"/>
      </w:pPr>
      <w:r>
        <w:rPr>
          <w:b/>
          <w:sz w:val="26"/>
        </w:rPr>
        <w:t>A Comparative Study of Tree-Based Models and a Stacking Ensemble</w:t>
      </w:r>
    </w:p>
    <w:p w14:paraId="7C647B5F" w14:textId="262FB2C2" w:rsidR="00BD2719" w:rsidRDefault="00000000">
      <w:pPr>
        <w:jc w:val="center"/>
      </w:pPr>
      <w:r>
        <w:t xml:space="preserve">Author: </w:t>
      </w:r>
      <w:r w:rsidR="006D319F">
        <w:t xml:space="preserve">Dennis </w:t>
      </w:r>
      <w:proofErr w:type="spellStart"/>
      <w:r w:rsidR="006D319F">
        <w:t>Kabiro</w:t>
      </w:r>
      <w:proofErr w:type="spellEnd"/>
    </w:p>
    <w:p w14:paraId="35DDF648" w14:textId="652A9FB7" w:rsidR="00BD2719" w:rsidRDefault="00000000">
      <w:pPr>
        <w:jc w:val="center"/>
      </w:pPr>
      <w:r>
        <w:t>Institution</w:t>
      </w:r>
      <w:r w:rsidR="006D319F">
        <w:t xml:space="preserve"> :GO MY CODE</w:t>
      </w:r>
    </w:p>
    <w:p w14:paraId="1F3DEAEB" w14:textId="2FFC6CD6" w:rsidR="00BD2719" w:rsidRDefault="00000000">
      <w:pPr>
        <w:jc w:val="center"/>
      </w:pPr>
      <w:r>
        <w:t>Course/Department:</w:t>
      </w:r>
      <w:r w:rsidR="006D319F">
        <w:t xml:space="preserve">  DATA SCIENCE</w:t>
      </w:r>
    </w:p>
    <w:p w14:paraId="256A0D25" w14:textId="4F7F8EAA" w:rsidR="00BD2719" w:rsidRDefault="00000000">
      <w:pPr>
        <w:jc w:val="center"/>
      </w:pPr>
      <w:r>
        <w:t>Date:</w:t>
      </w:r>
      <w:r w:rsidR="006D319F">
        <w:t xml:space="preserve"> 24/7/2026</w:t>
      </w:r>
    </w:p>
    <w:p w14:paraId="7086FAC3" w14:textId="77777777" w:rsidR="00BD2719" w:rsidRDefault="00BD2719"/>
    <w:p w14:paraId="054EFF22" w14:textId="77777777" w:rsidR="00BD2719" w:rsidRDefault="00000000">
      <w:pPr>
        <w:jc w:val="center"/>
      </w:pPr>
      <w:r>
        <w:rPr>
          <w:b/>
          <w:color w:val="1F4E79"/>
          <w:sz w:val="26"/>
        </w:rPr>
        <w:t>Abstract</w:t>
      </w:r>
    </w:p>
    <w:p w14:paraId="429E6B3B" w14:textId="77777777" w:rsidR="00BD2719" w:rsidRDefault="00000000">
      <w:pPr>
        <w:jc w:val="both"/>
      </w:pPr>
      <w:r>
        <w:t>Customer churn is a major operational challenge in subscription-based telecommunications because customer loss reduces recurring revenue and increases the cost of replacement acquisition. This study developed and compared supervised machine-learning models for predicting customer churn using a telecommunications customer dataset containing 7,043 records and 21 original variables. The analytical workflow included data-type correction, treatment of missing values, exploratory data analysis, normalization of continuous variables, label encoding of categorical variables, feature selection, class balancing with the Synthetic Minority Over-sampling Technique (SMOTE), and model evaluation. Four base classifiers—Extreme Gradient Boosting, Light Gradient Boosting Machine, Random Forest, and Decision Tree—were compared with a stacking ensemble. The stacking classifier produced the strongest reported test performance, achieving 84% accuracy, 0.81 precision, 0.87 recall, and 0.84 F1-score for the churn class. Extreme Gradient Boosting and LightGBM each achieved 83% accuracy, while Random Forest and Decision Tree achieved 78%. Exploratory findings indicated that short tenure, higher monthly charges, month-to-month contracts, limited support services, and selected billing or payment arrangements were associated with elevated churn. The findings demonstrate the potential value of ensemble learning for prioritizing retention interventions. However, because oversampling was performed before the train–test split and no external validation dataset was used, the reported results should be interpreted as preliminary rather than definitive estimates of real-world generalization.</w:t>
      </w:r>
    </w:p>
    <w:p w14:paraId="528492E5" w14:textId="77777777" w:rsidR="00BD2719" w:rsidRDefault="00000000">
      <w:r>
        <w:rPr>
          <w:b/>
        </w:rPr>
        <w:t xml:space="preserve">Keywords: </w:t>
      </w:r>
      <w:r>
        <w:t>customer churn; telecommunications; machine learning; SMOTE; XGBoost; LightGBM; stacking classifier; predictive analytics</w:t>
      </w:r>
    </w:p>
    <w:p w14:paraId="43043A93" w14:textId="77777777" w:rsidR="00BD2719" w:rsidRDefault="00000000">
      <w:pPr>
        <w:pStyle w:val="Heading1"/>
      </w:pPr>
      <w:r>
        <w:t>1. Introduction</w:t>
      </w:r>
    </w:p>
    <w:p w14:paraId="1447FC03" w14:textId="77777777" w:rsidR="00BD2719" w:rsidRDefault="00000000">
      <w:pPr>
        <w:jc w:val="both"/>
      </w:pPr>
      <w:r>
        <w:t>Telecommunications firms operate in highly competitive markets where customers can change providers with relatively low switching effort. In this setting, customer retention is strategically important because churn reduces recurring revenue, weakens customer lifetime value, and increases pressure on marketing and acquisition budgets. Predictive churn modeling enables an organization to identify customers who are more likely to leave and to target them with timely, evidence-based retention actions.</w:t>
      </w:r>
    </w:p>
    <w:p w14:paraId="289BB411" w14:textId="77777777" w:rsidR="00BD2719" w:rsidRDefault="00000000">
      <w:pPr>
        <w:jc w:val="both"/>
      </w:pPr>
      <w:r>
        <w:t>Traditional churn analysis often relies on descriptive summaries or manually selected business rules. Although these approaches remain useful, they may fail to capture nonlinear interactions among customer demographics, service subscriptions, contract conditions, billing behavior, tenure, and charges. Machine-</w:t>
      </w:r>
      <w:r>
        <w:lastRenderedPageBreak/>
        <w:t>learning classifiers are suitable for this problem because they can learn complex decision boundaries from historical customer records and produce predictions at the individual-customer level.</w:t>
      </w:r>
    </w:p>
    <w:p w14:paraId="7857B3C2" w14:textId="77777777" w:rsidR="00BD2719" w:rsidRDefault="00000000">
      <w:pPr>
        <w:jc w:val="both"/>
      </w:pPr>
      <w:r>
        <w:t>This study uses a telecommunications customer churn notebook to construct a scientific evaluation of several tree-based classification methods. The analysis compares Extreme Gradient Boosting (XGBoost), Light Gradient Boosting Machine (LightGBM), Random Forest, Decision Tree, and a stacking ensemble that combines the four base learners. In addition to comparing predictive performance, the study interprets exploratory patterns that may support practical retention strategies.</w:t>
      </w:r>
    </w:p>
    <w:p w14:paraId="57981389" w14:textId="77777777" w:rsidR="00BD2719" w:rsidRDefault="00000000">
      <w:pPr>
        <w:pStyle w:val="Heading2"/>
      </w:pPr>
      <w:r>
        <w:t>1.1 Research problem</w:t>
      </w:r>
    </w:p>
    <w:p w14:paraId="00324491" w14:textId="77777777" w:rsidR="00BD2719" w:rsidRDefault="00000000">
      <w:pPr>
        <w:jc w:val="both"/>
      </w:pPr>
      <w:r>
        <w:t>The central research problem is the difficulty of identifying, before cancellation occurs, which telecommunications customers are at greatest risk of churn. A useful predictive system must not only achieve acceptable overall accuracy but also correctly identify a high proportion of actual churners. For this reason, churn-class recall and F1-score are treated as particularly important measures alongside accuracy and receiver operating characteristic area under the curve (ROC–AUC).</w:t>
      </w:r>
    </w:p>
    <w:p w14:paraId="237D2154" w14:textId="77777777" w:rsidR="00BD2719" w:rsidRDefault="00000000">
      <w:pPr>
        <w:pStyle w:val="Heading2"/>
      </w:pPr>
      <w:r>
        <w:t>1.2 Research objectives</w:t>
      </w:r>
    </w:p>
    <w:p w14:paraId="12746544" w14:textId="77777777" w:rsidR="00BD2719" w:rsidRDefault="00000000">
      <w:pPr>
        <w:pStyle w:val="ListBullet"/>
        <w:jc w:val="both"/>
      </w:pPr>
      <w:r>
        <w:t>To examine demographic, service, contract, billing, tenure, and charge-related patterns associated with customer churn.</w:t>
      </w:r>
    </w:p>
    <w:p w14:paraId="165DAA16" w14:textId="77777777" w:rsidR="00BD2719" w:rsidRDefault="00000000">
      <w:pPr>
        <w:pStyle w:val="ListBullet"/>
        <w:jc w:val="both"/>
      </w:pPr>
      <w:r>
        <w:t>To preprocess the dataset into a form suitable for supervised machine learning.</w:t>
      </w:r>
    </w:p>
    <w:p w14:paraId="2252D34E" w14:textId="77777777" w:rsidR="00BD2719" w:rsidRDefault="00000000">
      <w:pPr>
        <w:pStyle w:val="ListBullet"/>
        <w:jc w:val="both"/>
      </w:pPr>
      <w:r>
        <w:t>To compare the predictive performance of XGBoost, LightGBM, Random Forest, Decision Tree, and a stacking ensemble.</w:t>
      </w:r>
    </w:p>
    <w:p w14:paraId="5E810B7C" w14:textId="77777777" w:rsidR="00BD2719" w:rsidRDefault="00000000">
      <w:pPr>
        <w:pStyle w:val="ListBullet"/>
        <w:jc w:val="both"/>
      </w:pPr>
      <w:r>
        <w:t>To identify the model with the strongest reported ability to detect customers who churn.</w:t>
      </w:r>
    </w:p>
    <w:p w14:paraId="17A27E13" w14:textId="77777777" w:rsidR="00BD2719" w:rsidRDefault="00000000">
      <w:pPr>
        <w:pStyle w:val="ListBullet"/>
        <w:jc w:val="both"/>
      </w:pPr>
      <w:r>
        <w:t>To translate analytical findings into practical customer-retention recommendations.</w:t>
      </w:r>
    </w:p>
    <w:p w14:paraId="4FCB5334" w14:textId="77777777" w:rsidR="00BD2719" w:rsidRDefault="00000000">
      <w:pPr>
        <w:pStyle w:val="Heading2"/>
      </w:pPr>
      <w:r>
        <w:t>1.3 Research questions</w:t>
      </w:r>
    </w:p>
    <w:p w14:paraId="4643C37D" w14:textId="77777777" w:rsidR="00BD2719" w:rsidRDefault="00000000">
      <w:pPr>
        <w:pStyle w:val="ListBullet"/>
        <w:jc w:val="both"/>
      </w:pPr>
      <w:r>
        <w:t>Which customer and service characteristics are associated with higher churn?</w:t>
      </w:r>
    </w:p>
    <w:p w14:paraId="30AF64D5" w14:textId="77777777" w:rsidR="00BD2719" w:rsidRDefault="00000000">
      <w:pPr>
        <w:pStyle w:val="ListBullet"/>
        <w:jc w:val="both"/>
      </w:pPr>
      <w:r>
        <w:t>How do the selected classification models compare in accuracy, recall, F1-score, cross-validation score, and ROC–AUC?</w:t>
      </w:r>
    </w:p>
    <w:p w14:paraId="53BC11B9" w14:textId="77777777" w:rsidR="00BD2719" w:rsidRDefault="00000000">
      <w:pPr>
        <w:pStyle w:val="ListBullet"/>
        <w:jc w:val="both"/>
      </w:pPr>
      <w:r>
        <w:t>Does a stacking ensemble improve predictive performance over the individual base classifiers?</w:t>
      </w:r>
    </w:p>
    <w:p w14:paraId="7100D7F2" w14:textId="77777777" w:rsidR="00BD2719" w:rsidRDefault="00000000">
      <w:pPr>
        <w:pStyle w:val="Heading1"/>
      </w:pPr>
      <w:r>
        <w:t>2. Materials and Methods</w:t>
      </w:r>
    </w:p>
    <w:p w14:paraId="486954C7" w14:textId="77777777" w:rsidR="00BD2719" w:rsidRDefault="00000000">
      <w:pPr>
        <w:pStyle w:val="Heading2"/>
      </w:pPr>
      <w:r>
        <w:t>2.1 Study design</w:t>
      </w:r>
    </w:p>
    <w:p w14:paraId="0BE6257F" w14:textId="77777777" w:rsidR="00BD2719" w:rsidRDefault="00000000">
      <w:pPr>
        <w:jc w:val="both"/>
      </w:pPr>
      <w:r>
        <w:t>The study followed a quantitative, retrospective predictive-modeling design. Historical customer records were analyzed to learn the relationship between customer characteristics and a binary outcome indicating whether a customer churned. The notebook workflow consisted of data inspection, cleaning, exploratory analysis, transformation, feature selection, class balancing, model training, and evaluation.</w:t>
      </w:r>
    </w:p>
    <w:p w14:paraId="17392C64" w14:textId="77777777" w:rsidR="00BD2719" w:rsidRDefault="00000000">
      <w:pPr>
        <w:pStyle w:val="Heading2"/>
      </w:pPr>
      <w:r>
        <w:t>2.2 Dataset and variables</w:t>
      </w:r>
    </w:p>
    <w:p w14:paraId="0768B519" w14:textId="77777777" w:rsidR="00BD2719" w:rsidRDefault="00000000">
      <w:pPr>
        <w:jc w:val="both"/>
      </w:pPr>
      <w:r>
        <w:t>The dataset contained 7,043 customer records and 21 original columns. The outcome variable, Churn, indicated whether a customer left the company. Predictor variables covered demographic characteristics, tenure, subscribed services, contractual arrangements, billing behavior, payment method, monthly charges, and cumulative charges. CustomerID served as a unique identifier and was not retained as a predictive feature.</w:t>
      </w:r>
    </w:p>
    <w:tbl>
      <w:tblPr>
        <w:tblStyle w:val="TableGrid"/>
        <w:tblW w:w="0" w:type="auto"/>
        <w:jc w:val="center"/>
        <w:tblLook w:val="04A0" w:firstRow="1" w:lastRow="0" w:firstColumn="1" w:lastColumn="0" w:noHBand="0" w:noVBand="1"/>
      </w:tblPr>
      <w:tblGrid>
        <w:gridCol w:w="3213"/>
        <w:gridCol w:w="3213"/>
        <w:gridCol w:w="3212"/>
      </w:tblGrid>
      <w:tr w:rsidR="00BD2719" w14:paraId="3090C5A2" w14:textId="77777777">
        <w:trPr>
          <w:jc w:val="center"/>
        </w:trPr>
        <w:tc>
          <w:tcPr>
            <w:tcW w:w="3216" w:type="dxa"/>
            <w:shd w:val="clear" w:color="auto" w:fill="D9EAF7"/>
            <w:vAlign w:val="center"/>
          </w:tcPr>
          <w:p w14:paraId="56F83F78" w14:textId="77777777" w:rsidR="00BD2719" w:rsidRDefault="00000000">
            <w:r>
              <w:rPr>
                <w:b/>
                <w:sz w:val="18"/>
              </w:rPr>
              <w:lastRenderedPageBreak/>
              <w:t>Variable group</w:t>
            </w:r>
          </w:p>
        </w:tc>
        <w:tc>
          <w:tcPr>
            <w:tcW w:w="3216" w:type="dxa"/>
            <w:shd w:val="clear" w:color="auto" w:fill="D9EAF7"/>
            <w:vAlign w:val="center"/>
          </w:tcPr>
          <w:p w14:paraId="0CA7D210" w14:textId="77777777" w:rsidR="00BD2719" w:rsidRDefault="00000000">
            <w:r>
              <w:rPr>
                <w:b/>
                <w:sz w:val="18"/>
              </w:rPr>
              <w:t>Variables</w:t>
            </w:r>
          </w:p>
        </w:tc>
        <w:tc>
          <w:tcPr>
            <w:tcW w:w="3216" w:type="dxa"/>
            <w:shd w:val="clear" w:color="auto" w:fill="D9EAF7"/>
            <w:vAlign w:val="center"/>
          </w:tcPr>
          <w:p w14:paraId="1D325FC5" w14:textId="77777777" w:rsidR="00BD2719" w:rsidRDefault="00000000">
            <w:r>
              <w:rPr>
                <w:b/>
                <w:sz w:val="18"/>
              </w:rPr>
              <w:t>Analytical role</w:t>
            </w:r>
          </w:p>
        </w:tc>
      </w:tr>
      <w:tr w:rsidR="00BD2719" w14:paraId="6171EFE8" w14:textId="77777777">
        <w:trPr>
          <w:jc w:val="center"/>
        </w:trPr>
        <w:tc>
          <w:tcPr>
            <w:tcW w:w="3216" w:type="dxa"/>
            <w:vAlign w:val="center"/>
          </w:tcPr>
          <w:p w14:paraId="3CFAB31D" w14:textId="77777777" w:rsidR="00BD2719" w:rsidRDefault="00000000">
            <w:r>
              <w:rPr>
                <w:sz w:val="18"/>
              </w:rPr>
              <w:t>Demographics</w:t>
            </w:r>
          </w:p>
        </w:tc>
        <w:tc>
          <w:tcPr>
            <w:tcW w:w="3216" w:type="dxa"/>
            <w:vAlign w:val="center"/>
          </w:tcPr>
          <w:p w14:paraId="78B64283" w14:textId="77777777" w:rsidR="00BD2719" w:rsidRDefault="00000000">
            <w:r>
              <w:rPr>
                <w:sz w:val="18"/>
              </w:rPr>
              <w:t>gender, SeniorCitizen, Partner, Dependents</w:t>
            </w:r>
          </w:p>
        </w:tc>
        <w:tc>
          <w:tcPr>
            <w:tcW w:w="3216" w:type="dxa"/>
            <w:vAlign w:val="center"/>
          </w:tcPr>
          <w:p w14:paraId="032299C6" w14:textId="77777777" w:rsidR="00BD2719" w:rsidRDefault="00000000">
            <w:r>
              <w:rPr>
                <w:sz w:val="18"/>
              </w:rPr>
              <w:t>Customer profile</w:t>
            </w:r>
          </w:p>
        </w:tc>
      </w:tr>
      <w:tr w:rsidR="00BD2719" w14:paraId="397131E7" w14:textId="77777777">
        <w:trPr>
          <w:jc w:val="center"/>
        </w:trPr>
        <w:tc>
          <w:tcPr>
            <w:tcW w:w="3216" w:type="dxa"/>
            <w:vAlign w:val="center"/>
          </w:tcPr>
          <w:p w14:paraId="6B0D9336" w14:textId="77777777" w:rsidR="00BD2719" w:rsidRDefault="00000000">
            <w:r>
              <w:rPr>
                <w:sz w:val="18"/>
              </w:rPr>
              <w:t>Relationship duration</w:t>
            </w:r>
          </w:p>
        </w:tc>
        <w:tc>
          <w:tcPr>
            <w:tcW w:w="3216" w:type="dxa"/>
            <w:vAlign w:val="center"/>
          </w:tcPr>
          <w:p w14:paraId="02D58019" w14:textId="77777777" w:rsidR="00BD2719" w:rsidRDefault="00000000">
            <w:r>
              <w:rPr>
                <w:sz w:val="18"/>
              </w:rPr>
              <w:t>tenure</w:t>
            </w:r>
          </w:p>
        </w:tc>
        <w:tc>
          <w:tcPr>
            <w:tcW w:w="3216" w:type="dxa"/>
            <w:vAlign w:val="center"/>
          </w:tcPr>
          <w:p w14:paraId="539FEDC3" w14:textId="77777777" w:rsidR="00BD2719" w:rsidRDefault="00000000">
            <w:r>
              <w:rPr>
                <w:sz w:val="18"/>
              </w:rPr>
              <w:t>Length of customer relationship</w:t>
            </w:r>
          </w:p>
        </w:tc>
      </w:tr>
      <w:tr w:rsidR="00BD2719" w14:paraId="45B5FBA1" w14:textId="77777777">
        <w:trPr>
          <w:jc w:val="center"/>
        </w:trPr>
        <w:tc>
          <w:tcPr>
            <w:tcW w:w="3216" w:type="dxa"/>
            <w:vAlign w:val="center"/>
          </w:tcPr>
          <w:p w14:paraId="46943027" w14:textId="77777777" w:rsidR="00BD2719" w:rsidRDefault="00000000">
            <w:r>
              <w:rPr>
                <w:sz w:val="18"/>
              </w:rPr>
              <w:t>Core services</w:t>
            </w:r>
          </w:p>
        </w:tc>
        <w:tc>
          <w:tcPr>
            <w:tcW w:w="3216" w:type="dxa"/>
            <w:vAlign w:val="center"/>
          </w:tcPr>
          <w:p w14:paraId="3E081BB7" w14:textId="77777777" w:rsidR="00BD2719" w:rsidRDefault="00000000">
            <w:r>
              <w:rPr>
                <w:sz w:val="18"/>
              </w:rPr>
              <w:t>PhoneService, MultipleLines, InternetService</w:t>
            </w:r>
          </w:p>
        </w:tc>
        <w:tc>
          <w:tcPr>
            <w:tcW w:w="3216" w:type="dxa"/>
            <w:vAlign w:val="center"/>
          </w:tcPr>
          <w:p w14:paraId="581C0343" w14:textId="77777777" w:rsidR="00BD2719" w:rsidRDefault="00000000">
            <w:r>
              <w:rPr>
                <w:sz w:val="18"/>
              </w:rPr>
              <w:t>Basic subscribed services</w:t>
            </w:r>
          </w:p>
        </w:tc>
      </w:tr>
      <w:tr w:rsidR="00BD2719" w14:paraId="367DCD57" w14:textId="77777777">
        <w:trPr>
          <w:jc w:val="center"/>
        </w:trPr>
        <w:tc>
          <w:tcPr>
            <w:tcW w:w="3216" w:type="dxa"/>
            <w:vAlign w:val="center"/>
          </w:tcPr>
          <w:p w14:paraId="7183249B" w14:textId="77777777" w:rsidR="00BD2719" w:rsidRDefault="00000000">
            <w:r>
              <w:rPr>
                <w:sz w:val="18"/>
              </w:rPr>
              <w:t>Support and protection</w:t>
            </w:r>
          </w:p>
        </w:tc>
        <w:tc>
          <w:tcPr>
            <w:tcW w:w="3216" w:type="dxa"/>
            <w:vAlign w:val="center"/>
          </w:tcPr>
          <w:p w14:paraId="4F203556" w14:textId="77777777" w:rsidR="00BD2719" w:rsidRDefault="00000000">
            <w:r>
              <w:rPr>
                <w:sz w:val="18"/>
              </w:rPr>
              <w:t>OnlineSecurity, OnlineBackup, DeviceProtection, TechSupport</w:t>
            </w:r>
          </w:p>
        </w:tc>
        <w:tc>
          <w:tcPr>
            <w:tcW w:w="3216" w:type="dxa"/>
            <w:vAlign w:val="center"/>
          </w:tcPr>
          <w:p w14:paraId="21AAF4CB" w14:textId="77777777" w:rsidR="00BD2719" w:rsidRDefault="00000000">
            <w:r>
              <w:rPr>
                <w:sz w:val="18"/>
              </w:rPr>
              <w:t>Risk-reduction and support services</w:t>
            </w:r>
          </w:p>
        </w:tc>
      </w:tr>
      <w:tr w:rsidR="00BD2719" w14:paraId="10FE320D" w14:textId="77777777">
        <w:trPr>
          <w:jc w:val="center"/>
        </w:trPr>
        <w:tc>
          <w:tcPr>
            <w:tcW w:w="3216" w:type="dxa"/>
            <w:vAlign w:val="center"/>
          </w:tcPr>
          <w:p w14:paraId="133B41EC" w14:textId="77777777" w:rsidR="00BD2719" w:rsidRDefault="00000000">
            <w:r>
              <w:rPr>
                <w:sz w:val="18"/>
              </w:rPr>
              <w:t>Entertainment services</w:t>
            </w:r>
          </w:p>
        </w:tc>
        <w:tc>
          <w:tcPr>
            <w:tcW w:w="3216" w:type="dxa"/>
            <w:vAlign w:val="center"/>
          </w:tcPr>
          <w:p w14:paraId="635CC0DE" w14:textId="77777777" w:rsidR="00BD2719" w:rsidRDefault="00000000">
            <w:r>
              <w:rPr>
                <w:sz w:val="18"/>
              </w:rPr>
              <w:t>StreamingTV, StreamingMovies</w:t>
            </w:r>
          </w:p>
        </w:tc>
        <w:tc>
          <w:tcPr>
            <w:tcW w:w="3216" w:type="dxa"/>
            <w:vAlign w:val="center"/>
          </w:tcPr>
          <w:p w14:paraId="785FDF15" w14:textId="77777777" w:rsidR="00BD2719" w:rsidRDefault="00000000">
            <w:r>
              <w:rPr>
                <w:sz w:val="18"/>
              </w:rPr>
              <w:t>Optional digital services</w:t>
            </w:r>
          </w:p>
        </w:tc>
      </w:tr>
      <w:tr w:rsidR="00BD2719" w14:paraId="75418962" w14:textId="77777777">
        <w:trPr>
          <w:jc w:val="center"/>
        </w:trPr>
        <w:tc>
          <w:tcPr>
            <w:tcW w:w="3216" w:type="dxa"/>
            <w:vAlign w:val="center"/>
          </w:tcPr>
          <w:p w14:paraId="02D2D54C" w14:textId="77777777" w:rsidR="00BD2719" w:rsidRDefault="00000000">
            <w:r>
              <w:rPr>
                <w:sz w:val="18"/>
              </w:rPr>
              <w:t>Contract and billing</w:t>
            </w:r>
          </w:p>
        </w:tc>
        <w:tc>
          <w:tcPr>
            <w:tcW w:w="3216" w:type="dxa"/>
            <w:vAlign w:val="center"/>
          </w:tcPr>
          <w:p w14:paraId="6D4D7D67" w14:textId="77777777" w:rsidR="00BD2719" w:rsidRDefault="00000000">
            <w:r>
              <w:rPr>
                <w:sz w:val="18"/>
              </w:rPr>
              <w:t>Contract, PaperlessBilling, PaymentMethod</w:t>
            </w:r>
          </w:p>
        </w:tc>
        <w:tc>
          <w:tcPr>
            <w:tcW w:w="3216" w:type="dxa"/>
            <w:vAlign w:val="center"/>
          </w:tcPr>
          <w:p w14:paraId="50D0CC7C" w14:textId="77777777" w:rsidR="00BD2719" w:rsidRDefault="00000000">
            <w:r>
              <w:rPr>
                <w:sz w:val="18"/>
              </w:rPr>
              <w:t>Commercial arrangement</w:t>
            </w:r>
          </w:p>
        </w:tc>
      </w:tr>
      <w:tr w:rsidR="00BD2719" w14:paraId="2796E74C" w14:textId="77777777">
        <w:trPr>
          <w:jc w:val="center"/>
        </w:trPr>
        <w:tc>
          <w:tcPr>
            <w:tcW w:w="3216" w:type="dxa"/>
            <w:vAlign w:val="center"/>
          </w:tcPr>
          <w:p w14:paraId="6E407AB9" w14:textId="77777777" w:rsidR="00BD2719" w:rsidRDefault="00000000">
            <w:r>
              <w:rPr>
                <w:sz w:val="18"/>
              </w:rPr>
              <w:t>Charges</w:t>
            </w:r>
          </w:p>
        </w:tc>
        <w:tc>
          <w:tcPr>
            <w:tcW w:w="3216" w:type="dxa"/>
            <w:vAlign w:val="center"/>
          </w:tcPr>
          <w:p w14:paraId="3AB0EA71" w14:textId="77777777" w:rsidR="00BD2719" w:rsidRDefault="00000000">
            <w:r>
              <w:rPr>
                <w:sz w:val="18"/>
              </w:rPr>
              <w:t>MonthlyCharges, TotalCharges</w:t>
            </w:r>
          </w:p>
        </w:tc>
        <w:tc>
          <w:tcPr>
            <w:tcW w:w="3216" w:type="dxa"/>
            <w:vAlign w:val="center"/>
          </w:tcPr>
          <w:p w14:paraId="301EC5CC" w14:textId="77777777" w:rsidR="00BD2719" w:rsidRDefault="00000000">
            <w:r>
              <w:rPr>
                <w:sz w:val="18"/>
              </w:rPr>
              <w:t>Financial exposure</w:t>
            </w:r>
          </w:p>
        </w:tc>
      </w:tr>
      <w:tr w:rsidR="00BD2719" w14:paraId="16AB7473" w14:textId="77777777">
        <w:trPr>
          <w:jc w:val="center"/>
        </w:trPr>
        <w:tc>
          <w:tcPr>
            <w:tcW w:w="3216" w:type="dxa"/>
            <w:vAlign w:val="center"/>
          </w:tcPr>
          <w:p w14:paraId="63340D53" w14:textId="77777777" w:rsidR="00BD2719" w:rsidRDefault="00000000">
            <w:r>
              <w:rPr>
                <w:sz w:val="18"/>
              </w:rPr>
              <w:t>Outcome</w:t>
            </w:r>
          </w:p>
        </w:tc>
        <w:tc>
          <w:tcPr>
            <w:tcW w:w="3216" w:type="dxa"/>
            <w:vAlign w:val="center"/>
          </w:tcPr>
          <w:p w14:paraId="5EF00443" w14:textId="77777777" w:rsidR="00BD2719" w:rsidRDefault="00000000">
            <w:r>
              <w:rPr>
                <w:sz w:val="18"/>
              </w:rPr>
              <w:t>Churn</w:t>
            </w:r>
          </w:p>
        </w:tc>
        <w:tc>
          <w:tcPr>
            <w:tcW w:w="3216" w:type="dxa"/>
            <w:vAlign w:val="center"/>
          </w:tcPr>
          <w:p w14:paraId="38E079BF" w14:textId="77777777" w:rsidR="00BD2719" w:rsidRDefault="00000000">
            <w:r>
              <w:rPr>
                <w:sz w:val="18"/>
              </w:rPr>
              <w:t>Binary prediction target</w:t>
            </w:r>
          </w:p>
        </w:tc>
      </w:tr>
    </w:tbl>
    <w:p w14:paraId="4A9F0E02" w14:textId="77777777" w:rsidR="00BD2719" w:rsidRDefault="00000000">
      <w:pPr>
        <w:jc w:val="center"/>
      </w:pPr>
      <w:r>
        <w:rPr>
          <w:i/>
        </w:rPr>
        <w:t>Table 1. Main variable groups in the telecommunications churn dataset.</w:t>
      </w:r>
    </w:p>
    <w:p w14:paraId="52E93F56" w14:textId="77777777" w:rsidR="00BD2719" w:rsidRDefault="00000000">
      <w:pPr>
        <w:pStyle w:val="Heading2"/>
      </w:pPr>
      <w:r>
        <w:t>2.3 Data cleaning and preprocessing</w:t>
      </w:r>
    </w:p>
    <w:p w14:paraId="592FB390" w14:textId="77777777" w:rsidR="00BD2719" w:rsidRDefault="00000000">
      <w:pPr>
        <w:jc w:val="both"/>
      </w:pPr>
      <w:r>
        <w:t>Initial inspection showed that TotalCharges was stored as text. It was converted to numeric form, which revealed 11 non-numeric or blank values. All 11 affected records had zero tenure, and the missing TotalCharges values were replaced with zero. CustomerID was removed because it is an identifier rather than a behavioral predictor.</w:t>
      </w:r>
    </w:p>
    <w:p w14:paraId="160875AE" w14:textId="77777777" w:rsidR="00BD2719" w:rsidRDefault="00000000">
      <w:pPr>
        <w:jc w:val="both"/>
      </w:pPr>
      <w:r>
        <w:t>Continuous variables—tenure, MonthlyCharges, and TotalCharges—were normalized using Min–Max scaling. Categorical variables were transformed to numeric codes with label encoding. The notebook then removed six variables—PhoneService, gender, StreamingTV, StreamingMovies, MultipleLines, and InternetService—after feature-selection analysis, leaving 13 predictors for modeling. The retained predictors included SeniorCitizen, Partner, Dependents, tenure, OnlineSecurity, OnlineBackup, DeviceProtection, TechSupport, Contract, PaperlessBilling, PaymentMethod, MonthlyCharges, and TotalCharges.</w:t>
      </w:r>
    </w:p>
    <w:p w14:paraId="5D9749EF" w14:textId="77777777" w:rsidR="00BD2719" w:rsidRDefault="00000000">
      <w:pPr>
        <w:pStyle w:val="Heading2"/>
      </w:pPr>
      <w:r>
        <w:t>2.4 Exploratory data analysis and feature assessment</w:t>
      </w:r>
    </w:p>
    <w:p w14:paraId="0FFC38BC" w14:textId="77777777" w:rsidR="00BD2719" w:rsidRDefault="00000000">
      <w:pPr>
        <w:jc w:val="both"/>
      </w:pPr>
      <w:r>
        <w:t>The exploratory analysis used frequency plots, distribution plots, box plots, and relationship plots to examine churn across customer categories and numerical variables. Categorical feature relevance was assessed with chi-square statistics, while numerical feature relevance was assessed with analysis of variance (ANOVA) scores. These procedures were used as descriptive feature-screening tools rather than causal tests.</w:t>
      </w:r>
    </w:p>
    <w:p w14:paraId="5A192EC8" w14:textId="77777777" w:rsidR="00BD2719" w:rsidRDefault="00000000">
      <w:pPr>
        <w:pStyle w:val="Heading2"/>
      </w:pPr>
      <w:r>
        <w:t>2.5 Class balancing and data partitioning</w:t>
      </w:r>
    </w:p>
    <w:p w14:paraId="13248820" w14:textId="77777777" w:rsidR="00BD2719" w:rsidRDefault="00000000">
      <w:pPr>
        <w:jc w:val="both"/>
      </w:pPr>
      <w:r>
        <w:t>The original outcome distribution was imbalanced, with fewer churned than non-churned customers. SMOTE was applied with a sampling strategy of 1.0, producing 5,174 observations in each class and a balanced modeling dataset of 10,348 observations. The balanced data were divided into 80% training data and 20% testing data using a random state of 2. The resulting test set contained 2,070 observations: 1,040 non-churners and 1,030 churners.</w:t>
      </w:r>
    </w:p>
    <w:p w14:paraId="7B86E274" w14:textId="77777777" w:rsidR="00BD2719" w:rsidRDefault="00000000">
      <w:pPr>
        <w:pStyle w:val="Heading2"/>
      </w:pPr>
      <w:r>
        <w:t>2.6 Classification models</w:t>
      </w:r>
    </w:p>
    <w:p w14:paraId="00AA6A24" w14:textId="77777777" w:rsidR="00BD2719" w:rsidRDefault="00000000">
      <w:pPr>
        <w:jc w:val="both"/>
      </w:pPr>
      <w:r>
        <w:t xml:space="preserve">Five modeling approaches were evaluated. The XGBoost classifier used a learning rate of 0.01, maximum depth of 3, and 1,000 estimators. LightGBM used the same learning rate, maximum depth, and number of estimators. Random Forest used a maximum tree depth of 4 and random state 0. Decision Tree used random </w:t>
      </w:r>
      <w:r>
        <w:lastRenderedPageBreak/>
        <w:t>state 1000, maximum depth 4, and a minimum leaf size of 1. Finally, a stacking classifier combined the four base models and used LightGBM as the final estimator.</w:t>
      </w:r>
    </w:p>
    <w:p w14:paraId="24B68D12" w14:textId="77777777" w:rsidR="00BD2719" w:rsidRDefault="00000000">
      <w:pPr>
        <w:pStyle w:val="Heading2"/>
      </w:pPr>
      <w:r>
        <w:t>2.7 Evaluation criteria</w:t>
      </w:r>
    </w:p>
    <w:p w14:paraId="0A4EA28B" w14:textId="77777777" w:rsidR="00BD2719" w:rsidRDefault="00000000">
      <w:pPr>
        <w:jc w:val="both"/>
      </w:pPr>
      <w:r>
        <w:t>Model performance was assessed using accuracy, class-specific precision, recall, and F1-score derived from the classification report and confusion matrix. The notebook also calculated ROC–AUC using hard class predictions and estimated mean cross-validation ROC–AUC using repeated stratified 10-fold cross-validation with three repeats. In a churn-management context, recall for class 1 is especially important because it measures the proportion of actual churners correctly identified by the model.</w:t>
      </w:r>
    </w:p>
    <w:p w14:paraId="05BE538D" w14:textId="77777777" w:rsidR="00BD2719" w:rsidRDefault="00000000">
      <w:pPr>
        <w:pStyle w:val="Heading1"/>
      </w:pPr>
      <w:r>
        <w:t>3. Results</w:t>
      </w:r>
    </w:p>
    <w:p w14:paraId="71980805" w14:textId="77777777" w:rsidR="00BD2719" w:rsidRDefault="00000000">
      <w:pPr>
        <w:pStyle w:val="Heading2"/>
      </w:pPr>
      <w:r>
        <w:t>3.1 Exploratory findings</w:t>
      </w:r>
    </w:p>
    <w:p w14:paraId="7078AE6C" w14:textId="77777777" w:rsidR="00BD2719" w:rsidRDefault="00000000">
      <w:pPr>
        <w:jc w:val="both"/>
      </w:pPr>
      <w:r>
        <w:t>The exploratory analysis indicated that churn was not evenly distributed across customer profiles and service arrangements. Customers with short tenure showed the greatest instability, particularly during the first six months of the relationship. Churn also increased among customers paying higher monthly charges, with a noticeable risk pattern when MonthlyCharges approached or exceeded approximately 70 monetary units.</w:t>
      </w:r>
    </w:p>
    <w:p w14:paraId="60C85E8B" w14:textId="77777777" w:rsidR="00BD2719" w:rsidRDefault="00000000">
      <w:pPr>
        <w:jc w:val="both"/>
      </w:pPr>
      <w:r>
        <w:t>Service-support variables were strongly relevant to churn interpretation. Customers without OnlineSecurity, OnlineBackup, DeviceProtection, or TechSupport appeared more vulnerable to leaving. Contract structure also mattered: short, flexible arrangements such as month-to-month contracts were associated with more churn than longer commitments. The notebook further highlighted SeniorCitizen status, Partner status, paperless billing, and payment method as useful segmentation variables for retention planning.</w:t>
      </w:r>
    </w:p>
    <w:p w14:paraId="01DFD756" w14:textId="77777777" w:rsidR="00BD2719" w:rsidRDefault="00000000">
      <w:pPr>
        <w:jc w:val="both"/>
      </w:pPr>
      <w:r>
        <w:t>TotalCharges increased with tenure as expected. However, among customers who churned, the analysis observed both high cumulative-charge cases and some mid-range cases, suggesting that churn risk is not explained by a single financial threshold. Instead, charges interact with tenure, contract type, and the perceived value of subscribed services.</w:t>
      </w:r>
    </w:p>
    <w:p w14:paraId="0354B3BF" w14:textId="77777777" w:rsidR="00BD2719" w:rsidRDefault="00000000">
      <w:pPr>
        <w:pStyle w:val="Heading2"/>
      </w:pPr>
      <w:r>
        <w:t>3.2 Comparative model performance</w:t>
      </w:r>
    </w:p>
    <w:tbl>
      <w:tblPr>
        <w:tblStyle w:val="TableGrid"/>
        <w:tblW w:w="0" w:type="auto"/>
        <w:jc w:val="center"/>
        <w:tblLook w:val="04A0" w:firstRow="1" w:lastRow="0" w:firstColumn="1" w:lastColumn="0" w:noHBand="0" w:noVBand="1"/>
      </w:tblPr>
      <w:tblGrid>
        <w:gridCol w:w="1376"/>
        <w:gridCol w:w="1377"/>
        <w:gridCol w:w="1377"/>
        <w:gridCol w:w="1377"/>
        <w:gridCol w:w="1377"/>
        <w:gridCol w:w="1377"/>
        <w:gridCol w:w="1377"/>
      </w:tblGrid>
      <w:tr w:rsidR="00BD2719" w14:paraId="13A3FC8D" w14:textId="77777777">
        <w:trPr>
          <w:jc w:val="center"/>
        </w:trPr>
        <w:tc>
          <w:tcPr>
            <w:tcW w:w="1378" w:type="dxa"/>
            <w:shd w:val="clear" w:color="auto" w:fill="D9EAF7"/>
          </w:tcPr>
          <w:p w14:paraId="63804E06" w14:textId="77777777" w:rsidR="00BD2719" w:rsidRDefault="00000000">
            <w:r>
              <w:rPr>
                <w:b/>
                <w:sz w:val="18"/>
              </w:rPr>
              <w:t>Model</w:t>
            </w:r>
          </w:p>
        </w:tc>
        <w:tc>
          <w:tcPr>
            <w:tcW w:w="1378" w:type="dxa"/>
            <w:shd w:val="clear" w:color="auto" w:fill="D9EAF7"/>
          </w:tcPr>
          <w:p w14:paraId="4C3E3063" w14:textId="77777777" w:rsidR="00BD2719" w:rsidRDefault="00000000">
            <w:r>
              <w:rPr>
                <w:b/>
                <w:sz w:val="18"/>
              </w:rPr>
              <w:t>Accuracy</w:t>
            </w:r>
          </w:p>
        </w:tc>
        <w:tc>
          <w:tcPr>
            <w:tcW w:w="1378" w:type="dxa"/>
            <w:shd w:val="clear" w:color="auto" w:fill="D9EAF7"/>
          </w:tcPr>
          <w:p w14:paraId="08D333F7" w14:textId="77777777" w:rsidR="00BD2719" w:rsidRDefault="00000000">
            <w:r>
              <w:rPr>
                <w:b/>
                <w:sz w:val="18"/>
              </w:rPr>
              <w:t>Churn precision</w:t>
            </w:r>
          </w:p>
        </w:tc>
        <w:tc>
          <w:tcPr>
            <w:tcW w:w="1378" w:type="dxa"/>
            <w:shd w:val="clear" w:color="auto" w:fill="D9EAF7"/>
          </w:tcPr>
          <w:p w14:paraId="297D30B9" w14:textId="77777777" w:rsidR="00BD2719" w:rsidRDefault="00000000">
            <w:r>
              <w:rPr>
                <w:b/>
                <w:sz w:val="18"/>
              </w:rPr>
              <w:t>Churn recall</w:t>
            </w:r>
          </w:p>
        </w:tc>
        <w:tc>
          <w:tcPr>
            <w:tcW w:w="1378" w:type="dxa"/>
            <w:shd w:val="clear" w:color="auto" w:fill="D9EAF7"/>
          </w:tcPr>
          <w:p w14:paraId="42C2E034" w14:textId="77777777" w:rsidR="00BD2719" w:rsidRDefault="00000000">
            <w:r>
              <w:rPr>
                <w:b/>
                <w:sz w:val="18"/>
              </w:rPr>
              <w:t>Churn F1</w:t>
            </w:r>
          </w:p>
        </w:tc>
        <w:tc>
          <w:tcPr>
            <w:tcW w:w="1378" w:type="dxa"/>
            <w:shd w:val="clear" w:color="auto" w:fill="D9EAF7"/>
          </w:tcPr>
          <w:p w14:paraId="4920112B" w14:textId="77777777" w:rsidR="00BD2719" w:rsidRDefault="00000000">
            <w:r>
              <w:rPr>
                <w:b/>
                <w:sz w:val="18"/>
              </w:rPr>
              <w:t>CV ROC–AUC</w:t>
            </w:r>
          </w:p>
        </w:tc>
        <w:tc>
          <w:tcPr>
            <w:tcW w:w="1378" w:type="dxa"/>
            <w:shd w:val="clear" w:color="auto" w:fill="D9EAF7"/>
          </w:tcPr>
          <w:p w14:paraId="6E3F7623" w14:textId="77777777" w:rsidR="00BD2719" w:rsidRDefault="00000000">
            <w:r>
              <w:rPr>
                <w:b/>
                <w:sz w:val="18"/>
              </w:rPr>
              <w:t>Test ROC–AUC</w:t>
            </w:r>
          </w:p>
        </w:tc>
      </w:tr>
      <w:tr w:rsidR="00BD2719" w14:paraId="7846F7D8" w14:textId="77777777">
        <w:trPr>
          <w:jc w:val="center"/>
        </w:trPr>
        <w:tc>
          <w:tcPr>
            <w:tcW w:w="1378" w:type="dxa"/>
          </w:tcPr>
          <w:p w14:paraId="151C6CFD" w14:textId="77777777" w:rsidR="00BD2719" w:rsidRDefault="00000000">
            <w:r>
              <w:rPr>
                <w:sz w:val="18"/>
              </w:rPr>
              <w:t>XGBoost</w:t>
            </w:r>
          </w:p>
        </w:tc>
        <w:tc>
          <w:tcPr>
            <w:tcW w:w="1378" w:type="dxa"/>
          </w:tcPr>
          <w:p w14:paraId="7E8DEF7C" w14:textId="77777777" w:rsidR="00BD2719" w:rsidRDefault="00000000">
            <w:r>
              <w:rPr>
                <w:sz w:val="18"/>
              </w:rPr>
              <w:t>0.83</w:t>
            </w:r>
          </w:p>
        </w:tc>
        <w:tc>
          <w:tcPr>
            <w:tcW w:w="1378" w:type="dxa"/>
          </w:tcPr>
          <w:p w14:paraId="2629767D" w14:textId="77777777" w:rsidR="00BD2719" w:rsidRDefault="00000000">
            <w:r>
              <w:rPr>
                <w:sz w:val="18"/>
              </w:rPr>
              <w:t>0.80</w:t>
            </w:r>
          </w:p>
        </w:tc>
        <w:tc>
          <w:tcPr>
            <w:tcW w:w="1378" w:type="dxa"/>
          </w:tcPr>
          <w:p w14:paraId="1FB3586D" w14:textId="77777777" w:rsidR="00BD2719" w:rsidRDefault="00000000">
            <w:r>
              <w:rPr>
                <w:sz w:val="18"/>
              </w:rPr>
              <w:t>0.87</w:t>
            </w:r>
          </w:p>
        </w:tc>
        <w:tc>
          <w:tcPr>
            <w:tcW w:w="1378" w:type="dxa"/>
          </w:tcPr>
          <w:p w14:paraId="3E541E39" w14:textId="77777777" w:rsidR="00BD2719" w:rsidRDefault="00000000">
            <w:r>
              <w:rPr>
                <w:sz w:val="18"/>
              </w:rPr>
              <w:t>0.84</w:t>
            </w:r>
          </w:p>
        </w:tc>
        <w:tc>
          <w:tcPr>
            <w:tcW w:w="1378" w:type="dxa"/>
          </w:tcPr>
          <w:p w14:paraId="3C183544" w14:textId="77777777" w:rsidR="00BD2719" w:rsidRDefault="00000000">
            <w:r>
              <w:rPr>
                <w:sz w:val="18"/>
              </w:rPr>
              <w:t>0.9042</w:t>
            </w:r>
          </w:p>
        </w:tc>
        <w:tc>
          <w:tcPr>
            <w:tcW w:w="1378" w:type="dxa"/>
          </w:tcPr>
          <w:p w14:paraId="07C05343" w14:textId="77777777" w:rsidR="00BD2719" w:rsidRDefault="00000000">
            <w:r>
              <w:rPr>
                <w:sz w:val="18"/>
              </w:rPr>
              <w:t>0.8321</w:t>
            </w:r>
          </w:p>
        </w:tc>
      </w:tr>
      <w:tr w:rsidR="00BD2719" w14:paraId="6B860483" w14:textId="77777777">
        <w:trPr>
          <w:jc w:val="center"/>
        </w:trPr>
        <w:tc>
          <w:tcPr>
            <w:tcW w:w="1378" w:type="dxa"/>
          </w:tcPr>
          <w:p w14:paraId="559F16BF" w14:textId="77777777" w:rsidR="00BD2719" w:rsidRDefault="00000000">
            <w:r>
              <w:rPr>
                <w:sz w:val="18"/>
              </w:rPr>
              <w:t>LightGBM</w:t>
            </w:r>
          </w:p>
        </w:tc>
        <w:tc>
          <w:tcPr>
            <w:tcW w:w="1378" w:type="dxa"/>
          </w:tcPr>
          <w:p w14:paraId="53389233" w14:textId="77777777" w:rsidR="00BD2719" w:rsidRDefault="00000000">
            <w:r>
              <w:rPr>
                <w:sz w:val="18"/>
              </w:rPr>
              <w:t>0.83</w:t>
            </w:r>
          </w:p>
        </w:tc>
        <w:tc>
          <w:tcPr>
            <w:tcW w:w="1378" w:type="dxa"/>
          </w:tcPr>
          <w:p w14:paraId="3C4D8F2F" w14:textId="77777777" w:rsidR="00BD2719" w:rsidRDefault="00000000">
            <w:r>
              <w:rPr>
                <w:sz w:val="18"/>
              </w:rPr>
              <w:t>0.80</w:t>
            </w:r>
          </w:p>
        </w:tc>
        <w:tc>
          <w:tcPr>
            <w:tcW w:w="1378" w:type="dxa"/>
          </w:tcPr>
          <w:p w14:paraId="067AE40E" w14:textId="77777777" w:rsidR="00BD2719" w:rsidRDefault="00000000">
            <w:r>
              <w:rPr>
                <w:sz w:val="18"/>
              </w:rPr>
              <w:t>0.87</w:t>
            </w:r>
          </w:p>
        </w:tc>
        <w:tc>
          <w:tcPr>
            <w:tcW w:w="1378" w:type="dxa"/>
          </w:tcPr>
          <w:p w14:paraId="338BA8BB" w14:textId="77777777" w:rsidR="00BD2719" w:rsidRDefault="00000000">
            <w:r>
              <w:rPr>
                <w:sz w:val="18"/>
              </w:rPr>
              <w:t>0.84</w:t>
            </w:r>
          </w:p>
        </w:tc>
        <w:tc>
          <w:tcPr>
            <w:tcW w:w="1378" w:type="dxa"/>
          </w:tcPr>
          <w:p w14:paraId="0FD4D7E4" w14:textId="77777777" w:rsidR="00BD2719" w:rsidRDefault="00000000">
            <w:r>
              <w:rPr>
                <w:sz w:val="18"/>
              </w:rPr>
              <w:t>Not retained in visible output</w:t>
            </w:r>
          </w:p>
        </w:tc>
        <w:tc>
          <w:tcPr>
            <w:tcW w:w="1378" w:type="dxa"/>
          </w:tcPr>
          <w:p w14:paraId="736B0404" w14:textId="77777777" w:rsidR="00BD2719" w:rsidRDefault="00000000">
            <w:r>
              <w:rPr>
                <w:sz w:val="18"/>
              </w:rPr>
              <w:t>Not retained in visible output</w:t>
            </w:r>
          </w:p>
        </w:tc>
      </w:tr>
      <w:tr w:rsidR="00BD2719" w14:paraId="6A2604D2" w14:textId="77777777">
        <w:trPr>
          <w:jc w:val="center"/>
        </w:trPr>
        <w:tc>
          <w:tcPr>
            <w:tcW w:w="1378" w:type="dxa"/>
          </w:tcPr>
          <w:p w14:paraId="0F68078F" w14:textId="77777777" w:rsidR="00BD2719" w:rsidRDefault="00000000">
            <w:r>
              <w:rPr>
                <w:sz w:val="18"/>
              </w:rPr>
              <w:t>Random Forest</w:t>
            </w:r>
          </w:p>
        </w:tc>
        <w:tc>
          <w:tcPr>
            <w:tcW w:w="1378" w:type="dxa"/>
          </w:tcPr>
          <w:p w14:paraId="24F6B711" w14:textId="77777777" w:rsidR="00BD2719" w:rsidRDefault="00000000">
            <w:r>
              <w:rPr>
                <w:sz w:val="18"/>
              </w:rPr>
              <w:t>0.78</w:t>
            </w:r>
          </w:p>
        </w:tc>
        <w:tc>
          <w:tcPr>
            <w:tcW w:w="1378" w:type="dxa"/>
          </w:tcPr>
          <w:p w14:paraId="27D9D0E8" w14:textId="77777777" w:rsidR="00BD2719" w:rsidRDefault="00000000">
            <w:r>
              <w:rPr>
                <w:sz w:val="18"/>
              </w:rPr>
              <w:t>0.75</w:t>
            </w:r>
          </w:p>
        </w:tc>
        <w:tc>
          <w:tcPr>
            <w:tcW w:w="1378" w:type="dxa"/>
          </w:tcPr>
          <w:p w14:paraId="6A3023EE" w14:textId="77777777" w:rsidR="00BD2719" w:rsidRDefault="00000000">
            <w:r>
              <w:rPr>
                <w:sz w:val="18"/>
              </w:rPr>
              <w:t>0.84</w:t>
            </w:r>
          </w:p>
        </w:tc>
        <w:tc>
          <w:tcPr>
            <w:tcW w:w="1378" w:type="dxa"/>
          </w:tcPr>
          <w:p w14:paraId="53DF3E85" w14:textId="77777777" w:rsidR="00BD2719" w:rsidRDefault="00000000">
            <w:r>
              <w:rPr>
                <w:sz w:val="18"/>
              </w:rPr>
              <w:t>0.79</w:t>
            </w:r>
          </w:p>
        </w:tc>
        <w:tc>
          <w:tcPr>
            <w:tcW w:w="1378" w:type="dxa"/>
          </w:tcPr>
          <w:p w14:paraId="366E6516" w14:textId="77777777" w:rsidR="00BD2719" w:rsidRDefault="00000000">
            <w:r>
              <w:rPr>
                <w:sz w:val="18"/>
              </w:rPr>
              <w:t>0.8546</w:t>
            </w:r>
          </w:p>
        </w:tc>
        <w:tc>
          <w:tcPr>
            <w:tcW w:w="1378" w:type="dxa"/>
          </w:tcPr>
          <w:p w14:paraId="4428BEA1" w14:textId="77777777" w:rsidR="00BD2719" w:rsidRDefault="00000000">
            <w:r>
              <w:rPr>
                <w:sz w:val="18"/>
              </w:rPr>
              <w:t>0.7805</w:t>
            </w:r>
          </w:p>
        </w:tc>
      </w:tr>
      <w:tr w:rsidR="00BD2719" w14:paraId="3F31B51F" w14:textId="77777777">
        <w:trPr>
          <w:jc w:val="center"/>
        </w:trPr>
        <w:tc>
          <w:tcPr>
            <w:tcW w:w="1378" w:type="dxa"/>
          </w:tcPr>
          <w:p w14:paraId="4F93E06D" w14:textId="77777777" w:rsidR="00BD2719" w:rsidRDefault="00000000">
            <w:r>
              <w:rPr>
                <w:sz w:val="18"/>
              </w:rPr>
              <w:t>Decision Tree</w:t>
            </w:r>
          </w:p>
        </w:tc>
        <w:tc>
          <w:tcPr>
            <w:tcW w:w="1378" w:type="dxa"/>
          </w:tcPr>
          <w:p w14:paraId="7715A444" w14:textId="77777777" w:rsidR="00BD2719" w:rsidRDefault="00000000">
            <w:r>
              <w:rPr>
                <w:sz w:val="18"/>
              </w:rPr>
              <w:t>0.78</w:t>
            </w:r>
          </w:p>
        </w:tc>
        <w:tc>
          <w:tcPr>
            <w:tcW w:w="1378" w:type="dxa"/>
          </w:tcPr>
          <w:p w14:paraId="144BA969" w14:textId="77777777" w:rsidR="00BD2719" w:rsidRDefault="00000000">
            <w:r>
              <w:rPr>
                <w:sz w:val="18"/>
              </w:rPr>
              <w:t>0.77</w:t>
            </w:r>
          </w:p>
        </w:tc>
        <w:tc>
          <w:tcPr>
            <w:tcW w:w="1378" w:type="dxa"/>
          </w:tcPr>
          <w:p w14:paraId="35AED96B" w14:textId="77777777" w:rsidR="00BD2719" w:rsidRDefault="00000000">
            <w:r>
              <w:rPr>
                <w:sz w:val="18"/>
              </w:rPr>
              <w:t>0.79</w:t>
            </w:r>
          </w:p>
        </w:tc>
        <w:tc>
          <w:tcPr>
            <w:tcW w:w="1378" w:type="dxa"/>
          </w:tcPr>
          <w:p w14:paraId="0FD7A129" w14:textId="77777777" w:rsidR="00BD2719" w:rsidRDefault="00000000">
            <w:r>
              <w:rPr>
                <w:sz w:val="18"/>
              </w:rPr>
              <w:t>0.78</w:t>
            </w:r>
          </w:p>
        </w:tc>
        <w:tc>
          <w:tcPr>
            <w:tcW w:w="1378" w:type="dxa"/>
          </w:tcPr>
          <w:p w14:paraId="5E4E59B7" w14:textId="77777777" w:rsidR="00BD2719" w:rsidRDefault="00000000">
            <w:r>
              <w:rPr>
                <w:sz w:val="18"/>
              </w:rPr>
              <w:t>0.8439</w:t>
            </w:r>
          </w:p>
        </w:tc>
        <w:tc>
          <w:tcPr>
            <w:tcW w:w="1378" w:type="dxa"/>
          </w:tcPr>
          <w:p w14:paraId="7ED4A7AE" w14:textId="77777777" w:rsidR="00BD2719" w:rsidRDefault="00000000">
            <w:r>
              <w:rPr>
                <w:sz w:val="18"/>
              </w:rPr>
              <w:t>0.7774</w:t>
            </w:r>
          </w:p>
        </w:tc>
      </w:tr>
      <w:tr w:rsidR="00BD2719" w14:paraId="2AFA42C9" w14:textId="77777777">
        <w:trPr>
          <w:jc w:val="center"/>
        </w:trPr>
        <w:tc>
          <w:tcPr>
            <w:tcW w:w="1378" w:type="dxa"/>
          </w:tcPr>
          <w:p w14:paraId="70FE4A4A" w14:textId="77777777" w:rsidR="00BD2719" w:rsidRDefault="00000000">
            <w:r>
              <w:rPr>
                <w:sz w:val="18"/>
              </w:rPr>
              <w:t>Stacking ensemble</w:t>
            </w:r>
          </w:p>
        </w:tc>
        <w:tc>
          <w:tcPr>
            <w:tcW w:w="1378" w:type="dxa"/>
          </w:tcPr>
          <w:p w14:paraId="6674E587" w14:textId="77777777" w:rsidR="00BD2719" w:rsidRDefault="00000000">
            <w:r>
              <w:rPr>
                <w:sz w:val="18"/>
              </w:rPr>
              <w:t>0.84</w:t>
            </w:r>
          </w:p>
        </w:tc>
        <w:tc>
          <w:tcPr>
            <w:tcW w:w="1378" w:type="dxa"/>
          </w:tcPr>
          <w:p w14:paraId="2D965492" w14:textId="77777777" w:rsidR="00BD2719" w:rsidRDefault="00000000">
            <w:r>
              <w:rPr>
                <w:sz w:val="18"/>
              </w:rPr>
              <w:t>0.81</w:t>
            </w:r>
          </w:p>
        </w:tc>
        <w:tc>
          <w:tcPr>
            <w:tcW w:w="1378" w:type="dxa"/>
          </w:tcPr>
          <w:p w14:paraId="7B37276C" w14:textId="77777777" w:rsidR="00BD2719" w:rsidRDefault="00000000">
            <w:r>
              <w:rPr>
                <w:sz w:val="18"/>
              </w:rPr>
              <w:t>0.87</w:t>
            </w:r>
          </w:p>
        </w:tc>
        <w:tc>
          <w:tcPr>
            <w:tcW w:w="1378" w:type="dxa"/>
          </w:tcPr>
          <w:p w14:paraId="0DF057E4" w14:textId="77777777" w:rsidR="00BD2719" w:rsidRDefault="00000000">
            <w:r>
              <w:rPr>
                <w:sz w:val="18"/>
              </w:rPr>
              <w:t>0.84</w:t>
            </w:r>
          </w:p>
        </w:tc>
        <w:tc>
          <w:tcPr>
            <w:tcW w:w="1378" w:type="dxa"/>
          </w:tcPr>
          <w:p w14:paraId="586890D5" w14:textId="77777777" w:rsidR="00BD2719" w:rsidRDefault="00000000">
            <w:r>
              <w:rPr>
                <w:sz w:val="18"/>
              </w:rPr>
              <w:t>Not reported</w:t>
            </w:r>
          </w:p>
        </w:tc>
        <w:tc>
          <w:tcPr>
            <w:tcW w:w="1378" w:type="dxa"/>
          </w:tcPr>
          <w:p w14:paraId="3E890E66" w14:textId="77777777" w:rsidR="00BD2719" w:rsidRDefault="00000000">
            <w:r>
              <w:rPr>
                <w:sz w:val="18"/>
              </w:rPr>
              <w:t>Not reported</w:t>
            </w:r>
          </w:p>
        </w:tc>
      </w:tr>
    </w:tbl>
    <w:p w14:paraId="5DE0E9CA" w14:textId="77777777" w:rsidR="00BD2719" w:rsidRDefault="00000000">
      <w:pPr>
        <w:jc w:val="center"/>
      </w:pPr>
      <w:r>
        <w:rPr>
          <w:i/>
        </w:rPr>
        <w:t>Table 2. Reported predictive performance of the evaluated classifiers.</w:t>
      </w:r>
    </w:p>
    <w:p w14:paraId="1875E33F" w14:textId="77777777" w:rsidR="00BD2719" w:rsidRDefault="00000000">
      <w:pPr>
        <w:jc w:val="both"/>
      </w:pPr>
      <w:r>
        <w:t>The stacking ensemble achieved the highest reported test accuracy at 84%. It correctly identified 87% of churners and produced a churn-class F1-score of 0.84. XGBoost and LightGBM each achieved 83% accuracy with the same churn recall and F1-score as the ensemble, although their churn precision was slightly lower at 0.80. Random Forest and Decision Tree were less accurate, both achieving 78%.</w:t>
      </w:r>
    </w:p>
    <w:p w14:paraId="7D9B9AD6" w14:textId="77777777" w:rsidR="00BD2719" w:rsidRDefault="00000000">
      <w:pPr>
        <w:jc w:val="both"/>
      </w:pPr>
      <w:r>
        <w:lastRenderedPageBreak/>
        <w:t>XGBoost produced the highest explicitly reported repeated cross-validation ROC–AUC score of 90.42%. Its test ROC–AUC, calculated from predicted classes, was 83.21%. Random Forest and Decision Tree recorded lower cross-validation and test ROC–AUC values. The stacking ensemble’s modest accuracy gain over XGBoost and LightGBM suggests that combining diverse tree-based learners improved overall classification slightly, while preserving high churn recall.</w:t>
      </w:r>
    </w:p>
    <w:p w14:paraId="558FF15C" w14:textId="77777777" w:rsidR="00BD2719" w:rsidRDefault="00000000">
      <w:pPr>
        <w:pStyle w:val="Heading2"/>
      </w:pPr>
      <w:r>
        <w:t>3.3 Best-performing model</w:t>
      </w:r>
    </w:p>
    <w:p w14:paraId="0E2B4CBD" w14:textId="77777777" w:rsidR="00BD2719" w:rsidRDefault="00000000">
      <w:pPr>
        <w:jc w:val="both"/>
      </w:pPr>
      <w:r>
        <w:t>Based on the reported holdout results, the stacking classifier was selected as the preferred model. Its 84% accuracy and 0.87 churn recall indicate that it balanced overall correctness with strong detection of customers who actually churned. This is operationally useful because a retention team generally incurs a greater opportunity cost when it fails to identify a likely churner than when it contacts a customer who ultimately remains.</w:t>
      </w:r>
    </w:p>
    <w:p w14:paraId="2E2B9ADF" w14:textId="77777777" w:rsidR="00BD2719" w:rsidRDefault="00000000">
      <w:pPr>
        <w:pStyle w:val="Heading1"/>
      </w:pPr>
      <w:r>
        <w:t>4. Discussion</w:t>
      </w:r>
    </w:p>
    <w:p w14:paraId="59E116EE" w14:textId="77777777" w:rsidR="00BD2719" w:rsidRDefault="00000000">
      <w:pPr>
        <w:jc w:val="both"/>
      </w:pPr>
      <w:r>
        <w:t>The results support the use of tree-based ensemble methods for telecommunications churn prediction. XGBoost and LightGBM performed strongly because gradient boosting iteratively corrects earlier prediction errors and can represent nonlinear relationships among customer attributes. Random Forest also benefits from aggregation across trees, but the relatively shallow depth used in the notebook may have constrained its ability to model complex patterns. The single Decision Tree produced the weakest overall discrimination, which is consistent with the limited representational stability of an individual tree.</w:t>
      </w:r>
    </w:p>
    <w:p w14:paraId="2B3991F6" w14:textId="77777777" w:rsidR="00BD2719" w:rsidRDefault="00000000">
      <w:pPr>
        <w:jc w:val="both"/>
      </w:pPr>
      <w:r>
        <w:t>The stacking model combined predictions from all four classifiers and used LightGBM as a meta-learner. Its improvement over the strongest base models was small but meaningful: test accuracy increased from 83% to 84%, while churn recall remained at 87%. This suggests that the component models captured partially complementary patterns. Nevertheless, because the improvement was only one percentage point, future work should test whether the additional computational and deployment complexity is justified by stable gains on unseen production data.</w:t>
      </w:r>
    </w:p>
    <w:p w14:paraId="5AA15A9D" w14:textId="77777777" w:rsidR="00BD2719" w:rsidRDefault="00000000">
      <w:pPr>
        <w:jc w:val="both"/>
      </w:pPr>
      <w:r>
        <w:t>The exploratory findings have direct business relevance. The first months of service represent a critical retention period, so onboarding quality, early service reliability, and proactive support should receive special attention. High monthly charges may increase churn when customers do not perceive sufficient value. Accordingly, retention actions should not focus only on discounts; they should also improve service quality and adoption of security, backup, device-protection, and technical-support offerings.</w:t>
      </w:r>
    </w:p>
    <w:p w14:paraId="7B1E277A" w14:textId="77777777" w:rsidR="00BD2719" w:rsidRDefault="00000000">
      <w:pPr>
        <w:jc w:val="both"/>
      </w:pPr>
      <w:r>
        <w:t>Contract type and payment behavior can also guide intervention design. Month-to-month customers can leave with fewer contractual barriers and may therefore require more frequent engagement. Customers using selected electronic billing or payment arrangements can be monitored for dissatisfaction signals, but such variables should not be treated as causes of churn without additional causal research. Demographic variables such as SeniorCitizen status should be used carefully to improve service accessibility and support rather than to implement unfair or exclusionary treatment.</w:t>
      </w:r>
    </w:p>
    <w:p w14:paraId="4EDD697B" w14:textId="77777777" w:rsidR="00BD2719" w:rsidRDefault="00000000">
      <w:pPr>
        <w:pStyle w:val="Heading2"/>
      </w:pPr>
      <w:r>
        <w:t>4.1 Practical recommendations</w:t>
      </w:r>
    </w:p>
    <w:p w14:paraId="1F247EC2" w14:textId="77777777" w:rsidR="00BD2719" w:rsidRDefault="00000000">
      <w:pPr>
        <w:pStyle w:val="ListBullet"/>
        <w:jc w:val="both"/>
      </w:pPr>
      <w:r>
        <w:t>Create an early-tenure retention program covering the first six months, with welcome calls, service checks, and rapid issue resolution.</w:t>
      </w:r>
    </w:p>
    <w:p w14:paraId="561FA19B" w14:textId="77777777" w:rsidR="00BD2719" w:rsidRDefault="00000000">
      <w:pPr>
        <w:pStyle w:val="ListBullet"/>
        <w:jc w:val="both"/>
      </w:pPr>
      <w:r>
        <w:t>Prioritize customers with high predicted churn probability, high monthly charges, and limited support-service subscriptions for personalized outreach.</w:t>
      </w:r>
    </w:p>
    <w:p w14:paraId="16879BF1" w14:textId="77777777" w:rsidR="00BD2719" w:rsidRDefault="00000000">
      <w:pPr>
        <w:pStyle w:val="ListBullet"/>
        <w:jc w:val="both"/>
      </w:pPr>
      <w:r>
        <w:lastRenderedPageBreak/>
        <w:t>Promote OnlineSecurity, OnlineBackup, DeviceProtection, and TechSupport as value-enhancing packages rather than relying exclusively on price discounts.</w:t>
      </w:r>
    </w:p>
    <w:p w14:paraId="6B761DDA" w14:textId="77777777" w:rsidR="00BD2719" w:rsidRDefault="00000000">
      <w:pPr>
        <w:pStyle w:val="ListBullet"/>
        <w:jc w:val="both"/>
      </w:pPr>
      <w:r>
        <w:t>Develop targeted retention offers for month-to-month customers, including incentives for longer contracts where appropriate.</w:t>
      </w:r>
    </w:p>
    <w:p w14:paraId="2D6421F7" w14:textId="77777777" w:rsidR="00BD2719" w:rsidRDefault="00000000">
      <w:pPr>
        <w:pStyle w:val="ListBullet"/>
        <w:jc w:val="both"/>
      </w:pPr>
      <w:r>
        <w:t>Integrate prediction scores into a customer-relationship-management system and track whether interventions actually reduce churn.</w:t>
      </w:r>
    </w:p>
    <w:p w14:paraId="7577DE9D" w14:textId="77777777" w:rsidR="00BD2719" w:rsidRDefault="00000000">
      <w:pPr>
        <w:pStyle w:val="Heading2"/>
      </w:pPr>
      <w:r>
        <w:t>4.2 Limitations</w:t>
      </w:r>
    </w:p>
    <w:p w14:paraId="12A41DBB" w14:textId="77777777" w:rsidR="00BD2719" w:rsidRDefault="00000000">
      <w:pPr>
        <w:jc w:val="both"/>
      </w:pPr>
      <w:r>
        <w:t>Several methodological limitations affect interpretation. First, SMOTE was applied before the train–test split. This can allow synthetic observations derived from the same original cases to appear in both training and testing partitions, creating information leakage and potentially optimistic performance estimates. A stronger design would split the original data first and apply SMOTE only within each training fold through an imbalanced-learning pipeline.</w:t>
      </w:r>
    </w:p>
    <w:p w14:paraId="3D15499A" w14:textId="77777777" w:rsidR="00BD2719" w:rsidRDefault="00000000">
      <w:pPr>
        <w:jc w:val="both"/>
      </w:pPr>
      <w:r>
        <w:t>Second, categorical variables were label encoded. For nominal categories, integer codes may introduce artificial ordering. One-hot encoding or model-specific categorical handling should be compared in future experiments. Third, the ROC–AUC calculation used hard predicted classes rather than predicted probabilities, which provides a less informative estimate of ranking performance. Fourth, no independent external dataset or temporal validation period was used. Finally, hyperparameter tuning and probability calibration were limited, and the analysis did not quantify the economic costs and benefits of retention interventions.</w:t>
      </w:r>
    </w:p>
    <w:p w14:paraId="74B57B66" w14:textId="77777777" w:rsidR="00BD2719" w:rsidRDefault="00000000">
      <w:pPr>
        <w:pStyle w:val="Heading1"/>
      </w:pPr>
      <w:r>
        <w:t>5. Conclusion</w:t>
      </w:r>
    </w:p>
    <w:p w14:paraId="714BEBD1" w14:textId="77777777" w:rsidR="00BD2719" w:rsidRDefault="00000000">
      <w:pPr>
        <w:jc w:val="both"/>
      </w:pPr>
      <w:r>
        <w:t>This study developed a telecommunications churn-prediction workflow using exploratory analysis, preprocessing, feature screening, SMOTE, and five tree-based modeling approaches. The stacking ensemble produced the strongest reported holdout performance, with 84% accuracy and 87% recall for churned customers. XGBoost and LightGBM were close alternatives, each achieving 83% accuracy and the same churn recall. The analysis identified short tenure, high monthly charges, contract flexibility, and the absence of selected support services as important churn-related patterns.</w:t>
      </w:r>
    </w:p>
    <w:p w14:paraId="08A2A332" w14:textId="77777777" w:rsidR="00BD2719" w:rsidRDefault="00000000">
      <w:pPr>
        <w:jc w:val="both"/>
      </w:pPr>
      <w:r>
        <w:t>The findings indicate that machine learning can support more focused retention programs by identifying high-risk customers before cancellation. However, the results should be validated using a leakage-free pipeline, probability-based ROC–AUC, tuned hyperparameters, and an independent dataset before operational deployment. The most effective business strategy will combine predictive scores with customer-service improvements, fair targeting policies, and continuous measurement of intervention outcomes.</w:t>
      </w:r>
    </w:p>
    <w:p w14:paraId="625B68CA" w14:textId="77777777" w:rsidR="00BD2719" w:rsidRDefault="00000000">
      <w:pPr>
        <w:pStyle w:val="Heading1"/>
      </w:pPr>
      <w:r>
        <w:t>6. Recommendations for Future Research</w:t>
      </w:r>
    </w:p>
    <w:p w14:paraId="67CFECFD" w14:textId="77777777" w:rsidR="00BD2719" w:rsidRDefault="00000000">
      <w:pPr>
        <w:pStyle w:val="ListBullet"/>
        <w:jc w:val="both"/>
      </w:pPr>
      <w:r>
        <w:t>Apply the train–test split before oversampling and perform SMOTE only within training folds.</w:t>
      </w:r>
    </w:p>
    <w:p w14:paraId="2EC39D6C" w14:textId="77777777" w:rsidR="00BD2719" w:rsidRDefault="00000000">
      <w:pPr>
        <w:pStyle w:val="ListBullet"/>
        <w:jc w:val="both"/>
      </w:pPr>
      <w:r>
        <w:t>Compare one-hot encoding, target encoding, and native categorical-feature handling.</w:t>
      </w:r>
    </w:p>
    <w:p w14:paraId="217B0736" w14:textId="77777777" w:rsidR="00BD2719" w:rsidRDefault="00000000">
      <w:pPr>
        <w:pStyle w:val="ListBullet"/>
        <w:jc w:val="both"/>
      </w:pPr>
      <w:r>
        <w:t>Tune model hyperparameters using nested cross-validation or a dedicated validation set.</w:t>
      </w:r>
    </w:p>
    <w:p w14:paraId="07D06755" w14:textId="77777777" w:rsidR="00BD2719" w:rsidRDefault="00000000">
      <w:pPr>
        <w:pStyle w:val="ListBullet"/>
        <w:jc w:val="both"/>
      </w:pPr>
      <w:r>
        <w:t>Evaluate probability calibration, precision–recall AUC, lift, gain, and cost-sensitive metrics.</w:t>
      </w:r>
    </w:p>
    <w:p w14:paraId="6118CAA5" w14:textId="77777777" w:rsidR="00BD2719" w:rsidRDefault="00000000">
      <w:pPr>
        <w:pStyle w:val="ListBullet"/>
        <w:jc w:val="both"/>
      </w:pPr>
      <w:r>
        <w:t>Test the final model on a later time period or a separate telecommunications dataset.</w:t>
      </w:r>
    </w:p>
    <w:p w14:paraId="0F230093" w14:textId="77777777" w:rsidR="00BD2719" w:rsidRDefault="00000000">
      <w:pPr>
        <w:pStyle w:val="ListBullet"/>
        <w:jc w:val="both"/>
      </w:pPr>
      <w:r>
        <w:t>Use explainability methods such as SHAP values to quantify global and customer-level drivers of churn.</w:t>
      </w:r>
    </w:p>
    <w:p w14:paraId="4CD9B8B4" w14:textId="77777777" w:rsidR="00BD2719" w:rsidRDefault="00000000">
      <w:pPr>
        <w:pStyle w:val="ListBullet"/>
        <w:jc w:val="both"/>
      </w:pPr>
      <w:r>
        <w:t>Conduct a controlled experiment to measure whether model-guided retention actions reduce actual churn and improve customer lifetime value.</w:t>
      </w:r>
    </w:p>
    <w:p w14:paraId="578FBF29" w14:textId="77777777" w:rsidR="00BD2719" w:rsidRDefault="00000000">
      <w:pPr>
        <w:pStyle w:val="Heading1"/>
      </w:pPr>
      <w:r>
        <w:lastRenderedPageBreak/>
        <w:t>References</w:t>
      </w:r>
    </w:p>
    <w:p w14:paraId="40A565B4" w14:textId="77777777" w:rsidR="00BD2719" w:rsidRDefault="00000000">
      <w:pPr>
        <w:ind w:left="432" w:hanging="432"/>
        <w:jc w:val="both"/>
      </w:pPr>
      <w:r>
        <w:t>Breiman, L. (2001). Random forests. Machine Learning, 45, 5–32.</w:t>
      </w:r>
    </w:p>
    <w:p w14:paraId="243B941E" w14:textId="77777777" w:rsidR="00BD2719" w:rsidRDefault="00000000">
      <w:pPr>
        <w:ind w:left="432" w:hanging="432"/>
        <w:jc w:val="both"/>
      </w:pPr>
      <w:r>
        <w:t>Chawla, N. V., Bowyer, K. W., Hall, L. O., &amp; Kegelmeyer, W. P. (2002). SMOTE: Synthetic minority over-sampling technique. Journal of Artificial Intelligence Research, 16, 321–357.</w:t>
      </w:r>
    </w:p>
    <w:p w14:paraId="1CAE01B1" w14:textId="77777777" w:rsidR="00BD2719" w:rsidRDefault="00000000">
      <w:pPr>
        <w:ind w:left="432" w:hanging="432"/>
        <w:jc w:val="both"/>
      </w:pPr>
      <w:r>
        <w:t>Chen, T., &amp; Guestrin, C. (2016). XGBoost: A scalable tree boosting system. Proceedings of the 22nd ACM SIGKDD International Conference on Knowledge Discovery and Data Mining, 785–794.</w:t>
      </w:r>
    </w:p>
    <w:p w14:paraId="5A839F04" w14:textId="77777777" w:rsidR="00BD2719" w:rsidRDefault="00000000">
      <w:pPr>
        <w:ind w:left="432" w:hanging="432"/>
        <w:jc w:val="both"/>
      </w:pPr>
      <w:r>
        <w:t>Ke, G., Meng, Q., Finley, T., Wang, T., Chen, W., Ma, W., Ye, Q., &amp; Liu, T.-Y. (2017). LightGBM: A highly efficient gradient boosting decision tree. Advances in Neural Information Processing Systems, 30.</w:t>
      </w:r>
    </w:p>
    <w:p w14:paraId="067853BE" w14:textId="77777777" w:rsidR="00BD2719" w:rsidRDefault="00000000">
      <w:pPr>
        <w:ind w:left="432" w:hanging="432"/>
        <w:jc w:val="both"/>
      </w:pPr>
      <w:r>
        <w:t>Wolpert, D. H. (1992). Stacked generalization. Neural Networks, 5(2), 241–259.</w:t>
      </w:r>
    </w:p>
    <w:p w14:paraId="51315A18" w14:textId="77777777" w:rsidR="00BD2719" w:rsidRDefault="00000000">
      <w:pPr>
        <w:ind w:left="432" w:hanging="432"/>
        <w:jc w:val="both"/>
      </w:pPr>
      <w:r>
        <w:t>Notebook source: Telecom_churn(3).ipynb. Customer churn exploratory analysis and machine-learning implementation used as the empirical basis of this paper.</w:t>
      </w:r>
    </w:p>
    <w:sectPr w:rsidR="00BD2719" w:rsidSect="00034616">
      <w:headerReference w:type="default"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4C0A9" w14:textId="77777777" w:rsidR="0050698A" w:rsidRDefault="0050698A">
      <w:pPr>
        <w:spacing w:after="0" w:line="240" w:lineRule="auto"/>
      </w:pPr>
      <w:r>
        <w:separator/>
      </w:r>
    </w:p>
  </w:endnote>
  <w:endnote w:type="continuationSeparator" w:id="0">
    <w:p w14:paraId="0622A837" w14:textId="77777777" w:rsidR="0050698A" w:rsidRDefault="00506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2B5F" w14:textId="77777777" w:rsidR="00BD2719" w:rsidRDefault="00000000">
    <w:pPr>
      <w:pStyle w:val="Footer"/>
      <w:jc w:val="center"/>
    </w:pPr>
    <w:r>
      <w:t xml:space="preserve">Page </w:t>
    </w:r>
    <w:r>
      <w:fldChar w:fldCharType="begin"/>
    </w:r>
    <w:r>
      <w:instrText>PAGE</w:instrText>
    </w:r>
    <w:r>
      <w:fldChar w:fldCharType="separate"/>
    </w:r>
    <w:r w:rsidR="006D31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7DE7B" w14:textId="77777777" w:rsidR="0050698A" w:rsidRDefault="0050698A">
      <w:pPr>
        <w:spacing w:after="0" w:line="240" w:lineRule="auto"/>
      </w:pPr>
      <w:r>
        <w:separator/>
      </w:r>
    </w:p>
  </w:footnote>
  <w:footnote w:type="continuationSeparator" w:id="0">
    <w:p w14:paraId="017DFBDB" w14:textId="77777777" w:rsidR="0050698A" w:rsidRDefault="00506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74FCD" w14:textId="77777777" w:rsidR="00BD2719" w:rsidRDefault="00000000">
    <w:pPr>
      <w:pStyle w:val="Header"/>
      <w:jc w:val="right"/>
    </w:pPr>
    <w:r>
      <w:rPr>
        <w:i/>
        <w:sz w:val="18"/>
      </w:rPr>
      <w:t>Telecom Customer Churn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1153397">
    <w:abstractNumId w:val="8"/>
  </w:num>
  <w:num w:numId="2" w16cid:durableId="700207115">
    <w:abstractNumId w:val="6"/>
  </w:num>
  <w:num w:numId="3" w16cid:durableId="765617898">
    <w:abstractNumId w:val="5"/>
  </w:num>
  <w:num w:numId="4" w16cid:durableId="258411335">
    <w:abstractNumId w:val="4"/>
  </w:num>
  <w:num w:numId="5" w16cid:durableId="191501884">
    <w:abstractNumId w:val="7"/>
  </w:num>
  <w:num w:numId="6" w16cid:durableId="1965113479">
    <w:abstractNumId w:val="3"/>
  </w:num>
  <w:num w:numId="7" w16cid:durableId="1621766596">
    <w:abstractNumId w:val="2"/>
  </w:num>
  <w:num w:numId="8" w16cid:durableId="506600987">
    <w:abstractNumId w:val="1"/>
  </w:num>
  <w:num w:numId="9" w16cid:durableId="1695031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698A"/>
    <w:rsid w:val="006D319F"/>
    <w:rsid w:val="009F2FD8"/>
    <w:rsid w:val="00AA1D8D"/>
    <w:rsid w:val="00B47730"/>
    <w:rsid w:val="00BD27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EC462"/>
  <w14:defaultImageDpi w14:val="300"/>
  <w15:docId w15:val="{DC2E98EC-449E-41E4-A178-8A65E0C8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2889</Words>
  <Characters>16473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Prediction of Customer Churn in the Telecommunications Sector</dc:title>
  <dc:subject>Scientific research paper based on telecom churn notebook</dc:subject>
  <dc:creator>KABIRO DENNIS</dc:creator>
  <cp:keywords>telecom churn, machine learning, XGBoost, LightGBM, stacking classifier</cp:keywords>
  <dc:description>generated by python-docx</dc:description>
  <cp:lastModifiedBy>KABIRO DENNIS</cp:lastModifiedBy>
  <cp:revision>2</cp:revision>
  <dcterms:created xsi:type="dcterms:W3CDTF">2026-07-29T03:21:00Z</dcterms:created>
  <dcterms:modified xsi:type="dcterms:W3CDTF">2026-07-29T03:21:00Z</dcterms:modified>
  <cp:category/>
</cp:coreProperties>
</file>