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A6F" w:rsidRPr="007775C6" w:rsidRDefault="001D4A6F" w:rsidP="001D4A6F">
      <w:pPr>
        <w:spacing w:line="480" w:lineRule="auto"/>
        <w:jc w:val="center"/>
        <w:rPr>
          <w:b/>
          <w:bCs/>
          <w:sz w:val="28"/>
          <w:szCs w:val="28"/>
        </w:rPr>
      </w:pPr>
      <w:r>
        <w:rPr>
          <w:b/>
          <w:bCs/>
          <w:sz w:val="28"/>
          <w:szCs w:val="28"/>
        </w:rPr>
        <w:t>Credit Default Spread, Country Rating</w:t>
      </w:r>
      <w:r w:rsidR="0092350A">
        <w:rPr>
          <w:b/>
          <w:bCs/>
          <w:sz w:val="28"/>
          <w:szCs w:val="28"/>
        </w:rPr>
        <w:t>,</w:t>
      </w:r>
      <w:r>
        <w:rPr>
          <w:b/>
          <w:bCs/>
          <w:sz w:val="28"/>
          <w:szCs w:val="28"/>
        </w:rPr>
        <w:t xml:space="preserve"> and Sovereign Debt</w:t>
      </w:r>
    </w:p>
    <w:p w:rsidR="00477C9C" w:rsidRDefault="00477C9C" w:rsidP="00477C9C">
      <w:pPr>
        <w:jc w:val="center"/>
      </w:pPr>
    </w:p>
    <w:p w:rsidR="00477C9C" w:rsidRPr="001566A1" w:rsidRDefault="00477C9C" w:rsidP="00477C9C">
      <w:pPr>
        <w:jc w:val="center"/>
      </w:pPr>
      <w:r w:rsidRPr="001566A1">
        <w:t>Krishnan Dandapani</w:t>
      </w:r>
    </w:p>
    <w:p w:rsidR="00477C9C" w:rsidRPr="001566A1" w:rsidRDefault="00477C9C" w:rsidP="00477C9C">
      <w:pPr>
        <w:jc w:val="center"/>
      </w:pPr>
      <w:r w:rsidRPr="001566A1">
        <w:t>RB 209B, Department of Finance</w:t>
      </w:r>
    </w:p>
    <w:p w:rsidR="00477C9C" w:rsidRPr="001566A1" w:rsidRDefault="00477C9C" w:rsidP="00477C9C">
      <w:pPr>
        <w:jc w:val="center"/>
      </w:pPr>
      <w:r w:rsidRPr="001566A1">
        <w:t>College of Business Administration</w:t>
      </w:r>
    </w:p>
    <w:p w:rsidR="00477C9C" w:rsidRPr="001566A1" w:rsidRDefault="00477C9C" w:rsidP="00477C9C">
      <w:pPr>
        <w:jc w:val="center"/>
      </w:pPr>
      <w:r w:rsidRPr="001566A1">
        <w:t>Florida International University</w:t>
      </w:r>
    </w:p>
    <w:p w:rsidR="00477C9C" w:rsidRPr="001566A1" w:rsidRDefault="00477C9C" w:rsidP="00477C9C">
      <w:pPr>
        <w:jc w:val="center"/>
      </w:pPr>
      <w:r w:rsidRPr="001566A1">
        <w:t>11200 SW 8</w:t>
      </w:r>
      <w:r w:rsidRPr="001566A1">
        <w:rPr>
          <w:vertAlign w:val="superscript"/>
        </w:rPr>
        <w:t>th</w:t>
      </w:r>
      <w:r w:rsidRPr="001566A1">
        <w:t xml:space="preserve"> Street, Miami Florida 33199</w:t>
      </w:r>
    </w:p>
    <w:p w:rsidR="00477C9C" w:rsidRPr="001566A1" w:rsidRDefault="00477C9C" w:rsidP="00477C9C">
      <w:pPr>
        <w:jc w:val="center"/>
      </w:pPr>
      <w:r w:rsidRPr="001566A1">
        <w:t xml:space="preserve">Tel: (305)3484225 Email: </w:t>
      </w:r>
      <w:hyperlink r:id="rId7" w:history="1">
        <w:r w:rsidRPr="001566A1">
          <w:rPr>
            <w:rStyle w:val="Hyperlink"/>
          </w:rPr>
          <w:t>dandapan@fiu.edu</w:t>
        </w:r>
      </w:hyperlink>
    </w:p>
    <w:p w:rsidR="00477C9C" w:rsidRPr="001566A1" w:rsidRDefault="00477C9C" w:rsidP="00477C9C">
      <w:pPr>
        <w:jc w:val="center"/>
      </w:pPr>
    </w:p>
    <w:p w:rsidR="00477C9C" w:rsidRPr="001566A1" w:rsidRDefault="00477C9C" w:rsidP="00477C9C">
      <w:pPr>
        <w:jc w:val="center"/>
      </w:pPr>
    </w:p>
    <w:p w:rsidR="00477C9C" w:rsidRPr="001566A1" w:rsidRDefault="00477C9C" w:rsidP="00477C9C">
      <w:pPr>
        <w:jc w:val="center"/>
      </w:pPr>
      <w:r w:rsidRPr="001566A1">
        <w:t>Edward R. Lawrence</w:t>
      </w:r>
    </w:p>
    <w:p w:rsidR="00477C9C" w:rsidRPr="001566A1" w:rsidRDefault="00477C9C" w:rsidP="00477C9C">
      <w:pPr>
        <w:jc w:val="center"/>
      </w:pPr>
      <w:r w:rsidRPr="001566A1">
        <w:t>RB 207A, Department of Finance</w:t>
      </w:r>
    </w:p>
    <w:p w:rsidR="00477C9C" w:rsidRPr="001566A1" w:rsidRDefault="00477C9C" w:rsidP="00477C9C">
      <w:pPr>
        <w:jc w:val="center"/>
      </w:pPr>
      <w:r w:rsidRPr="001566A1">
        <w:t>College of Business Administration</w:t>
      </w:r>
    </w:p>
    <w:p w:rsidR="00477C9C" w:rsidRPr="001566A1" w:rsidRDefault="00477C9C" w:rsidP="00477C9C">
      <w:pPr>
        <w:jc w:val="center"/>
      </w:pPr>
      <w:r w:rsidRPr="001566A1">
        <w:t>Florida International University</w:t>
      </w:r>
    </w:p>
    <w:p w:rsidR="00477C9C" w:rsidRPr="001566A1" w:rsidRDefault="00477C9C" w:rsidP="00477C9C">
      <w:pPr>
        <w:jc w:val="center"/>
      </w:pPr>
      <w:r w:rsidRPr="001566A1">
        <w:t>11200 SW 8th Street, Miami FL 33199</w:t>
      </w:r>
    </w:p>
    <w:p w:rsidR="00477C9C" w:rsidRDefault="00477C9C" w:rsidP="00477C9C">
      <w:pPr>
        <w:jc w:val="center"/>
        <w:rPr>
          <w:rStyle w:val="Hyperlink"/>
        </w:rPr>
      </w:pPr>
      <w:r w:rsidRPr="001566A1">
        <w:t xml:space="preserve">Tel: (305) 348-0082 Email: </w:t>
      </w:r>
      <w:hyperlink r:id="rId8" w:history="1">
        <w:r w:rsidRPr="001566A1">
          <w:rPr>
            <w:rStyle w:val="Hyperlink"/>
          </w:rPr>
          <w:t>elawrenc@fiu.edu</w:t>
        </w:r>
      </w:hyperlink>
    </w:p>
    <w:p w:rsidR="00E23CB9" w:rsidRDefault="00E23CB9" w:rsidP="00E23CB9">
      <w:pPr>
        <w:jc w:val="center"/>
      </w:pPr>
    </w:p>
    <w:p w:rsidR="00E23CB9" w:rsidRPr="001566A1" w:rsidRDefault="00E23CB9" w:rsidP="00E23CB9">
      <w:pPr>
        <w:jc w:val="center"/>
      </w:pPr>
      <w:r>
        <w:t xml:space="preserve">Ivan M. Rodriguez, Jr. </w:t>
      </w:r>
    </w:p>
    <w:p w:rsidR="00E23CB9" w:rsidRPr="001566A1" w:rsidRDefault="00E23CB9" w:rsidP="00E23CB9">
      <w:pPr>
        <w:jc w:val="center"/>
      </w:pPr>
      <w:r w:rsidRPr="001566A1">
        <w:t>RB 2</w:t>
      </w:r>
      <w:r>
        <w:t>36</w:t>
      </w:r>
      <w:r w:rsidRPr="001566A1">
        <w:t>, Department of Finance</w:t>
      </w:r>
    </w:p>
    <w:p w:rsidR="00E23CB9" w:rsidRPr="001566A1" w:rsidRDefault="00E23CB9" w:rsidP="00E23CB9">
      <w:pPr>
        <w:jc w:val="center"/>
      </w:pPr>
      <w:r w:rsidRPr="001566A1">
        <w:t>College of Business Administration</w:t>
      </w:r>
    </w:p>
    <w:p w:rsidR="00E23CB9" w:rsidRPr="001566A1" w:rsidRDefault="00E23CB9" w:rsidP="00E23CB9">
      <w:pPr>
        <w:jc w:val="center"/>
      </w:pPr>
      <w:r w:rsidRPr="001566A1">
        <w:t>Florida International University</w:t>
      </w:r>
    </w:p>
    <w:p w:rsidR="00E23CB9" w:rsidRPr="001566A1" w:rsidRDefault="00E23CB9" w:rsidP="00E23CB9">
      <w:pPr>
        <w:jc w:val="center"/>
      </w:pPr>
      <w:r w:rsidRPr="001566A1">
        <w:t>11200 SW 8th Street, Miami FL 33199</w:t>
      </w:r>
    </w:p>
    <w:p w:rsidR="00E23CB9" w:rsidRPr="001566A1" w:rsidRDefault="00E23CB9" w:rsidP="00E23CB9">
      <w:pPr>
        <w:jc w:val="center"/>
      </w:pPr>
      <w:r w:rsidRPr="001566A1">
        <w:t xml:space="preserve">Tel: </w:t>
      </w:r>
      <w:r w:rsidRPr="00E23CB9">
        <w:t>(305) 348-2680</w:t>
      </w:r>
      <w:r w:rsidRPr="001566A1">
        <w:t xml:space="preserve">Email: </w:t>
      </w:r>
      <w:hyperlink r:id="rId9" w:history="1">
        <w:r w:rsidRPr="00EF135A">
          <w:rPr>
            <w:rStyle w:val="Hyperlink"/>
          </w:rPr>
          <w:t>imrodrig@fiu.edu</w:t>
        </w:r>
      </w:hyperlink>
    </w:p>
    <w:p w:rsidR="00E23CB9" w:rsidRPr="001566A1" w:rsidRDefault="00E23CB9" w:rsidP="00477C9C">
      <w:pPr>
        <w:jc w:val="center"/>
      </w:pPr>
    </w:p>
    <w:p w:rsidR="00A551B9" w:rsidRDefault="00A551B9" w:rsidP="00A551B9">
      <w:pPr>
        <w:rPr>
          <w:b/>
          <w:bCs/>
          <w:sz w:val="28"/>
          <w:szCs w:val="28"/>
        </w:rPr>
      </w:pPr>
    </w:p>
    <w:p w:rsidR="000514A0" w:rsidRDefault="000514A0" w:rsidP="00A551B9">
      <w:pPr>
        <w:jc w:val="center"/>
        <w:rPr>
          <w:b/>
          <w:bCs/>
          <w:sz w:val="28"/>
          <w:szCs w:val="28"/>
        </w:rPr>
      </w:pPr>
    </w:p>
    <w:p w:rsidR="001D4A6F" w:rsidRDefault="005B5327" w:rsidP="00A551B9">
      <w:pPr>
        <w:jc w:val="center"/>
        <w:rPr>
          <w:b/>
          <w:bCs/>
          <w:sz w:val="28"/>
          <w:szCs w:val="28"/>
        </w:rPr>
      </w:pPr>
      <w:r>
        <w:rPr>
          <w:b/>
          <w:bCs/>
          <w:sz w:val="28"/>
          <w:szCs w:val="28"/>
        </w:rPr>
        <w:t xml:space="preserve">First Draft, </w:t>
      </w:r>
      <w:r w:rsidR="000514A0">
        <w:rPr>
          <w:b/>
          <w:bCs/>
          <w:sz w:val="28"/>
          <w:szCs w:val="28"/>
        </w:rPr>
        <w:t xml:space="preserve">Preliminary and Incomplete </w:t>
      </w:r>
    </w:p>
    <w:p w:rsidR="000514A0" w:rsidRPr="001D4A6F" w:rsidRDefault="000514A0" w:rsidP="00A551B9">
      <w:pPr>
        <w:jc w:val="center"/>
        <w:rPr>
          <w:b/>
          <w:bCs/>
          <w:sz w:val="28"/>
          <w:szCs w:val="28"/>
        </w:rPr>
      </w:pPr>
      <w:r>
        <w:rPr>
          <w:b/>
          <w:bCs/>
          <w:sz w:val="28"/>
          <w:szCs w:val="28"/>
        </w:rPr>
        <w:t>Pl. do not quote</w:t>
      </w:r>
    </w:p>
    <w:p w:rsidR="000514A0" w:rsidRDefault="000514A0" w:rsidP="00A551B9">
      <w:pPr>
        <w:spacing w:line="360" w:lineRule="auto"/>
        <w:jc w:val="both"/>
        <w:rPr>
          <w:b/>
          <w:bCs/>
        </w:rPr>
      </w:pPr>
    </w:p>
    <w:p w:rsidR="008E14FB" w:rsidRDefault="008E14FB" w:rsidP="008E14FB"/>
    <w:p w:rsidR="008E14FB" w:rsidRDefault="008E14FB" w:rsidP="008E14FB"/>
    <w:p w:rsidR="008E14FB" w:rsidRDefault="008E14FB" w:rsidP="008E14FB">
      <w:pPr>
        <w:jc w:val="center"/>
      </w:pPr>
      <w:r>
        <w:rPr>
          <w:b/>
          <w:bCs/>
          <w:sz w:val="28"/>
          <w:szCs w:val="28"/>
        </w:rPr>
        <w:t>Abstract</w:t>
      </w:r>
    </w:p>
    <w:p w:rsidR="008E14FB" w:rsidRDefault="008E14FB" w:rsidP="008E14FB"/>
    <w:p w:rsidR="008E14FB" w:rsidRDefault="008E14FB" w:rsidP="008E14FB"/>
    <w:p w:rsidR="008E14FB" w:rsidRPr="008E14FB" w:rsidRDefault="008E14FB" w:rsidP="008E14FB">
      <w:pPr>
        <w:rPr>
          <w:b/>
          <w:bCs/>
        </w:rPr>
      </w:pPr>
      <w:r>
        <w:t>In this study we provide evidence on macroeconomic variables to determine country rating, namely, GDP per capita, external debt as a percentage of export, the level of economic development, default history, real growth rate and inflation rate. Another major contribution of this study is the analysis of the use of CDS to neutralize sovereign debt.  Our results, using historic and time series data, could validate the use of credit default spread on sovereign debt which is superior to sovereign bond spread in determining country risk.  This could lead to new studies incorporating CDS in determining country risk.</w:t>
      </w:r>
    </w:p>
    <w:p w:rsidR="008E14FB" w:rsidRDefault="008E14FB">
      <w:pPr>
        <w:rPr>
          <w:b/>
          <w:bCs/>
        </w:rPr>
      </w:pPr>
    </w:p>
    <w:p w:rsidR="008E14FB" w:rsidRDefault="00BF4576">
      <w:pPr>
        <w:rPr>
          <w:b/>
          <w:bCs/>
          <w:sz w:val="28"/>
          <w:szCs w:val="28"/>
        </w:rPr>
      </w:pPr>
      <w:r w:rsidRPr="00BF4576">
        <w:t>Keywords: Credit Default Spreads, Sovereign Debt, Country risk</w:t>
      </w:r>
      <w:r>
        <w:t xml:space="preserve"> ratings</w:t>
      </w:r>
      <w:r w:rsidR="008E14FB">
        <w:rPr>
          <w:b/>
          <w:bCs/>
          <w:sz w:val="28"/>
          <w:szCs w:val="28"/>
        </w:rPr>
        <w:br w:type="page"/>
      </w:r>
    </w:p>
    <w:p w:rsidR="00477C9C" w:rsidRPr="007775C6" w:rsidRDefault="00477C9C" w:rsidP="00477C9C">
      <w:pPr>
        <w:spacing w:line="480" w:lineRule="auto"/>
        <w:jc w:val="center"/>
        <w:rPr>
          <w:b/>
          <w:bCs/>
          <w:sz w:val="28"/>
          <w:szCs w:val="28"/>
        </w:rPr>
      </w:pPr>
      <w:r>
        <w:rPr>
          <w:b/>
          <w:bCs/>
          <w:sz w:val="28"/>
          <w:szCs w:val="28"/>
        </w:rPr>
        <w:lastRenderedPageBreak/>
        <w:t>Credit Default Spread, Country Rating, and Sovereign Debt</w:t>
      </w:r>
    </w:p>
    <w:p w:rsidR="00477C9C" w:rsidRDefault="00477C9C" w:rsidP="00A551B9">
      <w:pPr>
        <w:spacing w:line="360" w:lineRule="auto"/>
        <w:jc w:val="both"/>
        <w:rPr>
          <w:b/>
          <w:bCs/>
        </w:rPr>
      </w:pPr>
    </w:p>
    <w:p w:rsidR="00E019B1" w:rsidRPr="00E019B1" w:rsidRDefault="00E019B1" w:rsidP="00A551B9">
      <w:pPr>
        <w:spacing w:line="360" w:lineRule="auto"/>
        <w:jc w:val="both"/>
        <w:rPr>
          <w:b/>
          <w:bCs/>
        </w:rPr>
      </w:pPr>
      <w:r w:rsidRPr="00E019B1">
        <w:rPr>
          <w:b/>
          <w:bCs/>
        </w:rPr>
        <w:t>Introduction</w:t>
      </w:r>
      <w:r w:rsidR="001D4A6F">
        <w:rPr>
          <w:b/>
          <w:bCs/>
        </w:rPr>
        <w:t>:</w:t>
      </w:r>
    </w:p>
    <w:p w:rsidR="001C25DF" w:rsidRDefault="00E019B1" w:rsidP="00A551B9">
      <w:pPr>
        <w:spacing w:line="360" w:lineRule="auto"/>
        <w:jc w:val="both"/>
      </w:pPr>
      <w:r>
        <w:tab/>
      </w:r>
      <w:r w:rsidR="0011690F">
        <w:t>Over the past twenty</w:t>
      </w:r>
      <w:r w:rsidR="008F138A">
        <w:t xml:space="preserve"> years, sovereign debt issued by national governments has grown</w:t>
      </w:r>
      <w:r w:rsidR="0011690F">
        <w:t xml:space="preserve"> astronomically</w:t>
      </w:r>
      <w:r w:rsidR="00ED3BB1">
        <w:t xml:space="preserve"> and the </w:t>
      </w:r>
      <w:r w:rsidR="00CB5E79">
        <w:t xml:space="preserve">current </w:t>
      </w:r>
      <w:r w:rsidR="00ED3BB1">
        <w:t xml:space="preserve">debt levels of </w:t>
      </w:r>
      <w:r w:rsidR="00CB5E79">
        <w:t xml:space="preserve">global </w:t>
      </w:r>
      <w:r w:rsidR="00ED3BB1">
        <w:t>nations are staggering</w:t>
      </w:r>
      <w:r w:rsidR="008F138A">
        <w:t xml:space="preserve">. </w:t>
      </w:r>
      <w:r w:rsidR="005B5327">
        <w:t xml:space="preserve"> </w:t>
      </w:r>
      <w:r w:rsidR="007E0A92">
        <w:t xml:space="preserve">[Chart 1] </w:t>
      </w:r>
      <w:r w:rsidR="0011690F">
        <w:t xml:space="preserve">However, </w:t>
      </w:r>
      <w:r w:rsidR="007E0A92">
        <w:t xml:space="preserve">the enhanced leverage levels </w:t>
      </w:r>
      <w:r w:rsidR="00CB5E79">
        <w:t>raise</w:t>
      </w:r>
      <w:r w:rsidR="0011690F">
        <w:t xml:space="preserve"> some very troubli</w:t>
      </w:r>
      <w:r w:rsidR="00ED3BB1">
        <w:t>ng questions.</w:t>
      </w:r>
      <w:r w:rsidR="001C25DF">
        <w:t xml:space="preserve">  How can global investors avoid the vicious cycle of boom and bust of nations which lead to sovereign defaults</w:t>
      </w:r>
      <w:r w:rsidR="007E0A92">
        <w:t xml:space="preserve"> such as the Russian and Asian crisis of the 1990s and the European crisis of 2000s</w:t>
      </w:r>
      <w:r w:rsidR="001C25DF">
        <w:t xml:space="preserve">. </w:t>
      </w:r>
      <w:r w:rsidR="00ED3BB1">
        <w:t xml:space="preserve"> How safe are the sovereign debt</w:t>
      </w:r>
      <w:r w:rsidR="0011690F">
        <w:t xml:space="preserve"> markets for the global investors? </w:t>
      </w:r>
      <w:r w:rsidR="00ED3BB1">
        <w:t xml:space="preserve"> </w:t>
      </w:r>
      <w:r w:rsidR="00CB5E79">
        <w:t xml:space="preserve">  Sovereign defaults have an enormous potential to</w:t>
      </w:r>
      <w:r w:rsidR="001D4A6F">
        <w:t xml:space="preserve"> </w:t>
      </w:r>
      <w:r w:rsidR="00CB5E79">
        <w:t>create a global</w:t>
      </w:r>
      <w:r w:rsidR="00EB1BC2">
        <w:t xml:space="preserve"> contagion and causal effects</w:t>
      </w:r>
      <w:r w:rsidR="00CB5E79">
        <w:t xml:space="preserve"> leading to worldwide recession</w:t>
      </w:r>
      <w:r w:rsidR="007E0A92">
        <w:t xml:space="preserve"> [See Chart II]</w:t>
      </w:r>
      <w:r w:rsidR="00CB5E79">
        <w:t>.</w:t>
      </w:r>
      <w:r w:rsidR="0011690F">
        <w:t xml:space="preserve"> </w:t>
      </w:r>
      <w:r w:rsidR="00CB5E79">
        <w:t xml:space="preserve">Recently, we witnessed the </w:t>
      </w:r>
      <w:r w:rsidR="00E23CB9">
        <w:t>apocalyptic</w:t>
      </w:r>
      <w:bookmarkStart w:id="0" w:name="_GoBack"/>
      <w:bookmarkEnd w:id="0"/>
      <w:r w:rsidR="00CB5E79">
        <w:t xml:space="preserve"> bank run in Cyprus following the restructuring of national debt in Greece.</w:t>
      </w:r>
      <w:r w:rsidR="001C25DF" w:rsidRPr="001C25DF">
        <w:t xml:space="preserve"> </w:t>
      </w:r>
      <w:r w:rsidR="001C25DF">
        <w:t xml:space="preserve"> When investors receive a severe haircut in sovereign debt investments such as Ireland, Greece it has a cascading effect leading to an economic downturn.</w:t>
      </w:r>
      <w:r w:rsidR="00CB5E79">
        <w:t xml:space="preserve"> </w:t>
      </w:r>
      <w:r w:rsidR="0011690F">
        <w:t xml:space="preserve"> Historically, investors have relied on </w:t>
      </w:r>
      <w:r w:rsidR="001D4A6F">
        <w:t xml:space="preserve">Credit </w:t>
      </w:r>
      <w:r w:rsidR="0011690F">
        <w:t>rating</w:t>
      </w:r>
      <w:r w:rsidR="008202B5">
        <w:t xml:space="preserve"> agencies to guide</w:t>
      </w:r>
      <w:r w:rsidR="001D4A6F">
        <w:t xml:space="preserve"> their investment decisions</w:t>
      </w:r>
      <w:r w:rsidR="00CB5E79">
        <w:t>,</w:t>
      </w:r>
      <w:r w:rsidR="001D4A6F">
        <w:t xml:space="preserve"> and r</w:t>
      </w:r>
      <w:r w:rsidR="008F138A">
        <w:t>ating agencies</w:t>
      </w:r>
      <w:r w:rsidR="0011690F">
        <w:t xml:space="preserve"> have played</w:t>
      </w:r>
      <w:r w:rsidR="00225CCD">
        <w:t xml:space="preserve"> a very</w:t>
      </w:r>
      <w:r w:rsidR="00982402">
        <w:t xml:space="preserve"> crucial role in</w:t>
      </w:r>
      <w:r w:rsidR="00641854">
        <w:t xml:space="preserve"> investo</w:t>
      </w:r>
      <w:r w:rsidR="00E83A39">
        <w:t>r’s decision</w:t>
      </w:r>
      <w:r w:rsidR="00982402">
        <w:t>s</w:t>
      </w:r>
      <w:r w:rsidR="00E83A39">
        <w:t xml:space="preserve"> in </w:t>
      </w:r>
      <w:r w:rsidR="00E20CF4">
        <w:t>fixed-income</w:t>
      </w:r>
      <w:r w:rsidR="00641854">
        <w:t xml:space="preserve"> market.</w:t>
      </w:r>
      <w:r w:rsidR="00E83A39" w:rsidRPr="00445FDA">
        <w:t xml:space="preserve"> </w:t>
      </w:r>
      <w:r w:rsidR="00EB1BC2">
        <w:t xml:space="preserve"> </w:t>
      </w:r>
      <w:r w:rsidR="00982402">
        <w:t>Ratings are initiated</w:t>
      </w:r>
      <w:r w:rsidR="00CB5E79">
        <w:t xml:space="preserve"> and constantly</w:t>
      </w:r>
      <w:r w:rsidR="00982402">
        <w:t xml:space="preserve"> monitored </w:t>
      </w:r>
      <w:r w:rsidR="001C25DF">
        <w:t>as economic conditions vary</w:t>
      </w:r>
      <w:r w:rsidR="007E0A92">
        <w:t xml:space="preserve"> and</w:t>
      </w:r>
      <w:r w:rsidR="00CB5E79">
        <w:t xml:space="preserve"> reflect</w:t>
      </w:r>
      <w:r w:rsidR="00982402">
        <w:t xml:space="preserve"> </w:t>
      </w:r>
      <w:r w:rsidR="009C56EE" w:rsidRPr="00445FDA">
        <w:t>the</w:t>
      </w:r>
      <w:r w:rsidR="001C25DF">
        <w:t xml:space="preserve"> expected</w:t>
      </w:r>
      <w:r w:rsidR="009C56EE" w:rsidRPr="00445FDA">
        <w:t xml:space="preserve"> performance of </w:t>
      </w:r>
      <w:r w:rsidR="002775D0">
        <w:t>underlying asset</w:t>
      </w:r>
      <w:r w:rsidR="008F138A">
        <w:t>s</w:t>
      </w:r>
      <w:r w:rsidR="00C74C9C">
        <w:t>,</w:t>
      </w:r>
      <w:r w:rsidR="00982402">
        <w:t xml:space="preserve"> and probabilities of default. </w:t>
      </w:r>
      <w:r w:rsidR="00EB1BC2">
        <w:t>While</w:t>
      </w:r>
      <w:r w:rsidR="001D4A6F">
        <w:t xml:space="preserve"> r</w:t>
      </w:r>
      <w:r w:rsidR="00982402">
        <w:t>ating</w:t>
      </w:r>
      <w:r w:rsidR="008141EF">
        <w:t xml:space="preserve"> agencies </w:t>
      </w:r>
      <w:r w:rsidR="00982402">
        <w:t>use varied parameters and</w:t>
      </w:r>
      <w:r w:rsidR="00EC4469">
        <w:t xml:space="preserve"> methodologies</w:t>
      </w:r>
      <w:r w:rsidR="007E0A92">
        <w:t xml:space="preserve"> in assigning ratings</w:t>
      </w:r>
      <w:r w:rsidR="00C4645F">
        <w:t>;</w:t>
      </w:r>
      <w:r w:rsidR="007E0A92">
        <w:t xml:space="preserve"> n</w:t>
      </w:r>
      <w:r w:rsidR="00982402">
        <w:t>evertheless</w:t>
      </w:r>
      <w:r w:rsidR="00EB1BC2">
        <w:t>, the ratings of most sovereign</w:t>
      </w:r>
      <w:r w:rsidR="007E0A92">
        <w:t>s</w:t>
      </w:r>
      <w:r w:rsidR="00982402">
        <w:t xml:space="preserve"> tend to </w:t>
      </w:r>
      <w:r w:rsidR="007C131B">
        <w:t xml:space="preserve">be highly correlated and tend to </w:t>
      </w:r>
      <w:r w:rsidR="00982402">
        <w:t xml:space="preserve">converge. </w:t>
      </w:r>
      <w:r w:rsidR="008F138A">
        <w:t xml:space="preserve"> </w:t>
      </w:r>
      <w:r w:rsidR="008202B5">
        <w:t xml:space="preserve">From a borrower’s perspective, </w:t>
      </w:r>
      <w:r w:rsidR="007E0A92">
        <w:t>rating affects</w:t>
      </w:r>
      <w:r w:rsidR="008F138A">
        <w:t xml:space="preserve"> the cost of borrowing</w:t>
      </w:r>
      <w:r w:rsidR="00EC4469">
        <w:t xml:space="preserve">. </w:t>
      </w:r>
      <w:r w:rsidR="008F138A">
        <w:t xml:space="preserve"> R</w:t>
      </w:r>
      <w:r w:rsidR="00CA6D24">
        <w:t>ating</w:t>
      </w:r>
      <w:r w:rsidR="008F138A">
        <w:t>s</w:t>
      </w:r>
      <w:r w:rsidR="00CA6D24">
        <w:t xml:space="preserve"> down</w:t>
      </w:r>
      <w:r w:rsidR="008F138A">
        <w:t xml:space="preserve">ward migration </w:t>
      </w:r>
      <w:r w:rsidR="00CA6D24">
        <w:t>affects adversely whereas the rating upgrade</w:t>
      </w:r>
      <w:r w:rsidR="00DD1362">
        <w:t>s</w:t>
      </w:r>
      <w:r w:rsidR="00CA6D24">
        <w:t xml:space="preserve"> reduces the cos</w:t>
      </w:r>
      <w:r w:rsidR="00D34C51">
        <w:t xml:space="preserve">t of borrowing. </w:t>
      </w:r>
      <w:r w:rsidR="008F138A">
        <w:t>Hence</w:t>
      </w:r>
      <w:r w:rsidR="00FF5D38">
        <w:t>, t</w:t>
      </w:r>
      <w:r w:rsidR="00D34C51">
        <w:t>he determinants</w:t>
      </w:r>
      <w:r w:rsidR="00CA6D24">
        <w:t xml:space="preserve"> of country rating </w:t>
      </w:r>
      <w:r w:rsidR="00DD10D1">
        <w:t xml:space="preserve">are </w:t>
      </w:r>
      <w:r w:rsidR="008F138A">
        <w:t xml:space="preserve">of crucial </w:t>
      </w:r>
      <w:r w:rsidR="00DD10D1">
        <w:t>interest</w:t>
      </w:r>
      <w:r w:rsidR="0011690F">
        <w:t xml:space="preserve"> for both borrower and lender</w:t>
      </w:r>
      <w:r w:rsidR="008F138A">
        <w:t>.</w:t>
      </w:r>
      <w:r w:rsidR="00DD10D1">
        <w:t xml:space="preserve"> </w:t>
      </w:r>
      <w:r w:rsidR="008F138A">
        <w:t xml:space="preserve"> </w:t>
      </w:r>
      <w:r w:rsidR="00CB5E79">
        <w:t xml:space="preserve">Ratings serve as an important signal in guiding investor decisions. </w:t>
      </w:r>
      <w:r w:rsidR="00DD1362">
        <w:t xml:space="preserve">What factors affect sovereign debt </w:t>
      </w:r>
      <w:r w:rsidR="0011690F">
        <w:t>ratings</w:t>
      </w:r>
      <w:r w:rsidR="00DD1362">
        <w:t xml:space="preserve">? </w:t>
      </w:r>
      <w:r w:rsidR="0011690F">
        <w:t xml:space="preserve"> </w:t>
      </w:r>
      <w:r w:rsidR="00EB1BC2">
        <w:t>Some prior</w:t>
      </w:r>
      <w:r w:rsidR="00DD10D1">
        <w:t xml:space="preserve"> researchers</w:t>
      </w:r>
      <w:r w:rsidR="008F138A">
        <w:t xml:space="preserve">, when analyzing </w:t>
      </w:r>
      <w:r w:rsidR="00C74C9C">
        <w:t>ratings</w:t>
      </w:r>
      <w:r w:rsidR="00DD10D1">
        <w:t xml:space="preserve"> find </w:t>
      </w:r>
      <w:r w:rsidR="00DD1362">
        <w:t xml:space="preserve">very </w:t>
      </w:r>
      <w:r w:rsidR="008F138A">
        <w:t>high correlation between</w:t>
      </w:r>
      <w:r w:rsidR="00DD10D1">
        <w:t xml:space="preserve"> sovereign </w:t>
      </w:r>
      <w:r w:rsidR="0011690F">
        <w:t>debt</w:t>
      </w:r>
      <w:r w:rsidR="00DD1362">
        <w:t xml:space="preserve"> rating</w:t>
      </w:r>
      <w:r w:rsidR="0011690F">
        <w:t>s and</w:t>
      </w:r>
      <w:r w:rsidR="00DD1362">
        <w:t xml:space="preserve"> </w:t>
      </w:r>
      <w:r w:rsidR="00DD10D1">
        <w:t>the country rating</w:t>
      </w:r>
      <w:r w:rsidR="008F138A">
        <w:t>.</w:t>
      </w:r>
      <w:r w:rsidR="00DD10D1">
        <w:t xml:space="preserve"> </w:t>
      </w:r>
      <w:r w:rsidR="00C74C9C">
        <w:t xml:space="preserve">However, </w:t>
      </w:r>
      <w:r w:rsidR="00CB5E79">
        <w:t>the fundamental</w:t>
      </w:r>
      <w:r w:rsidR="00D34C51">
        <w:t xml:space="preserve"> factors</w:t>
      </w:r>
      <w:r w:rsidR="00EB1BC2">
        <w:t xml:space="preserve"> and dynamic linkage mechanism</w:t>
      </w:r>
      <w:r w:rsidR="00D34C51">
        <w:t xml:space="preserve"> for </w:t>
      </w:r>
      <w:r w:rsidR="00C74C9C">
        <w:t xml:space="preserve">debt rating and </w:t>
      </w:r>
      <w:r w:rsidR="00D34C51">
        <w:t>country rating are</w:t>
      </w:r>
      <w:r w:rsidR="00C74C9C">
        <w:t xml:space="preserve"> varied</w:t>
      </w:r>
      <w:r w:rsidR="00EB1BC2">
        <w:t>,</w:t>
      </w:r>
      <w:r w:rsidR="00C74C9C">
        <w:t xml:space="preserve"> and evolving</w:t>
      </w:r>
      <w:r w:rsidR="00D34C51">
        <w:t xml:space="preserve">.  </w:t>
      </w:r>
      <w:r w:rsidR="00C74C9C">
        <w:t xml:space="preserve"> </w:t>
      </w:r>
    </w:p>
    <w:p w:rsidR="001C25DF" w:rsidRDefault="001C25DF" w:rsidP="00A551B9">
      <w:pPr>
        <w:spacing w:line="360" w:lineRule="auto"/>
        <w:jc w:val="both"/>
      </w:pPr>
    </w:p>
    <w:p w:rsidR="00F01066" w:rsidRDefault="007C131B" w:rsidP="00A551B9">
      <w:pPr>
        <w:spacing w:line="360" w:lineRule="auto"/>
        <w:jc w:val="both"/>
      </w:pPr>
      <w:r>
        <w:t>In th</w:t>
      </w:r>
      <w:r w:rsidR="00EB1BC2">
        <w:t>is study</w:t>
      </w:r>
      <w:r w:rsidR="00CB5E79">
        <w:t xml:space="preserve">, </w:t>
      </w:r>
      <w:r w:rsidR="001C25DF">
        <w:t xml:space="preserve">building on prior works, </w:t>
      </w:r>
      <w:r w:rsidR="00CB5E79">
        <w:t>as a first step,</w:t>
      </w:r>
      <w:r w:rsidR="001C25DF">
        <w:t xml:space="preserve"> we explore the linkages between country rating</w:t>
      </w:r>
      <w:r w:rsidR="00D2099C">
        <w:t xml:space="preserve"> and debt issues of a nation.</w:t>
      </w:r>
      <w:r w:rsidR="001C25DF">
        <w:t xml:space="preserve"> In the second step, we</w:t>
      </w:r>
      <w:r w:rsidR="00EB1BC2">
        <w:t xml:space="preserve"> examine the</w:t>
      </w:r>
      <w:r>
        <w:t xml:space="preserve"> </w:t>
      </w:r>
      <w:r w:rsidR="005B5327">
        <w:t xml:space="preserve">rigorous </w:t>
      </w:r>
      <w:r>
        <w:t xml:space="preserve">relationship between the two different </w:t>
      </w:r>
      <w:r w:rsidR="00EB1BC2">
        <w:t xml:space="preserve">national </w:t>
      </w:r>
      <w:r>
        <w:t>ratings</w:t>
      </w:r>
      <w:r w:rsidR="001C25DF">
        <w:t xml:space="preserve"> and whether one has a causal </w:t>
      </w:r>
      <w:r w:rsidR="001C25DF">
        <w:lastRenderedPageBreak/>
        <w:t>relationship with another</w:t>
      </w:r>
      <w:r>
        <w:t xml:space="preserve">. </w:t>
      </w:r>
      <w:r w:rsidR="00EB1BC2">
        <w:t xml:space="preserve"> </w:t>
      </w:r>
      <w:r w:rsidR="001C25DF">
        <w:t>In the third</w:t>
      </w:r>
      <w:r w:rsidR="00CB5E79">
        <w:t xml:space="preserve"> step, </w:t>
      </w:r>
      <w:r w:rsidR="001C25DF">
        <w:t>w</w:t>
      </w:r>
      <w:r w:rsidR="00CB5E79">
        <w:t xml:space="preserve">e </w:t>
      </w:r>
      <w:r w:rsidR="00EB1BC2">
        <w:t>examine whether the</w:t>
      </w:r>
      <w:r w:rsidR="008202B5">
        <w:t xml:space="preserve"> newer</w:t>
      </w:r>
      <w:r w:rsidR="00EB1BC2">
        <w:t xml:space="preserve"> financial</w:t>
      </w:r>
      <w:r w:rsidR="008202B5">
        <w:t xml:space="preserve"> </w:t>
      </w:r>
      <w:r w:rsidR="00CB5E79">
        <w:t xml:space="preserve">engineering </w:t>
      </w:r>
      <w:r w:rsidR="008202B5">
        <w:t xml:space="preserve">innovation, </w:t>
      </w:r>
      <w:r w:rsidR="000A3569">
        <w:t>cred</w:t>
      </w:r>
      <w:r w:rsidR="00C74C9C">
        <w:t xml:space="preserve">it default swap (CDS) </w:t>
      </w:r>
      <w:r w:rsidR="007F1B61">
        <w:t>could be used</w:t>
      </w:r>
      <w:r w:rsidR="001C25DF">
        <w:t xml:space="preserve"> as a risk transfer mechanism in </w:t>
      </w:r>
      <w:r w:rsidR="007F1B61">
        <w:t xml:space="preserve">minimizing </w:t>
      </w:r>
      <w:r w:rsidR="00EB1BC2">
        <w:t>sovereign risk</w:t>
      </w:r>
      <w:r w:rsidR="00C74C9C">
        <w:t>.  In an efficient market</w:t>
      </w:r>
      <w:r w:rsidR="000A3569">
        <w:t>, the credit default</w:t>
      </w:r>
      <w:r w:rsidR="00EB1BC2">
        <w:t xml:space="preserve"> swap should</w:t>
      </w:r>
      <w:r w:rsidR="00DD1362">
        <w:t xml:space="preserve"> appropriately price and insure against the</w:t>
      </w:r>
      <w:r w:rsidR="00C74C9C">
        <w:t xml:space="preserve"> </w:t>
      </w:r>
      <w:r w:rsidR="000A3569">
        <w:t>potential credit risk of reference entity.</w:t>
      </w:r>
      <w:r w:rsidR="00ED3BB1">
        <w:t xml:space="preserve"> </w:t>
      </w:r>
      <w:r w:rsidR="000A3569">
        <w:t xml:space="preserve"> </w:t>
      </w:r>
      <w:r w:rsidR="00DD1362">
        <w:t xml:space="preserve">In a global context, </w:t>
      </w:r>
      <w:r w:rsidR="00390853">
        <w:t xml:space="preserve">the country rating </w:t>
      </w:r>
      <w:r w:rsidR="00747595">
        <w:t>should be</w:t>
      </w:r>
      <w:r w:rsidR="00390853">
        <w:t xml:space="preserve"> determined by credit default spread on sovereign debt. </w:t>
      </w:r>
      <w:r w:rsidR="008202B5">
        <w:t xml:space="preserve"> </w:t>
      </w:r>
      <w:r w:rsidR="00EB1BC2">
        <w:t>Hence</w:t>
      </w:r>
      <w:r w:rsidR="00C4645F">
        <w:t>,</w:t>
      </w:r>
      <w:r w:rsidR="00BF057E">
        <w:t xml:space="preserve">  </w:t>
      </w:r>
      <w:r w:rsidR="00EB1BC2">
        <w:t xml:space="preserve"> we</w:t>
      </w:r>
      <w:r w:rsidR="00DD1362">
        <w:t xml:space="preserve"> explore </w:t>
      </w:r>
      <w:r w:rsidR="001C25DF">
        <w:t>the</w:t>
      </w:r>
      <w:r w:rsidR="00747595">
        <w:t xml:space="preserve"> potential determi</w:t>
      </w:r>
      <w:r w:rsidR="00BE752E">
        <w:t xml:space="preserve">nants of country rating, </w:t>
      </w:r>
      <w:r w:rsidR="00ED3BB1">
        <w:t xml:space="preserve">and evaluate </w:t>
      </w:r>
      <w:r w:rsidR="00BE752E">
        <w:t>the credit default</w:t>
      </w:r>
      <w:r w:rsidR="00747595">
        <w:t xml:space="preserve"> spread </w:t>
      </w:r>
      <w:r w:rsidR="00390853">
        <w:t xml:space="preserve">on sovereign </w:t>
      </w:r>
      <w:r w:rsidR="00ED3BB1">
        <w:t>debt instead</w:t>
      </w:r>
      <w:r w:rsidR="00390853">
        <w:t xml:space="preserve"> of sovereign bond spreads over treasuries</w:t>
      </w:r>
      <w:r w:rsidR="00BE752E">
        <w:t xml:space="preserve"> for country rating model</w:t>
      </w:r>
      <w:r w:rsidR="00ED3BB1">
        <w:t xml:space="preserve"> which has been the norm prior to evolution of CDS</w:t>
      </w:r>
      <w:r w:rsidR="00390853">
        <w:t xml:space="preserve">.   </w:t>
      </w:r>
      <w:r w:rsidR="008202B5">
        <w:t>The sovereign debts financed by national governments are used as reference p</w:t>
      </w:r>
      <w:r w:rsidR="00ED3BB1">
        <w:t>oint.</w:t>
      </w:r>
    </w:p>
    <w:p w:rsidR="00D2099C" w:rsidRDefault="0065054A" w:rsidP="00D2099C">
      <w:pPr>
        <w:spacing w:line="360" w:lineRule="auto"/>
        <w:jc w:val="both"/>
        <w:rPr>
          <w:b/>
          <w:bCs/>
        </w:rPr>
      </w:pPr>
      <w:r w:rsidRPr="00F01066">
        <w:rPr>
          <w:b/>
          <w:bCs/>
        </w:rPr>
        <w:t xml:space="preserve">   </w:t>
      </w:r>
    </w:p>
    <w:p w:rsidR="00D2099C" w:rsidRDefault="00D2099C" w:rsidP="00D2099C">
      <w:pPr>
        <w:spacing w:line="360" w:lineRule="auto"/>
        <w:jc w:val="both"/>
        <w:rPr>
          <w:b/>
          <w:bCs/>
        </w:rPr>
      </w:pPr>
      <w:r w:rsidRPr="00E336DA">
        <w:rPr>
          <w:b/>
          <w:bCs/>
        </w:rPr>
        <w:t>Hypothesis</w:t>
      </w:r>
    </w:p>
    <w:p w:rsidR="005B01A9" w:rsidRDefault="005B01A9" w:rsidP="00A551B9">
      <w:pPr>
        <w:spacing w:line="360" w:lineRule="auto"/>
        <w:jc w:val="both"/>
        <w:rPr>
          <w:b/>
          <w:bCs/>
        </w:rPr>
      </w:pPr>
    </w:p>
    <w:p w:rsidR="00DA385C" w:rsidRDefault="007C131B" w:rsidP="00A551B9">
      <w:pPr>
        <w:spacing w:line="360" w:lineRule="auto"/>
        <w:ind w:firstLine="720"/>
        <w:jc w:val="both"/>
      </w:pPr>
      <w:r>
        <w:t>While t</w:t>
      </w:r>
      <w:r w:rsidR="008202B5">
        <w:t xml:space="preserve">here are </w:t>
      </w:r>
      <w:r>
        <w:t>voluminous</w:t>
      </w:r>
      <w:r w:rsidR="00D0199F">
        <w:t xml:space="preserve"> </w:t>
      </w:r>
      <w:r w:rsidR="001C5362">
        <w:t>works</w:t>
      </w:r>
      <w:r w:rsidR="008202B5">
        <w:t xml:space="preserve"> studying</w:t>
      </w:r>
      <w:r w:rsidR="00D0199F">
        <w:t xml:space="preserve"> the relation between macroeconomic vari</w:t>
      </w:r>
      <w:r w:rsidR="0039465C">
        <w:t xml:space="preserve">ables and country </w:t>
      </w:r>
      <w:r w:rsidR="005B5327">
        <w:t xml:space="preserve">risk </w:t>
      </w:r>
      <w:r w:rsidR="0039465C">
        <w:t>rating</w:t>
      </w:r>
      <w:r w:rsidR="00ED3BB1">
        <w:t>, t</w:t>
      </w:r>
      <w:r w:rsidR="001C5362">
        <w:t xml:space="preserve">he prior literature is both controversial and contentious. </w:t>
      </w:r>
    </w:p>
    <w:p w:rsidR="00CA6D2E" w:rsidRDefault="00496334" w:rsidP="00BF057E">
      <w:pPr>
        <w:spacing w:line="360" w:lineRule="auto"/>
        <w:jc w:val="both"/>
      </w:pPr>
      <w:r>
        <w:t xml:space="preserve">Our study develops on the earlier </w:t>
      </w:r>
      <w:r w:rsidR="003034BE">
        <w:t>method</w:t>
      </w:r>
      <w:r>
        <w:t>ological work</w:t>
      </w:r>
      <w:r w:rsidR="003034BE">
        <w:t xml:space="preserve"> suggested by</w:t>
      </w:r>
      <w:r w:rsidR="00CA6D2E">
        <w:t xml:space="preserve"> Canter and </w:t>
      </w:r>
      <w:r w:rsidR="003034BE">
        <w:t>Packe</w:t>
      </w:r>
      <w:r w:rsidR="00D2099C">
        <w:t xml:space="preserve">r (1996) and </w:t>
      </w:r>
      <w:proofErr w:type="spellStart"/>
      <w:r w:rsidR="00D2099C">
        <w:t>Afonso</w:t>
      </w:r>
      <w:proofErr w:type="spellEnd"/>
      <w:r w:rsidR="00D2099C">
        <w:t xml:space="preserve"> (2003)</w:t>
      </w:r>
      <w:r w:rsidR="00CA6D2E">
        <w:t xml:space="preserve">. </w:t>
      </w:r>
      <w:r w:rsidR="007F1B61">
        <w:t xml:space="preserve"> </w:t>
      </w:r>
    </w:p>
    <w:p w:rsidR="008876C1" w:rsidRDefault="008876C1" w:rsidP="00A551B9">
      <w:pPr>
        <w:spacing w:line="360" w:lineRule="auto"/>
        <w:ind w:firstLine="720"/>
        <w:jc w:val="both"/>
        <w:rPr>
          <w:b/>
          <w:bCs/>
        </w:rPr>
        <w:sectPr w:rsidR="008876C1">
          <w:footerReference w:type="default" r:id="rId10"/>
          <w:pgSz w:w="12240" w:h="15840"/>
          <w:pgMar w:top="1440" w:right="1800" w:bottom="1440" w:left="1800" w:header="720" w:footer="720" w:gutter="0"/>
          <w:cols w:space="720"/>
          <w:docGrid w:linePitch="360"/>
        </w:sectPr>
      </w:pPr>
    </w:p>
    <w:p w:rsidR="002246E6" w:rsidRDefault="00D2099C" w:rsidP="00A551B9">
      <w:pPr>
        <w:spacing w:line="360" w:lineRule="auto"/>
        <w:ind w:firstLine="720"/>
        <w:jc w:val="both"/>
        <w:rPr>
          <w:b/>
          <w:bCs/>
        </w:rPr>
      </w:pPr>
      <w:r>
        <w:rPr>
          <w:b/>
          <w:bCs/>
        </w:rPr>
        <w:lastRenderedPageBreak/>
        <w:t xml:space="preserve">TABLE I    </w:t>
      </w:r>
      <w:r w:rsidR="00D85686">
        <w:rPr>
          <w:b/>
          <w:bCs/>
        </w:rPr>
        <w:t>Data</w:t>
      </w:r>
      <w:r w:rsidR="007B0057">
        <w:rPr>
          <w:b/>
          <w:bCs/>
        </w:rPr>
        <w:t xml:space="preserve"> and Description of Variables</w:t>
      </w:r>
      <w:r w:rsidR="002246E6">
        <w:rPr>
          <w:b/>
          <w:bCs/>
        </w:rPr>
        <w:t xml:space="preserve"> </w:t>
      </w:r>
    </w:p>
    <w:p w:rsidR="007B0057" w:rsidRDefault="00DF49BF" w:rsidP="00A551B9">
      <w:pPr>
        <w:spacing w:line="360" w:lineRule="auto"/>
        <w:ind w:firstLine="720"/>
        <w:jc w:val="both"/>
      </w:pPr>
      <w:r>
        <w:t>According to Canter and Packer (1996), t</w:t>
      </w:r>
      <w:r w:rsidR="007B0057">
        <w:t xml:space="preserve">he variables can be defined as follows; </w:t>
      </w:r>
    </w:p>
    <w:tbl>
      <w:tblPr>
        <w:tblW w:w="1390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600"/>
        <w:gridCol w:w="3060"/>
        <w:gridCol w:w="2340"/>
        <w:gridCol w:w="2923"/>
      </w:tblGrid>
      <w:tr w:rsidR="007B0057" w:rsidRPr="008070ED" w:rsidTr="008070ED">
        <w:tc>
          <w:tcPr>
            <w:tcW w:w="1980" w:type="dxa"/>
            <w:shd w:val="clear" w:color="auto" w:fill="C0C0C0"/>
          </w:tcPr>
          <w:p w:rsidR="007B0057" w:rsidRPr="008070ED" w:rsidRDefault="007B0057" w:rsidP="00A551B9">
            <w:pPr>
              <w:spacing w:line="360" w:lineRule="auto"/>
              <w:jc w:val="center"/>
              <w:rPr>
                <w:b/>
                <w:bCs/>
              </w:rPr>
            </w:pPr>
            <w:r w:rsidRPr="008070ED">
              <w:rPr>
                <w:b/>
                <w:bCs/>
              </w:rPr>
              <w:t>Variable</w:t>
            </w:r>
            <w:r w:rsidR="00313735" w:rsidRPr="008070ED">
              <w:rPr>
                <w:b/>
                <w:bCs/>
              </w:rPr>
              <w:t>s</w:t>
            </w:r>
          </w:p>
        </w:tc>
        <w:tc>
          <w:tcPr>
            <w:tcW w:w="3600" w:type="dxa"/>
            <w:shd w:val="clear" w:color="auto" w:fill="C0C0C0"/>
          </w:tcPr>
          <w:p w:rsidR="007B0057" w:rsidRPr="008070ED" w:rsidRDefault="007B0057" w:rsidP="00A551B9">
            <w:pPr>
              <w:spacing w:line="360" w:lineRule="auto"/>
              <w:jc w:val="center"/>
              <w:rPr>
                <w:b/>
                <w:bCs/>
              </w:rPr>
            </w:pPr>
            <w:r w:rsidRPr="008070ED">
              <w:rPr>
                <w:b/>
                <w:bCs/>
              </w:rPr>
              <w:t>Definition</w:t>
            </w:r>
          </w:p>
        </w:tc>
        <w:tc>
          <w:tcPr>
            <w:tcW w:w="3060" w:type="dxa"/>
            <w:shd w:val="clear" w:color="auto" w:fill="C0C0C0"/>
          </w:tcPr>
          <w:p w:rsidR="007B0057" w:rsidRPr="008070ED" w:rsidRDefault="007B0057" w:rsidP="00A551B9">
            <w:pPr>
              <w:spacing w:line="360" w:lineRule="auto"/>
              <w:jc w:val="center"/>
              <w:rPr>
                <w:b/>
                <w:bCs/>
              </w:rPr>
            </w:pPr>
            <w:r w:rsidRPr="008070ED">
              <w:rPr>
                <w:b/>
                <w:bCs/>
              </w:rPr>
              <w:t>Unit of Measurement</w:t>
            </w:r>
          </w:p>
        </w:tc>
        <w:tc>
          <w:tcPr>
            <w:tcW w:w="2340" w:type="dxa"/>
            <w:shd w:val="clear" w:color="auto" w:fill="C0C0C0"/>
          </w:tcPr>
          <w:p w:rsidR="007B0057" w:rsidRPr="008070ED" w:rsidRDefault="007B0057" w:rsidP="00A551B9">
            <w:pPr>
              <w:spacing w:line="360" w:lineRule="auto"/>
              <w:jc w:val="center"/>
              <w:rPr>
                <w:b/>
                <w:bCs/>
              </w:rPr>
            </w:pPr>
            <w:r w:rsidRPr="008070ED">
              <w:rPr>
                <w:b/>
                <w:bCs/>
              </w:rPr>
              <w:t>Data Source</w:t>
            </w:r>
          </w:p>
        </w:tc>
        <w:tc>
          <w:tcPr>
            <w:tcW w:w="2923" w:type="dxa"/>
            <w:shd w:val="clear" w:color="auto" w:fill="C0C0C0"/>
          </w:tcPr>
          <w:p w:rsidR="007B0057" w:rsidRPr="008070ED" w:rsidRDefault="007B0057" w:rsidP="00A551B9">
            <w:pPr>
              <w:spacing w:line="360" w:lineRule="auto"/>
              <w:jc w:val="center"/>
              <w:rPr>
                <w:b/>
                <w:bCs/>
              </w:rPr>
            </w:pPr>
            <w:r w:rsidRPr="008070ED">
              <w:rPr>
                <w:b/>
                <w:bCs/>
              </w:rPr>
              <w:t>Relation</w:t>
            </w:r>
          </w:p>
        </w:tc>
      </w:tr>
      <w:tr w:rsidR="007B0057" w:rsidRPr="00313735" w:rsidTr="008070ED">
        <w:tc>
          <w:tcPr>
            <w:tcW w:w="1980" w:type="dxa"/>
          </w:tcPr>
          <w:p w:rsidR="007B0057" w:rsidRPr="00313735" w:rsidRDefault="007B0057" w:rsidP="00A551B9">
            <w:pPr>
              <w:spacing w:line="360" w:lineRule="auto"/>
            </w:pPr>
            <w:r w:rsidRPr="00313735">
              <w:t>Per Capita Income</w:t>
            </w:r>
          </w:p>
        </w:tc>
        <w:tc>
          <w:tcPr>
            <w:tcW w:w="3600" w:type="dxa"/>
          </w:tcPr>
          <w:p w:rsidR="007B0057" w:rsidRPr="00313735" w:rsidRDefault="007B0057" w:rsidP="00A551B9">
            <w:pPr>
              <w:spacing w:line="360" w:lineRule="auto"/>
            </w:pPr>
            <w:r w:rsidRPr="00313735">
              <w:t>GNP per capita</w:t>
            </w:r>
          </w:p>
        </w:tc>
        <w:tc>
          <w:tcPr>
            <w:tcW w:w="3060" w:type="dxa"/>
          </w:tcPr>
          <w:p w:rsidR="007B0057" w:rsidRPr="00313735" w:rsidRDefault="008876C1" w:rsidP="00A551B9">
            <w:pPr>
              <w:spacing w:line="360" w:lineRule="auto"/>
            </w:pPr>
            <w:r w:rsidRPr="00313735">
              <w:t xml:space="preserve">Thousands of dollars </w:t>
            </w:r>
          </w:p>
        </w:tc>
        <w:tc>
          <w:tcPr>
            <w:tcW w:w="2340" w:type="dxa"/>
          </w:tcPr>
          <w:p w:rsidR="008876C1" w:rsidRPr="00313735" w:rsidRDefault="008876C1" w:rsidP="00A551B9">
            <w:pPr>
              <w:spacing w:line="360" w:lineRule="auto"/>
            </w:pPr>
            <w:r w:rsidRPr="00313735">
              <w:t>World Bank, Moody’s, FRBNY</w:t>
            </w:r>
          </w:p>
          <w:p w:rsidR="007B0057" w:rsidRPr="00313735" w:rsidRDefault="008876C1" w:rsidP="00A551B9">
            <w:pPr>
              <w:spacing w:line="360" w:lineRule="auto"/>
            </w:pPr>
            <w:r w:rsidRPr="00313735">
              <w:t>estimates</w:t>
            </w:r>
          </w:p>
        </w:tc>
        <w:tc>
          <w:tcPr>
            <w:tcW w:w="2923" w:type="dxa"/>
          </w:tcPr>
          <w:p w:rsidR="007B0057" w:rsidRPr="00313735" w:rsidRDefault="007A3EBD" w:rsidP="00A551B9">
            <w:pPr>
              <w:spacing w:line="360" w:lineRule="auto"/>
            </w:pPr>
            <w:r w:rsidRPr="00313735">
              <w:t xml:space="preserve">The bigger the tax base of the borrowing country, the greater the country’s ability to repay obligation </w:t>
            </w:r>
          </w:p>
        </w:tc>
      </w:tr>
      <w:tr w:rsidR="007B0057" w:rsidRPr="00313735" w:rsidTr="008070ED">
        <w:tc>
          <w:tcPr>
            <w:tcW w:w="1980" w:type="dxa"/>
          </w:tcPr>
          <w:p w:rsidR="007B0057" w:rsidRPr="00313735" w:rsidRDefault="007B0057" w:rsidP="00A551B9">
            <w:pPr>
              <w:spacing w:line="360" w:lineRule="auto"/>
            </w:pPr>
            <w:r w:rsidRPr="00313735">
              <w:t>GDP Growth</w:t>
            </w:r>
          </w:p>
        </w:tc>
        <w:tc>
          <w:tcPr>
            <w:tcW w:w="3600" w:type="dxa"/>
          </w:tcPr>
          <w:p w:rsidR="007B0057" w:rsidRPr="00313735" w:rsidRDefault="007B0057" w:rsidP="00A551B9">
            <w:pPr>
              <w:spacing w:line="360" w:lineRule="auto"/>
            </w:pPr>
            <w:r w:rsidRPr="00313735">
              <w:t xml:space="preserve">Average annual real GDP growth on a year-over-year basis </w:t>
            </w:r>
          </w:p>
        </w:tc>
        <w:tc>
          <w:tcPr>
            <w:tcW w:w="3060" w:type="dxa"/>
          </w:tcPr>
          <w:p w:rsidR="007B0057" w:rsidRPr="00313735" w:rsidRDefault="008876C1" w:rsidP="00A551B9">
            <w:pPr>
              <w:spacing w:line="360" w:lineRule="auto"/>
            </w:pPr>
            <w:r w:rsidRPr="00313735">
              <w:t xml:space="preserve">Percent </w:t>
            </w:r>
          </w:p>
        </w:tc>
        <w:tc>
          <w:tcPr>
            <w:tcW w:w="2340" w:type="dxa"/>
          </w:tcPr>
          <w:p w:rsidR="008876C1" w:rsidRPr="00313735" w:rsidRDefault="008876C1" w:rsidP="00A551B9">
            <w:pPr>
              <w:spacing w:line="360" w:lineRule="auto"/>
            </w:pPr>
            <w:r w:rsidRPr="00313735">
              <w:t>World Bank, Moody’s, FRBNY</w:t>
            </w:r>
          </w:p>
          <w:p w:rsidR="007B0057" w:rsidRPr="00313735" w:rsidRDefault="008876C1" w:rsidP="00A551B9">
            <w:pPr>
              <w:spacing w:line="360" w:lineRule="auto"/>
            </w:pPr>
            <w:r w:rsidRPr="00313735">
              <w:t>estimates</w:t>
            </w:r>
          </w:p>
        </w:tc>
        <w:tc>
          <w:tcPr>
            <w:tcW w:w="2923" w:type="dxa"/>
          </w:tcPr>
          <w:p w:rsidR="007B0057" w:rsidRPr="00313735" w:rsidRDefault="007A3EBD" w:rsidP="00A551B9">
            <w:pPr>
              <w:spacing w:line="360" w:lineRule="auto"/>
            </w:pPr>
            <w:r w:rsidRPr="00313735">
              <w:t>High GDP growth eases the government to service its obligation</w:t>
            </w:r>
          </w:p>
        </w:tc>
      </w:tr>
      <w:tr w:rsidR="007B0057" w:rsidRPr="00313735" w:rsidTr="008070ED">
        <w:tc>
          <w:tcPr>
            <w:tcW w:w="1980" w:type="dxa"/>
          </w:tcPr>
          <w:p w:rsidR="007B0057" w:rsidRPr="00313735" w:rsidRDefault="007B0057" w:rsidP="00A551B9">
            <w:pPr>
              <w:spacing w:line="360" w:lineRule="auto"/>
            </w:pPr>
            <w:r w:rsidRPr="00313735">
              <w:t xml:space="preserve">Inflation </w:t>
            </w:r>
          </w:p>
        </w:tc>
        <w:tc>
          <w:tcPr>
            <w:tcW w:w="3600" w:type="dxa"/>
          </w:tcPr>
          <w:p w:rsidR="007B0057" w:rsidRPr="00313735" w:rsidRDefault="007B0057" w:rsidP="00A551B9">
            <w:pPr>
              <w:spacing w:line="360" w:lineRule="auto"/>
            </w:pPr>
            <w:r w:rsidRPr="00313735">
              <w:t xml:space="preserve">Average annual consumer price inflation rate </w:t>
            </w:r>
          </w:p>
        </w:tc>
        <w:tc>
          <w:tcPr>
            <w:tcW w:w="3060" w:type="dxa"/>
          </w:tcPr>
          <w:p w:rsidR="007B0057" w:rsidRPr="00313735" w:rsidRDefault="008876C1" w:rsidP="00A551B9">
            <w:pPr>
              <w:spacing w:line="360" w:lineRule="auto"/>
            </w:pPr>
            <w:r w:rsidRPr="00313735">
              <w:t xml:space="preserve">Percent </w:t>
            </w:r>
          </w:p>
        </w:tc>
        <w:tc>
          <w:tcPr>
            <w:tcW w:w="2340" w:type="dxa"/>
          </w:tcPr>
          <w:p w:rsidR="008876C1" w:rsidRPr="00313735" w:rsidRDefault="008876C1" w:rsidP="00A551B9">
            <w:pPr>
              <w:spacing w:line="360" w:lineRule="auto"/>
            </w:pPr>
            <w:r w:rsidRPr="00313735">
              <w:t>World Bank, Moody’s, FRBNY</w:t>
            </w:r>
          </w:p>
          <w:p w:rsidR="007B0057" w:rsidRPr="00313735" w:rsidRDefault="008876C1" w:rsidP="00A551B9">
            <w:pPr>
              <w:spacing w:line="360" w:lineRule="auto"/>
            </w:pPr>
            <w:r w:rsidRPr="00313735">
              <w:t>estimates</w:t>
            </w:r>
          </w:p>
        </w:tc>
        <w:tc>
          <w:tcPr>
            <w:tcW w:w="2923" w:type="dxa"/>
          </w:tcPr>
          <w:p w:rsidR="007B0057" w:rsidRPr="00313735" w:rsidRDefault="007A3EBD" w:rsidP="00A551B9">
            <w:pPr>
              <w:spacing w:line="360" w:lineRule="auto"/>
            </w:pPr>
            <w:r w:rsidRPr="00313735">
              <w:t xml:space="preserve">The higher inflation, the greater political risk. People are worried about their cost of livings. </w:t>
            </w:r>
          </w:p>
        </w:tc>
      </w:tr>
      <w:tr w:rsidR="007B0057" w:rsidRPr="00313735" w:rsidTr="008070ED">
        <w:tc>
          <w:tcPr>
            <w:tcW w:w="1980" w:type="dxa"/>
          </w:tcPr>
          <w:p w:rsidR="007B0057" w:rsidRPr="00313735" w:rsidRDefault="007B0057" w:rsidP="00A551B9">
            <w:pPr>
              <w:spacing w:line="360" w:lineRule="auto"/>
            </w:pPr>
            <w:r w:rsidRPr="00313735">
              <w:t xml:space="preserve">External Debt </w:t>
            </w:r>
          </w:p>
        </w:tc>
        <w:tc>
          <w:tcPr>
            <w:tcW w:w="3600" w:type="dxa"/>
          </w:tcPr>
          <w:p w:rsidR="007B0057" w:rsidRPr="00313735" w:rsidRDefault="007B0057" w:rsidP="00A551B9">
            <w:pPr>
              <w:spacing w:line="360" w:lineRule="auto"/>
            </w:pPr>
            <w:r w:rsidRPr="00313735">
              <w:t>Foreign currency debt relative to exports</w:t>
            </w:r>
          </w:p>
        </w:tc>
        <w:tc>
          <w:tcPr>
            <w:tcW w:w="3060" w:type="dxa"/>
          </w:tcPr>
          <w:p w:rsidR="007B0057" w:rsidRPr="00313735" w:rsidRDefault="008876C1" w:rsidP="00A551B9">
            <w:pPr>
              <w:spacing w:line="360" w:lineRule="auto"/>
            </w:pPr>
            <w:r w:rsidRPr="00313735">
              <w:t xml:space="preserve">Percent </w:t>
            </w:r>
            <w:r w:rsidRPr="00313735">
              <w:br/>
            </w:r>
          </w:p>
        </w:tc>
        <w:tc>
          <w:tcPr>
            <w:tcW w:w="2340" w:type="dxa"/>
          </w:tcPr>
          <w:p w:rsidR="008876C1" w:rsidRPr="00313735" w:rsidRDefault="008876C1" w:rsidP="00A551B9">
            <w:pPr>
              <w:spacing w:line="360" w:lineRule="auto"/>
            </w:pPr>
            <w:r w:rsidRPr="00313735">
              <w:t>World Bank, Moody’s, FRBNY</w:t>
            </w:r>
          </w:p>
          <w:p w:rsidR="007B0057" w:rsidRPr="00313735" w:rsidRDefault="008876C1" w:rsidP="00A551B9">
            <w:pPr>
              <w:spacing w:line="360" w:lineRule="auto"/>
            </w:pPr>
            <w:r w:rsidRPr="00313735">
              <w:t>estimates</w:t>
            </w:r>
          </w:p>
        </w:tc>
        <w:tc>
          <w:tcPr>
            <w:tcW w:w="2923" w:type="dxa"/>
          </w:tcPr>
          <w:p w:rsidR="007B0057" w:rsidRPr="00313735" w:rsidRDefault="007A3EBD" w:rsidP="00A551B9">
            <w:pPr>
              <w:spacing w:line="360" w:lineRule="auto"/>
            </w:pPr>
            <w:r w:rsidRPr="00313735">
              <w:rPr>
                <w:lang w:bidi="th-TH"/>
              </w:rPr>
              <w:t>The higher debt burden, the larger risk of default</w:t>
            </w:r>
          </w:p>
        </w:tc>
      </w:tr>
      <w:tr w:rsidR="007B0057" w:rsidRPr="00313735" w:rsidTr="008070ED">
        <w:tc>
          <w:tcPr>
            <w:tcW w:w="1980" w:type="dxa"/>
          </w:tcPr>
          <w:p w:rsidR="007B0057" w:rsidRPr="00313735" w:rsidRDefault="007B0057" w:rsidP="00A551B9">
            <w:pPr>
              <w:spacing w:line="360" w:lineRule="auto"/>
            </w:pPr>
            <w:r w:rsidRPr="00313735">
              <w:t xml:space="preserve">Level of Economic Development </w:t>
            </w:r>
          </w:p>
        </w:tc>
        <w:tc>
          <w:tcPr>
            <w:tcW w:w="3600" w:type="dxa"/>
          </w:tcPr>
          <w:p w:rsidR="007B0057" w:rsidRPr="00313735" w:rsidRDefault="007B0057" w:rsidP="00A551B9">
            <w:pPr>
              <w:spacing w:line="360" w:lineRule="auto"/>
            </w:pPr>
            <w:r w:rsidRPr="00313735">
              <w:t xml:space="preserve">IMF classification as an industrialized country </w:t>
            </w:r>
          </w:p>
        </w:tc>
        <w:tc>
          <w:tcPr>
            <w:tcW w:w="3060" w:type="dxa"/>
          </w:tcPr>
          <w:p w:rsidR="007B0057" w:rsidRPr="00313735" w:rsidRDefault="008876C1" w:rsidP="00A551B9">
            <w:pPr>
              <w:spacing w:line="360" w:lineRule="auto"/>
            </w:pPr>
            <w:r w:rsidRPr="00313735">
              <w:t xml:space="preserve">Indicator variable (Dummy)  </w:t>
            </w:r>
            <w:r w:rsidRPr="00313735">
              <w:br/>
              <w:t>1 = industrialized</w:t>
            </w:r>
            <w:r w:rsidRPr="00313735">
              <w:br/>
              <w:t xml:space="preserve">0 = otherwise </w:t>
            </w:r>
          </w:p>
        </w:tc>
        <w:tc>
          <w:tcPr>
            <w:tcW w:w="2340" w:type="dxa"/>
          </w:tcPr>
          <w:p w:rsidR="007B0057" w:rsidRPr="00313735" w:rsidRDefault="008876C1" w:rsidP="00A551B9">
            <w:pPr>
              <w:spacing w:line="360" w:lineRule="auto"/>
            </w:pPr>
            <w:r w:rsidRPr="00313735">
              <w:t>IMF</w:t>
            </w:r>
          </w:p>
        </w:tc>
        <w:tc>
          <w:tcPr>
            <w:tcW w:w="2923" w:type="dxa"/>
          </w:tcPr>
          <w:p w:rsidR="007B0057" w:rsidRPr="00313735" w:rsidRDefault="007A3EBD" w:rsidP="00A551B9">
            <w:pPr>
              <w:spacing w:line="360" w:lineRule="auto"/>
            </w:pPr>
            <w:r w:rsidRPr="00313735">
              <w:t>Same explanation to GDP growth</w:t>
            </w:r>
          </w:p>
        </w:tc>
      </w:tr>
      <w:tr w:rsidR="007B0057" w:rsidRPr="00313735" w:rsidTr="008070ED">
        <w:tc>
          <w:tcPr>
            <w:tcW w:w="1980" w:type="dxa"/>
          </w:tcPr>
          <w:p w:rsidR="007B0057" w:rsidRPr="00313735" w:rsidRDefault="007B0057" w:rsidP="00A551B9">
            <w:pPr>
              <w:spacing w:line="360" w:lineRule="auto"/>
            </w:pPr>
            <w:r w:rsidRPr="00313735">
              <w:lastRenderedPageBreak/>
              <w:t xml:space="preserve">Default History </w:t>
            </w:r>
          </w:p>
        </w:tc>
        <w:tc>
          <w:tcPr>
            <w:tcW w:w="3600" w:type="dxa"/>
          </w:tcPr>
          <w:p w:rsidR="007B0057" w:rsidRPr="00313735" w:rsidRDefault="008876C1" w:rsidP="00A551B9">
            <w:pPr>
              <w:spacing w:line="360" w:lineRule="auto"/>
            </w:pPr>
            <w:r w:rsidRPr="00313735">
              <w:t xml:space="preserve">Default on foreign currency debt </w:t>
            </w:r>
          </w:p>
        </w:tc>
        <w:tc>
          <w:tcPr>
            <w:tcW w:w="3060" w:type="dxa"/>
          </w:tcPr>
          <w:p w:rsidR="007B0057" w:rsidRPr="00313735" w:rsidRDefault="008876C1" w:rsidP="00A551B9">
            <w:pPr>
              <w:spacing w:line="360" w:lineRule="auto"/>
            </w:pPr>
            <w:r w:rsidRPr="00313735">
              <w:t xml:space="preserve">Indicator variable (Dummy)  </w:t>
            </w:r>
            <w:r w:rsidRPr="00313735">
              <w:br/>
              <w:t>1 = default</w:t>
            </w:r>
            <w:r w:rsidRPr="00313735">
              <w:br/>
              <w:t>0 = no default</w:t>
            </w:r>
          </w:p>
        </w:tc>
        <w:tc>
          <w:tcPr>
            <w:tcW w:w="2340" w:type="dxa"/>
          </w:tcPr>
          <w:p w:rsidR="007B0057" w:rsidRPr="00313735" w:rsidRDefault="008876C1" w:rsidP="00A551B9">
            <w:pPr>
              <w:spacing w:line="360" w:lineRule="auto"/>
            </w:pPr>
            <w:r w:rsidRPr="00313735">
              <w:t>S&amp;P</w:t>
            </w:r>
          </w:p>
        </w:tc>
        <w:tc>
          <w:tcPr>
            <w:tcW w:w="2923" w:type="dxa"/>
          </w:tcPr>
          <w:p w:rsidR="007B0057" w:rsidRPr="00313735" w:rsidRDefault="00313735" w:rsidP="00A551B9">
            <w:pPr>
              <w:spacing w:line="360" w:lineRule="auto"/>
            </w:pPr>
            <w:r w:rsidRPr="00313735">
              <w:t>A</w:t>
            </w:r>
            <w:r w:rsidR="007A3EBD" w:rsidRPr="00313735">
              <w:t xml:space="preserve"> country experiencing default in the past is widely perceived as a high credit risk.</w:t>
            </w:r>
          </w:p>
        </w:tc>
      </w:tr>
      <w:tr w:rsidR="007B0057" w:rsidRPr="00313735" w:rsidTr="008070ED">
        <w:tc>
          <w:tcPr>
            <w:tcW w:w="1980" w:type="dxa"/>
          </w:tcPr>
          <w:p w:rsidR="007B0057" w:rsidRPr="00313735" w:rsidRDefault="007B0057" w:rsidP="00A551B9">
            <w:pPr>
              <w:spacing w:line="360" w:lineRule="auto"/>
            </w:pPr>
            <w:r w:rsidRPr="00313735">
              <w:t>CDS Spreads</w:t>
            </w:r>
          </w:p>
        </w:tc>
        <w:tc>
          <w:tcPr>
            <w:tcW w:w="3600" w:type="dxa"/>
          </w:tcPr>
          <w:p w:rsidR="007B0057" w:rsidRPr="00313735" w:rsidRDefault="008876C1" w:rsidP="00A551B9">
            <w:pPr>
              <w:spacing w:line="360" w:lineRule="auto"/>
            </w:pPr>
            <w:r w:rsidRPr="00313735">
              <w:t xml:space="preserve">CDS spreads on </w:t>
            </w:r>
            <w:r w:rsidR="00313735" w:rsidRPr="00313735">
              <w:t>s</w:t>
            </w:r>
            <w:r w:rsidRPr="00313735">
              <w:t xml:space="preserve">overeign debt  </w:t>
            </w:r>
            <w:r w:rsidRPr="001E0858">
              <w:t>issued by</w:t>
            </w:r>
            <w:r w:rsidRPr="00313735">
              <w:t xml:space="preserve"> national country </w:t>
            </w:r>
          </w:p>
        </w:tc>
        <w:tc>
          <w:tcPr>
            <w:tcW w:w="3060" w:type="dxa"/>
          </w:tcPr>
          <w:p w:rsidR="007B0057" w:rsidRPr="00313735" w:rsidRDefault="007A3EBD" w:rsidP="00A551B9">
            <w:pPr>
              <w:spacing w:line="360" w:lineRule="auto"/>
            </w:pPr>
            <w:r w:rsidRPr="00313735">
              <w:t xml:space="preserve">Basis points </w:t>
            </w:r>
          </w:p>
        </w:tc>
        <w:tc>
          <w:tcPr>
            <w:tcW w:w="2340" w:type="dxa"/>
          </w:tcPr>
          <w:p w:rsidR="007B0057" w:rsidRPr="00313735" w:rsidRDefault="008876C1" w:rsidP="00A551B9">
            <w:pPr>
              <w:spacing w:line="360" w:lineRule="auto"/>
            </w:pPr>
            <w:r w:rsidRPr="00313735">
              <w:t>Bloomberg</w:t>
            </w:r>
          </w:p>
        </w:tc>
        <w:tc>
          <w:tcPr>
            <w:tcW w:w="2923" w:type="dxa"/>
          </w:tcPr>
          <w:p w:rsidR="007B0057" w:rsidRPr="00313735" w:rsidRDefault="00313735" w:rsidP="00A551B9">
            <w:pPr>
              <w:spacing w:line="360" w:lineRule="auto"/>
            </w:pPr>
            <w:r w:rsidRPr="00313735">
              <w:t>The greater the liquidity, the wider the CDS spread [</w:t>
            </w:r>
            <w:proofErr w:type="spellStart"/>
            <w:r w:rsidRPr="00313735">
              <w:t>Fabozzi</w:t>
            </w:r>
            <w:proofErr w:type="spellEnd"/>
            <w:r w:rsidRPr="00313735">
              <w:t xml:space="preserve"> et al. (2007)]</w:t>
            </w:r>
          </w:p>
        </w:tc>
      </w:tr>
      <w:tr w:rsidR="008876C1" w:rsidRPr="00313735" w:rsidTr="008070ED">
        <w:tc>
          <w:tcPr>
            <w:tcW w:w="1980" w:type="dxa"/>
          </w:tcPr>
          <w:p w:rsidR="008876C1" w:rsidRPr="00313735" w:rsidRDefault="008876C1" w:rsidP="00A551B9">
            <w:pPr>
              <w:spacing w:line="360" w:lineRule="auto"/>
            </w:pPr>
            <w:r w:rsidRPr="00313735">
              <w:t xml:space="preserve">Moody’s, S&amp;P </w:t>
            </w:r>
            <w:r w:rsidR="00313735" w:rsidRPr="00313735">
              <w:t>(on avg</w:t>
            </w:r>
            <w:r w:rsidR="00313735">
              <w:t>.</w:t>
            </w:r>
            <w:r w:rsidRPr="00313735">
              <w:t xml:space="preserve"> ratings) </w:t>
            </w:r>
          </w:p>
        </w:tc>
        <w:tc>
          <w:tcPr>
            <w:tcW w:w="3600" w:type="dxa"/>
          </w:tcPr>
          <w:p w:rsidR="008876C1" w:rsidRPr="00313735" w:rsidRDefault="008876C1" w:rsidP="00A551B9">
            <w:pPr>
              <w:spacing w:line="360" w:lineRule="auto"/>
            </w:pPr>
            <w:r w:rsidRPr="00313735">
              <w:t xml:space="preserve">Ratings assignment by Moody’s and S&amp;P </w:t>
            </w:r>
          </w:p>
        </w:tc>
        <w:tc>
          <w:tcPr>
            <w:tcW w:w="3060" w:type="dxa"/>
          </w:tcPr>
          <w:p w:rsidR="008876C1" w:rsidRPr="00313735" w:rsidRDefault="008876C1" w:rsidP="00A551B9">
            <w:pPr>
              <w:spacing w:line="360" w:lineRule="auto"/>
            </w:pPr>
            <w:r w:rsidRPr="00313735">
              <w:t>B1(B+)=3; Ba3(BB-)=4;</w:t>
            </w:r>
          </w:p>
          <w:p w:rsidR="008876C1" w:rsidRPr="00313735" w:rsidRDefault="002465D1" w:rsidP="00A551B9">
            <w:pPr>
              <w:spacing w:line="360" w:lineRule="auto"/>
            </w:pPr>
            <w:proofErr w:type="gramStart"/>
            <w:r>
              <w:t>Ba2(</w:t>
            </w:r>
            <w:proofErr w:type="gramEnd"/>
            <w:r>
              <w:t>BB)=5;</w:t>
            </w:r>
            <w:r w:rsidR="008876C1" w:rsidRPr="00313735">
              <w:t>..Aaa</w:t>
            </w:r>
            <w:r>
              <w:t xml:space="preserve"> </w:t>
            </w:r>
            <w:r w:rsidR="008876C1" w:rsidRPr="00313735">
              <w:t>(AAA)=16</w:t>
            </w:r>
          </w:p>
        </w:tc>
        <w:tc>
          <w:tcPr>
            <w:tcW w:w="2340" w:type="dxa"/>
          </w:tcPr>
          <w:p w:rsidR="008876C1" w:rsidRPr="00313735" w:rsidRDefault="008876C1" w:rsidP="00A551B9">
            <w:pPr>
              <w:spacing w:line="360" w:lineRule="auto"/>
            </w:pPr>
            <w:r w:rsidRPr="00313735">
              <w:t>Moody’s and S&amp;P</w:t>
            </w:r>
          </w:p>
        </w:tc>
        <w:tc>
          <w:tcPr>
            <w:tcW w:w="2923" w:type="dxa"/>
          </w:tcPr>
          <w:p w:rsidR="008876C1" w:rsidRPr="00313735" w:rsidRDefault="008876C1" w:rsidP="00A551B9">
            <w:pPr>
              <w:spacing w:line="360" w:lineRule="auto"/>
            </w:pPr>
          </w:p>
        </w:tc>
      </w:tr>
    </w:tbl>
    <w:p w:rsidR="00313735" w:rsidRDefault="00313735" w:rsidP="00A551B9">
      <w:pPr>
        <w:spacing w:line="360" w:lineRule="auto"/>
        <w:ind w:firstLine="360"/>
        <w:jc w:val="both"/>
        <w:rPr>
          <w:b/>
          <w:bCs/>
        </w:rPr>
      </w:pPr>
    </w:p>
    <w:p w:rsidR="00D2099C" w:rsidRDefault="00D2099C" w:rsidP="00A551B9">
      <w:pPr>
        <w:spacing w:line="360" w:lineRule="auto"/>
        <w:ind w:firstLine="360"/>
        <w:jc w:val="both"/>
        <w:rPr>
          <w:b/>
          <w:bCs/>
        </w:rPr>
      </w:pPr>
    </w:p>
    <w:p w:rsidR="00D2099C" w:rsidRDefault="00D2099C" w:rsidP="00A551B9">
      <w:pPr>
        <w:spacing w:line="360" w:lineRule="auto"/>
        <w:ind w:firstLine="360"/>
        <w:jc w:val="both"/>
        <w:rPr>
          <w:b/>
          <w:bCs/>
        </w:rPr>
      </w:pPr>
    </w:p>
    <w:p w:rsidR="00D2099C" w:rsidRDefault="00D2099C" w:rsidP="00D2099C">
      <w:pPr>
        <w:spacing w:line="360" w:lineRule="auto"/>
        <w:jc w:val="both"/>
      </w:pPr>
      <w:r>
        <w:t>The study includes the 39 countries; Argentina, Australia, Austria, Belgium, Brazil, Bulgaria, Chile, China, Colombia, Egypt, France, Germany, Greece, Hungary, Iceland, Indonesia, Ireland, Israel, Italy, Japan, Kazakhstan, Lebanon, Malaysia, Mexico, Peru, Philippine, Poland, Portugal, Russia, Serbia, Slovakia, South Africa, South Korea, Spain, Thailand, Turkey, USA, United Kingdom and Venezuela over the period of April 2004 till December 2012 (Note: The number of countries and period of study are based on the availability of data.)</w:t>
      </w:r>
    </w:p>
    <w:p w:rsidR="00D2099C" w:rsidRDefault="00D2099C" w:rsidP="00A551B9">
      <w:pPr>
        <w:spacing w:line="360" w:lineRule="auto"/>
        <w:ind w:firstLine="360"/>
        <w:jc w:val="both"/>
        <w:rPr>
          <w:b/>
          <w:bCs/>
        </w:rPr>
        <w:sectPr w:rsidR="00D2099C" w:rsidSect="008876C1">
          <w:pgSz w:w="15840" w:h="12240" w:orient="landscape"/>
          <w:pgMar w:top="1800" w:right="1440" w:bottom="1800" w:left="1440" w:header="720" w:footer="720" w:gutter="0"/>
          <w:cols w:space="720"/>
          <w:docGrid w:linePitch="360"/>
        </w:sectPr>
      </w:pPr>
    </w:p>
    <w:p w:rsidR="00074573" w:rsidRDefault="00E41988" w:rsidP="00A551B9">
      <w:pPr>
        <w:spacing w:line="360" w:lineRule="auto"/>
        <w:jc w:val="both"/>
        <w:rPr>
          <w:b/>
          <w:bCs/>
        </w:rPr>
      </w:pPr>
      <w:r>
        <w:rPr>
          <w:b/>
          <w:bCs/>
        </w:rPr>
        <w:lastRenderedPageBreak/>
        <w:tab/>
      </w:r>
    </w:p>
    <w:p w:rsidR="00DB1B95" w:rsidRDefault="00DB1B95" w:rsidP="00A551B9">
      <w:pPr>
        <w:spacing w:line="360" w:lineRule="auto"/>
        <w:jc w:val="both"/>
        <w:rPr>
          <w:b/>
          <w:bCs/>
        </w:rPr>
      </w:pPr>
      <w:r>
        <w:rPr>
          <w:b/>
          <w:bCs/>
        </w:rPr>
        <w:t xml:space="preserve">Methodology </w:t>
      </w:r>
    </w:p>
    <w:p w:rsidR="00DB1B95" w:rsidRDefault="00657A1F" w:rsidP="00A551B9">
      <w:pPr>
        <w:spacing w:line="360" w:lineRule="auto"/>
        <w:ind w:firstLine="720"/>
        <w:jc w:val="both"/>
      </w:pPr>
      <w:r>
        <w:t xml:space="preserve">The multiple </w:t>
      </w:r>
      <w:r w:rsidR="00496334">
        <w:t>regressions</w:t>
      </w:r>
      <w:r>
        <w:t xml:space="preserve"> </w:t>
      </w:r>
      <w:r w:rsidR="00496334">
        <w:t xml:space="preserve">methodology </w:t>
      </w:r>
      <w:r>
        <w:t xml:space="preserve">is used to </w:t>
      </w:r>
      <w:r w:rsidR="00FC0F28">
        <w:t xml:space="preserve">investigate the </w:t>
      </w:r>
      <w:r w:rsidR="00A9439C">
        <w:t xml:space="preserve">relative significance of all </w:t>
      </w:r>
      <w:r w:rsidR="00496334">
        <w:t>variables that are identified above</w:t>
      </w:r>
      <w:r w:rsidR="00A9439C">
        <w:t xml:space="preserve"> as determinants of country rating</w:t>
      </w:r>
      <w:r w:rsidR="00426314">
        <w:t xml:space="preserve"> by</w:t>
      </w:r>
      <w:r w:rsidR="00D510BA">
        <w:t xml:space="preserve"> </w:t>
      </w:r>
      <w:r w:rsidR="00426314">
        <w:t>analyzing data in term</w:t>
      </w:r>
      <w:r w:rsidR="00496334">
        <w:t>s</w:t>
      </w:r>
      <w:r w:rsidR="00426314">
        <w:t xml:space="preserve"> of</w:t>
      </w:r>
      <w:r w:rsidR="00D510BA">
        <w:t xml:space="preserve"> </w:t>
      </w:r>
      <w:r w:rsidR="00426314">
        <w:t>cro</w:t>
      </w:r>
      <w:r w:rsidR="00CD01AC">
        <w:t>ss-section</w:t>
      </w:r>
      <w:r w:rsidR="00426314">
        <w:t xml:space="preserve"> and time series</w:t>
      </w:r>
      <w:r w:rsidR="00CD01AC">
        <w:t>.</w:t>
      </w:r>
      <w:r w:rsidR="004B7A1C">
        <w:t xml:space="preserve"> The t-</w:t>
      </w:r>
      <w:r w:rsidR="00D510BA">
        <w:t>statistic is used to det</w:t>
      </w:r>
      <w:r w:rsidR="004B7A1C">
        <w:t>ermine</w:t>
      </w:r>
      <w:r w:rsidR="00D510BA">
        <w:t xml:space="preserve"> the</w:t>
      </w:r>
      <w:r w:rsidR="00A9001D">
        <w:t xml:space="preserve"> relative</w:t>
      </w:r>
      <w:r w:rsidR="00D510BA">
        <w:t xml:space="preserve"> significance of the </w:t>
      </w:r>
      <w:r w:rsidR="00426314">
        <w:t>coefficients</w:t>
      </w:r>
      <w:r w:rsidR="00D510BA">
        <w:t xml:space="preserve"> as well as the</w:t>
      </w:r>
      <w:r w:rsidR="00124DFF">
        <w:t xml:space="preserve"> (adjusted)</w:t>
      </w:r>
      <w:r w:rsidR="00D510BA">
        <w:t xml:space="preserve"> R</w:t>
      </w:r>
      <w:r w:rsidR="00D510BA" w:rsidRPr="00D510BA">
        <w:rPr>
          <w:vertAlign w:val="superscript"/>
        </w:rPr>
        <w:t>2</w:t>
      </w:r>
      <w:r w:rsidR="00CD01AC">
        <w:t xml:space="preserve"> </w:t>
      </w:r>
      <w:r w:rsidR="00D510BA">
        <w:t xml:space="preserve">is computed to see how well the variable can detect country ratings. </w:t>
      </w:r>
      <w:r w:rsidR="00FC0F28">
        <w:t>To</w:t>
      </w:r>
      <w:r>
        <w:t xml:space="preserve"> </w:t>
      </w:r>
      <w:r w:rsidR="00FC0F28">
        <w:t>convert</w:t>
      </w:r>
      <w:r>
        <w:t xml:space="preserve"> bond ratings into </w:t>
      </w:r>
      <w:r w:rsidR="00FC0F28">
        <w:t>number for regression analysis [initiated by</w:t>
      </w:r>
      <w:r>
        <w:t xml:space="preserve"> Horrigan </w:t>
      </w:r>
      <w:r w:rsidR="00FC0F28">
        <w:t>(</w:t>
      </w:r>
      <w:r>
        <w:t>1966</w:t>
      </w:r>
      <w:r w:rsidR="00FC0F28">
        <w:t>)</w:t>
      </w:r>
      <w:r>
        <w:t xml:space="preserve"> and continuing through Billet </w:t>
      </w:r>
      <w:r w:rsidR="00FC0F28">
        <w:t>(</w:t>
      </w:r>
      <w:r>
        <w:t>1996)</w:t>
      </w:r>
      <w:r w:rsidR="00FC0F28">
        <w:t>]</w:t>
      </w:r>
      <w:r>
        <w:t>,</w:t>
      </w:r>
      <w:r w:rsidR="00496334">
        <w:t xml:space="preserve"> we use</w:t>
      </w:r>
      <w:r>
        <w:t xml:space="preserve"> </w:t>
      </w:r>
      <w:r w:rsidR="00FC0F28">
        <w:t>the assignment of</w:t>
      </w:r>
      <w:r>
        <w:t xml:space="preserve"> numerical values to the Moody’s and Standard and Poor’s ratings as follows: B3/B- = 1, B2/B = 2, and so on through </w:t>
      </w:r>
      <w:proofErr w:type="spellStart"/>
      <w:r>
        <w:t>Aaa</w:t>
      </w:r>
      <w:proofErr w:type="spellEnd"/>
      <w:r>
        <w:t xml:space="preserve">/AAA = 16. </w:t>
      </w:r>
      <w:r w:rsidR="00FC0F28">
        <w:t>To measure</w:t>
      </w:r>
      <w:r>
        <w:t xml:space="preserve"> a country’s average rating, </w:t>
      </w:r>
      <w:r w:rsidR="00FC0F28">
        <w:t xml:space="preserve">the average value between two agencies is calculated. </w:t>
      </w:r>
      <w:r w:rsidR="008E716E">
        <w:t xml:space="preserve">The country rating provided by each agency, the average of country rating and the difference between country ratings provided by agencies separately regress on the explanatory variables in order to examine which dependent variable can be best explained. </w:t>
      </w:r>
      <w:r w:rsidR="00C84EBD" w:rsidRPr="00C84EBD">
        <w:rPr>
          <w:highlight w:val="yellow"/>
        </w:rPr>
        <w:t>(The country rating is bounded 1 at lower end and 16 at upper end which makes the use of OLS biased. Check if we should use probit model in this case.)</w:t>
      </w:r>
    </w:p>
    <w:p w:rsidR="00496334" w:rsidRPr="00DB1B95" w:rsidRDefault="00496334" w:rsidP="00A551B9">
      <w:pPr>
        <w:spacing w:line="360" w:lineRule="auto"/>
        <w:ind w:firstLine="720"/>
        <w:jc w:val="both"/>
      </w:pPr>
    </w:p>
    <w:p w:rsidR="00DB1B95" w:rsidRDefault="006434DB" w:rsidP="00A551B9">
      <w:pPr>
        <w:spacing w:line="360" w:lineRule="auto"/>
        <w:jc w:val="both"/>
      </w:pPr>
      <w:r>
        <w:rPr>
          <w:b/>
          <w:bCs/>
        </w:rPr>
        <w:tab/>
      </w:r>
      <w:r>
        <w:t xml:space="preserve">The </w:t>
      </w:r>
      <w:r w:rsidR="00124DFF">
        <w:t xml:space="preserve">multiple </w:t>
      </w:r>
      <w:r w:rsidR="00496334">
        <w:t>regressions</w:t>
      </w:r>
      <w:r w:rsidR="00124DFF">
        <w:t xml:space="preserve"> for the study</w:t>
      </w:r>
      <w:r w:rsidR="00496334">
        <w:t xml:space="preserve"> </w:t>
      </w:r>
      <w:r w:rsidR="002465D1">
        <w:t>are</w:t>
      </w:r>
      <w:r w:rsidR="00496334">
        <w:t xml:space="preserve"> formulated</w:t>
      </w:r>
      <w:r>
        <w:t xml:space="preserve"> as</w:t>
      </w:r>
      <w:r w:rsidR="00496334">
        <w:t>:</w:t>
      </w:r>
      <w:r>
        <w:t xml:space="preserve"> </w:t>
      </w:r>
    </w:p>
    <w:p w:rsidR="00865245" w:rsidRDefault="00865245" w:rsidP="00A551B9">
      <w:pPr>
        <w:spacing w:line="360" w:lineRule="auto"/>
        <w:jc w:val="center"/>
      </w:pPr>
      <w:r w:rsidRPr="00865245">
        <w:rPr>
          <w:position w:val="-12"/>
        </w:rPr>
        <w:object w:dxaOrig="78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18.1pt" o:ole="">
            <v:imagedata r:id="rId11" o:title=""/>
          </v:shape>
          <o:OLEObject Type="Embed" ProgID="Equation.3" ShapeID="_x0000_i1025" DrawAspect="Content" ObjectID="_1490624556" r:id="rId12"/>
        </w:object>
      </w:r>
    </w:p>
    <w:p w:rsidR="00124DFF" w:rsidRDefault="00865245" w:rsidP="00D2099C">
      <w:pPr>
        <w:jc w:val="both"/>
      </w:pPr>
      <w:r>
        <w:t>where</w:t>
      </w:r>
    </w:p>
    <w:tbl>
      <w:tblPr>
        <w:tblW w:w="9216" w:type="dxa"/>
        <w:tblLook w:val="01E0" w:firstRow="1" w:lastRow="1" w:firstColumn="1" w:lastColumn="1" w:noHBand="0" w:noVBand="0"/>
      </w:tblPr>
      <w:tblGrid>
        <w:gridCol w:w="1008"/>
        <w:gridCol w:w="540"/>
        <w:gridCol w:w="7668"/>
      </w:tblGrid>
      <w:tr w:rsidR="00865245" w:rsidTr="008070ED">
        <w:tc>
          <w:tcPr>
            <w:tcW w:w="1008" w:type="dxa"/>
          </w:tcPr>
          <w:p w:rsidR="00865245" w:rsidRPr="008070ED" w:rsidRDefault="00124DFF" w:rsidP="00D2099C">
            <w:pPr>
              <w:jc w:val="both"/>
              <w:rPr>
                <w:i/>
                <w:iCs/>
              </w:rPr>
            </w:pPr>
            <w:r>
              <w:br w:type="page"/>
            </w:r>
            <w:r w:rsidR="00865245" w:rsidRPr="008070ED">
              <w:rPr>
                <w:i/>
                <w:iCs/>
              </w:rPr>
              <w:t>RGT</w:t>
            </w:r>
          </w:p>
        </w:tc>
        <w:tc>
          <w:tcPr>
            <w:tcW w:w="540" w:type="dxa"/>
          </w:tcPr>
          <w:p w:rsidR="00865245" w:rsidRDefault="00865245" w:rsidP="00D2099C">
            <w:pPr>
              <w:jc w:val="both"/>
            </w:pPr>
            <w:r>
              <w:t>:</w:t>
            </w:r>
          </w:p>
        </w:tc>
        <w:tc>
          <w:tcPr>
            <w:tcW w:w="7668" w:type="dxa"/>
          </w:tcPr>
          <w:p w:rsidR="00865245" w:rsidRDefault="00865245" w:rsidP="00D2099C">
            <w:r>
              <w:t>Country rating provid</w:t>
            </w:r>
            <w:r w:rsidR="00B2451A">
              <w:t xml:space="preserve">ed by either Moody’s or S&amp;P, </w:t>
            </w:r>
            <w:r w:rsidR="00B2451A">
              <w:br/>
              <w:t xml:space="preserve">country rating </w:t>
            </w:r>
            <w:r>
              <w:t>difference between these 2 rating agencies</w:t>
            </w:r>
            <w:r w:rsidR="00B2451A">
              <w:t xml:space="preserve">, and </w:t>
            </w:r>
          </w:p>
          <w:p w:rsidR="00B2451A" w:rsidRDefault="00B2451A" w:rsidP="00D2099C">
            <w:r>
              <w:t xml:space="preserve">the average country rating between these 2 rating agencies  </w:t>
            </w:r>
          </w:p>
        </w:tc>
      </w:tr>
      <w:tr w:rsidR="00865245" w:rsidTr="008070ED">
        <w:tc>
          <w:tcPr>
            <w:tcW w:w="1008" w:type="dxa"/>
          </w:tcPr>
          <w:p w:rsidR="00865245" w:rsidRPr="008070ED" w:rsidRDefault="00865245" w:rsidP="00D2099C">
            <w:pPr>
              <w:jc w:val="both"/>
              <w:rPr>
                <w:i/>
                <w:iCs/>
              </w:rPr>
            </w:pPr>
            <w:r w:rsidRPr="008070ED">
              <w:rPr>
                <w:i/>
                <w:iCs/>
              </w:rPr>
              <w:t>CAP</w:t>
            </w:r>
          </w:p>
        </w:tc>
        <w:tc>
          <w:tcPr>
            <w:tcW w:w="540" w:type="dxa"/>
          </w:tcPr>
          <w:p w:rsidR="00865245" w:rsidRDefault="00865245" w:rsidP="00D2099C">
            <w:pPr>
              <w:jc w:val="both"/>
            </w:pPr>
            <w:r>
              <w:t>:</w:t>
            </w:r>
          </w:p>
        </w:tc>
        <w:tc>
          <w:tcPr>
            <w:tcW w:w="7668" w:type="dxa"/>
          </w:tcPr>
          <w:p w:rsidR="00865245" w:rsidRDefault="00865245" w:rsidP="00D2099C">
            <w:r>
              <w:t xml:space="preserve">Per capita income </w:t>
            </w:r>
          </w:p>
        </w:tc>
      </w:tr>
      <w:tr w:rsidR="00865245" w:rsidTr="008070ED">
        <w:tc>
          <w:tcPr>
            <w:tcW w:w="1008" w:type="dxa"/>
          </w:tcPr>
          <w:p w:rsidR="00865245" w:rsidRPr="008070ED" w:rsidRDefault="00865245" w:rsidP="00D2099C">
            <w:pPr>
              <w:jc w:val="both"/>
              <w:rPr>
                <w:i/>
                <w:iCs/>
              </w:rPr>
            </w:pPr>
            <w:r w:rsidRPr="008070ED">
              <w:rPr>
                <w:i/>
                <w:iCs/>
              </w:rPr>
              <w:t>GDP</w:t>
            </w:r>
          </w:p>
        </w:tc>
        <w:tc>
          <w:tcPr>
            <w:tcW w:w="540" w:type="dxa"/>
          </w:tcPr>
          <w:p w:rsidR="00865245" w:rsidRDefault="00865245" w:rsidP="00D2099C">
            <w:pPr>
              <w:jc w:val="both"/>
            </w:pPr>
            <w:r>
              <w:t>:</w:t>
            </w:r>
          </w:p>
        </w:tc>
        <w:tc>
          <w:tcPr>
            <w:tcW w:w="7668" w:type="dxa"/>
          </w:tcPr>
          <w:p w:rsidR="00865245" w:rsidRDefault="00865245" w:rsidP="00D2099C">
            <w:r>
              <w:t xml:space="preserve">GDP growth </w:t>
            </w:r>
          </w:p>
        </w:tc>
      </w:tr>
      <w:tr w:rsidR="00865245" w:rsidTr="008070ED">
        <w:tc>
          <w:tcPr>
            <w:tcW w:w="1008" w:type="dxa"/>
          </w:tcPr>
          <w:p w:rsidR="00865245" w:rsidRPr="008070ED" w:rsidRDefault="00865245" w:rsidP="00D2099C">
            <w:pPr>
              <w:jc w:val="both"/>
              <w:rPr>
                <w:i/>
                <w:iCs/>
              </w:rPr>
            </w:pPr>
            <w:r w:rsidRPr="008070ED">
              <w:rPr>
                <w:i/>
                <w:iCs/>
              </w:rPr>
              <w:t>INF</w:t>
            </w:r>
          </w:p>
        </w:tc>
        <w:tc>
          <w:tcPr>
            <w:tcW w:w="540" w:type="dxa"/>
          </w:tcPr>
          <w:p w:rsidR="00865245" w:rsidRDefault="00865245" w:rsidP="00D2099C">
            <w:pPr>
              <w:jc w:val="both"/>
            </w:pPr>
            <w:r>
              <w:t>:</w:t>
            </w:r>
          </w:p>
        </w:tc>
        <w:tc>
          <w:tcPr>
            <w:tcW w:w="7668" w:type="dxa"/>
          </w:tcPr>
          <w:p w:rsidR="00865245" w:rsidRDefault="00865245" w:rsidP="00D2099C">
            <w:r>
              <w:t xml:space="preserve">Inflation </w:t>
            </w:r>
          </w:p>
        </w:tc>
      </w:tr>
      <w:tr w:rsidR="00865245" w:rsidTr="008070ED">
        <w:tc>
          <w:tcPr>
            <w:tcW w:w="1008" w:type="dxa"/>
          </w:tcPr>
          <w:p w:rsidR="00865245" w:rsidRPr="008070ED" w:rsidRDefault="00865245" w:rsidP="00D2099C">
            <w:pPr>
              <w:jc w:val="both"/>
              <w:rPr>
                <w:i/>
                <w:iCs/>
              </w:rPr>
            </w:pPr>
            <w:r w:rsidRPr="008070ED">
              <w:rPr>
                <w:i/>
                <w:iCs/>
              </w:rPr>
              <w:t>DEBT</w:t>
            </w:r>
          </w:p>
        </w:tc>
        <w:tc>
          <w:tcPr>
            <w:tcW w:w="540" w:type="dxa"/>
          </w:tcPr>
          <w:p w:rsidR="00865245" w:rsidRDefault="00865245" w:rsidP="00D2099C">
            <w:pPr>
              <w:jc w:val="both"/>
            </w:pPr>
            <w:r>
              <w:t>:</w:t>
            </w:r>
          </w:p>
        </w:tc>
        <w:tc>
          <w:tcPr>
            <w:tcW w:w="7668" w:type="dxa"/>
          </w:tcPr>
          <w:p w:rsidR="00865245" w:rsidRDefault="00865245" w:rsidP="00D2099C">
            <w:r>
              <w:t xml:space="preserve">External debt </w:t>
            </w:r>
          </w:p>
        </w:tc>
      </w:tr>
      <w:tr w:rsidR="00865245" w:rsidTr="008070ED">
        <w:tc>
          <w:tcPr>
            <w:tcW w:w="1008" w:type="dxa"/>
          </w:tcPr>
          <w:p w:rsidR="00865245" w:rsidRPr="008070ED" w:rsidRDefault="00865245" w:rsidP="00D2099C">
            <w:pPr>
              <w:jc w:val="both"/>
              <w:rPr>
                <w:i/>
                <w:iCs/>
              </w:rPr>
            </w:pPr>
            <w:r w:rsidRPr="008070ED">
              <w:rPr>
                <w:i/>
                <w:iCs/>
              </w:rPr>
              <w:t>ECO</w:t>
            </w:r>
          </w:p>
        </w:tc>
        <w:tc>
          <w:tcPr>
            <w:tcW w:w="540" w:type="dxa"/>
          </w:tcPr>
          <w:p w:rsidR="00865245" w:rsidRDefault="00865245" w:rsidP="00D2099C">
            <w:pPr>
              <w:jc w:val="both"/>
            </w:pPr>
            <w:r>
              <w:t>:</w:t>
            </w:r>
          </w:p>
        </w:tc>
        <w:tc>
          <w:tcPr>
            <w:tcW w:w="7668" w:type="dxa"/>
          </w:tcPr>
          <w:p w:rsidR="00865245" w:rsidRDefault="00865245" w:rsidP="00D2099C">
            <w:r>
              <w:t>Indicator for economic development</w:t>
            </w:r>
            <w:r>
              <w:br/>
            </w:r>
            <w:r w:rsidRPr="00313735">
              <w:t>1 = industrialized</w:t>
            </w:r>
            <w:r w:rsidRPr="00313735">
              <w:br/>
              <w:t>0 = otherwise</w:t>
            </w:r>
          </w:p>
        </w:tc>
      </w:tr>
      <w:tr w:rsidR="00865245" w:rsidTr="008070ED">
        <w:tc>
          <w:tcPr>
            <w:tcW w:w="1008" w:type="dxa"/>
          </w:tcPr>
          <w:p w:rsidR="00865245" w:rsidRPr="008070ED" w:rsidRDefault="00865245" w:rsidP="00D2099C">
            <w:pPr>
              <w:jc w:val="both"/>
              <w:rPr>
                <w:i/>
                <w:iCs/>
              </w:rPr>
            </w:pPr>
            <w:r w:rsidRPr="008070ED">
              <w:rPr>
                <w:i/>
                <w:iCs/>
              </w:rPr>
              <w:t>DEF</w:t>
            </w:r>
          </w:p>
        </w:tc>
        <w:tc>
          <w:tcPr>
            <w:tcW w:w="540" w:type="dxa"/>
          </w:tcPr>
          <w:p w:rsidR="00865245" w:rsidRDefault="00865245" w:rsidP="00D2099C">
            <w:pPr>
              <w:jc w:val="both"/>
            </w:pPr>
            <w:r>
              <w:t>:</w:t>
            </w:r>
          </w:p>
        </w:tc>
        <w:tc>
          <w:tcPr>
            <w:tcW w:w="7668" w:type="dxa"/>
          </w:tcPr>
          <w:p w:rsidR="00865245" w:rsidRDefault="00865245" w:rsidP="00D2099C">
            <w:r>
              <w:t>Indicator for default history</w:t>
            </w:r>
            <w:r>
              <w:br/>
            </w:r>
            <w:r w:rsidRPr="00313735">
              <w:t>1 = default</w:t>
            </w:r>
            <w:r w:rsidRPr="00313735">
              <w:br/>
              <w:t>0 = no default</w:t>
            </w:r>
          </w:p>
        </w:tc>
      </w:tr>
      <w:tr w:rsidR="00865245" w:rsidTr="008070ED">
        <w:tc>
          <w:tcPr>
            <w:tcW w:w="1008" w:type="dxa"/>
          </w:tcPr>
          <w:p w:rsidR="00865245" w:rsidRPr="008070ED" w:rsidRDefault="00865245" w:rsidP="00D2099C">
            <w:pPr>
              <w:jc w:val="both"/>
              <w:rPr>
                <w:i/>
                <w:iCs/>
              </w:rPr>
            </w:pPr>
            <w:r w:rsidRPr="008070ED">
              <w:rPr>
                <w:i/>
                <w:iCs/>
              </w:rPr>
              <w:t>CDS</w:t>
            </w:r>
          </w:p>
        </w:tc>
        <w:tc>
          <w:tcPr>
            <w:tcW w:w="540" w:type="dxa"/>
          </w:tcPr>
          <w:p w:rsidR="00865245" w:rsidRDefault="00865245" w:rsidP="00D2099C">
            <w:pPr>
              <w:jc w:val="both"/>
            </w:pPr>
            <w:r>
              <w:t>:</w:t>
            </w:r>
          </w:p>
        </w:tc>
        <w:tc>
          <w:tcPr>
            <w:tcW w:w="7668" w:type="dxa"/>
          </w:tcPr>
          <w:p w:rsidR="00865245" w:rsidRDefault="00865245" w:rsidP="00D2099C">
            <w:r>
              <w:t>CDS spreads on sovereign debt</w:t>
            </w:r>
          </w:p>
        </w:tc>
      </w:tr>
      <w:tr w:rsidR="00865245" w:rsidTr="008070ED">
        <w:tc>
          <w:tcPr>
            <w:tcW w:w="1008" w:type="dxa"/>
          </w:tcPr>
          <w:p w:rsidR="00865245" w:rsidRPr="008070ED" w:rsidRDefault="00865245" w:rsidP="00D2099C">
            <w:pPr>
              <w:jc w:val="both"/>
              <w:rPr>
                <w:i/>
                <w:iCs/>
              </w:rPr>
            </w:pPr>
            <w:r w:rsidRPr="008070ED">
              <w:rPr>
                <w:i/>
                <w:iCs/>
              </w:rPr>
              <w:sym w:font="Symbol" w:char="F061"/>
            </w:r>
          </w:p>
        </w:tc>
        <w:tc>
          <w:tcPr>
            <w:tcW w:w="540" w:type="dxa"/>
          </w:tcPr>
          <w:p w:rsidR="00865245" w:rsidRDefault="00865245" w:rsidP="00D2099C">
            <w:pPr>
              <w:jc w:val="both"/>
            </w:pPr>
            <w:r>
              <w:t>:</w:t>
            </w:r>
          </w:p>
        </w:tc>
        <w:tc>
          <w:tcPr>
            <w:tcW w:w="7668" w:type="dxa"/>
          </w:tcPr>
          <w:p w:rsidR="00865245" w:rsidRDefault="00865245" w:rsidP="00D2099C">
            <w:r>
              <w:t xml:space="preserve">Intercept </w:t>
            </w:r>
          </w:p>
        </w:tc>
      </w:tr>
      <w:tr w:rsidR="00865245" w:rsidTr="008070ED">
        <w:tc>
          <w:tcPr>
            <w:tcW w:w="1008" w:type="dxa"/>
          </w:tcPr>
          <w:p w:rsidR="00865245" w:rsidRPr="008070ED" w:rsidRDefault="00E02B2C" w:rsidP="00D2099C">
            <w:pPr>
              <w:rPr>
                <w:i/>
                <w:iCs/>
              </w:rPr>
            </w:pPr>
            <w:r w:rsidRPr="008070ED">
              <w:rPr>
                <w:i/>
                <w:iCs/>
              </w:rPr>
              <w:t>ε</w:t>
            </w:r>
          </w:p>
        </w:tc>
        <w:tc>
          <w:tcPr>
            <w:tcW w:w="540" w:type="dxa"/>
          </w:tcPr>
          <w:p w:rsidR="00865245" w:rsidRDefault="00865245" w:rsidP="00D2099C">
            <w:pPr>
              <w:jc w:val="both"/>
            </w:pPr>
            <w:r>
              <w:t>:</w:t>
            </w:r>
          </w:p>
        </w:tc>
        <w:tc>
          <w:tcPr>
            <w:tcW w:w="7668" w:type="dxa"/>
          </w:tcPr>
          <w:p w:rsidR="00865245" w:rsidRDefault="00865245" w:rsidP="00D2099C">
            <w:r>
              <w:t>Error term</w:t>
            </w:r>
          </w:p>
        </w:tc>
      </w:tr>
    </w:tbl>
    <w:p w:rsidR="00865245" w:rsidRDefault="00865245" w:rsidP="00A551B9">
      <w:pPr>
        <w:spacing w:line="360" w:lineRule="auto"/>
        <w:jc w:val="both"/>
      </w:pPr>
    </w:p>
    <w:p w:rsidR="00D2099C" w:rsidRDefault="00D2099C" w:rsidP="00A551B9">
      <w:pPr>
        <w:spacing w:line="360" w:lineRule="auto"/>
        <w:jc w:val="both"/>
      </w:pPr>
    </w:p>
    <w:p w:rsidR="00CD55CE" w:rsidRDefault="00124DFF" w:rsidP="00A551B9">
      <w:pPr>
        <w:spacing w:line="360" w:lineRule="auto"/>
        <w:jc w:val="both"/>
      </w:pPr>
      <w:r>
        <w:tab/>
      </w:r>
      <w:r w:rsidR="00CD55CE">
        <w:t>The</w:t>
      </w:r>
      <w:r w:rsidR="00081892">
        <w:t xml:space="preserve"> study should</w:t>
      </w:r>
      <w:r w:rsidR="000C547C">
        <w:t xml:space="preserve"> provide the </w:t>
      </w:r>
      <w:r w:rsidR="00496334">
        <w:t>latest evidence on</w:t>
      </w:r>
      <w:r w:rsidR="00081892">
        <w:t xml:space="preserve"> macroeconomic variables to determine country rating, namely, GDP per capita, external debt as a percentage of export, the level of economic development, default history, real growth ra</w:t>
      </w:r>
      <w:r w:rsidR="00496334">
        <w:t>te and inflation rate. Another major contribution of this</w:t>
      </w:r>
      <w:r w:rsidR="00081892">
        <w:t xml:space="preserve"> study </w:t>
      </w:r>
      <w:r w:rsidR="00A9001D">
        <w:t>is</w:t>
      </w:r>
      <w:r w:rsidR="007F1B61">
        <w:t xml:space="preserve"> the use of CDS to neutralize</w:t>
      </w:r>
      <w:r w:rsidR="00496334">
        <w:t xml:space="preserve"> sovereign debt.  Our results, using historic and time series data, could validate the use of</w:t>
      </w:r>
      <w:r w:rsidR="00081892">
        <w:t xml:space="preserve"> </w:t>
      </w:r>
      <w:r w:rsidR="00701087">
        <w:t>credit default</w:t>
      </w:r>
      <w:r w:rsidR="00426314">
        <w:t xml:space="preserve"> spread</w:t>
      </w:r>
      <w:r w:rsidR="00081892">
        <w:t xml:space="preserve"> on sovereign debt</w:t>
      </w:r>
      <w:r w:rsidR="002760F7">
        <w:t xml:space="preserve"> which is superior to sovereign bond spread</w:t>
      </w:r>
      <w:r w:rsidR="00496334">
        <w:t xml:space="preserve"> in determining</w:t>
      </w:r>
      <w:r w:rsidR="00081892">
        <w:t xml:space="preserve"> country risk. </w:t>
      </w:r>
      <w:r w:rsidR="00496334">
        <w:t xml:space="preserve"> This could lead </w:t>
      </w:r>
      <w:r w:rsidR="007C131B">
        <w:t>to new studies</w:t>
      </w:r>
      <w:r w:rsidR="00496334">
        <w:t xml:space="preserve"> incorporating CDS in determining country risk.</w:t>
      </w:r>
    </w:p>
    <w:p w:rsidR="00F2314A" w:rsidRPr="00D2099C" w:rsidRDefault="00B346D9" w:rsidP="00D2099C">
      <w:pPr>
        <w:spacing w:line="360" w:lineRule="auto"/>
        <w:ind w:left="360"/>
        <w:jc w:val="center"/>
        <w:rPr>
          <w:b/>
          <w:bCs/>
          <w:u w:val="single"/>
        </w:rPr>
      </w:pPr>
      <w:r w:rsidRPr="00D2099C">
        <w:rPr>
          <w:b/>
          <w:bCs/>
          <w:u w:val="single"/>
        </w:rPr>
        <w:br w:type="page"/>
      </w:r>
      <w:r w:rsidR="00D2099C" w:rsidRPr="00D2099C">
        <w:rPr>
          <w:b/>
          <w:bCs/>
          <w:u w:val="single"/>
        </w:rPr>
        <w:lastRenderedPageBreak/>
        <w:t xml:space="preserve">Some Selected </w:t>
      </w:r>
      <w:r w:rsidRPr="00D2099C">
        <w:rPr>
          <w:b/>
          <w:bCs/>
          <w:u w:val="single"/>
        </w:rPr>
        <w:t>Reference</w:t>
      </w:r>
      <w:r w:rsidR="00D0199F" w:rsidRPr="00D2099C">
        <w:rPr>
          <w:b/>
          <w:bCs/>
          <w:u w:val="single"/>
        </w:rPr>
        <w:t>s</w:t>
      </w:r>
    </w:p>
    <w:p w:rsidR="007C131B" w:rsidRDefault="007C131B" w:rsidP="00A551B9">
      <w:pPr>
        <w:pStyle w:val="NormalWeb"/>
        <w:spacing w:before="0" w:beforeAutospacing="0" w:after="0" w:afterAutospacing="0" w:line="360" w:lineRule="auto"/>
        <w:ind w:left="360"/>
        <w:jc w:val="both"/>
      </w:pPr>
    </w:p>
    <w:p w:rsidR="007C131B" w:rsidRDefault="001F7DD7" w:rsidP="00D2099C">
      <w:pPr>
        <w:pStyle w:val="NormalWeb"/>
        <w:numPr>
          <w:ilvl w:val="0"/>
          <w:numId w:val="6"/>
        </w:numPr>
        <w:spacing w:before="0" w:beforeAutospacing="0" w:after="0" w:afterAutospacing="0" w:line="360" w:lineRule="auto"/>
        <w:jc w:val="both"/>
      </w:pPr>
      <w:smartTag w:uri="urn:schemas-microsoft-com:office:smarttags" w:element="City">
        <w:smartTag w:uri="urn:schemas-microsoft-com:office:smarttags" w:element="place">
          <w:r>
            <w:t>Campbell</w:t>
          </w:r>
        </w:smartTag>
      </w:smartTag>
      <w:r>
        <w:t>, J., Taksler, G.</w:t>
      </w:r>
      <w:r w:rsidR="00B851C1" w:rsidRPr="00B851C1">
        <w:t xml:space="preserve"> </w:t>
      </w:r>
      <w:r w:rsidR="00B851C1" w:rsidRPr="00B851C1">
        <w:rPr>
          <w:i/>
          <w:iCs/>
        </w:rPr>
        <w:t>“Equity volatility and corporate bond yields.”</w:t>
      </w:r>
      <w:r w:rsidR="00B851C1" w:rsidRPr="00B851C1">
        <w:t xml:space="preserve"> The Journal of Finance,</w:t>
      </w:r>
      <w:r w:rsidR="00E336DA">
        <w:t xml:space="preserve"> </w:t>
      </w:r>
      <w:r w:rsidR="00E336DA" w:rsidRPr="00B851C1">
        <w:t>2003</w:t>
      </w:r>
      <w:r w:rsidR="00E336DA">
        <w:t>, v</w:t>
      </w:r>
      <w:r w:rsidR="00E336DA" w:rsidRPr="00B851C1">
        <w:t>58</w:t>
      </w:r>
      <w:r w:rsidR="00E336DA">
        <w:t>, 2321-</w:t>
      </w:r>
      <w:r w:rsidR="00B851C1" w:rsidRPr="00B851C1">
        <w:t>2349.</w:t>
      </w:r>
      <w:r w:rsidR="00D2099C">
        <w:t xml:space="preserve"> </w:t>
      </w:r>
    </w:p>
    <w:p w:rsidR="006D0BB8" w:rsidRDefault="006D0BB8" w:rsidP="00A551B9">
      <w:pPr>
        <w:pStyle w:val="NormalWeb"/>
        <w:numPr>
          <w:ilvl w:val="0"/>
          <w:numId w:val="6"/>
        </w:numPr>
        <w:spacing w:before="0" w:beforeAutospacing="0" w:after="0" w:afterAutospacing="0" w:line="360" w:lineRule="auto"/>
        <w:jc w:val="both"/>
      </w:pPr>
      <w:r>
        <w:t xml:space="preserve">Cantor, Richard and Frank Packer. </w:t>
      </w:r>
      <w:r>
        <w:rPr>
          <w:i/>
          <w:iCs/>
        </w:rPr>
        <w:t xml:space="preserve">“Determinants and Impacts of Sovereign </w:t>
      </w:r>
      <w:r w:rsidR="005C1440">
        <w:rPr>
          <w:i/>
          <w:iCs/>
        </w:rPr>
        <w:t>Credit Ratings,”</w:t>
      </w:r>
      <w:r w:rsidR="005C1440">
        <w:t xml:space="preserve"> Journal of Fixed Income, 1996, v6</w:t>
      </w:r>
      <w:r w:rsidR="00674B46">
        <w:t xml:space="preserve"> </w:t>
      </w:r>
      <w:r w:rsidR="005C1440">
        <w:t>(3</w:t>
      </w:r>
      <w:r w:rsidR="00674B46">
        <w:t>, Dec</w:t>
      </w:r>
      <w:r w:rsidR="005C1440">
        <w:t>), 76-91.</w:t>
      </w:r>
    </w:p>
    <w:p w:rsidR="00FC0F28" w:rsidRPr="00674B46" w:rsidRDefault="00FC0F28" w:rsidP="00A551B9">
      <w:pPr>
        <w:pStyle w:val="NormalWeb"/>
        <w:numPr>
          <w:ilvl w:val="0"/>
          <w:numId w:val="6"/>
        </w:numPr>
        <w:spacing w:before="0" w:beforeAutospacing="0" w:after="0" w:afterAutospacing="0" w:line="360" w:lineRule="auto"/>
        <w:jc w:val="both"/>
        <w:rPr>
          <w:rFonts w:eastAsia="AdvSTP_PSTimR" w:cs="AdvSTP_PSTimR"/>
          <w:lang w:bidi="th-TH"/>
        </w:rPr>
      </w:pPr>
      <w:r w:rsidRPr="00466B5C">
        <w:rPr>
          <w:lang w:bidi="th-TH"/>
        </w:rPr>
        <w:t>Horrigan, J</w:t>
      </w:r>
      <w:r w:rsidRPr="00FC0F28">
        <w:rPr>
          <w:lang w:bidi="th-TH"/>
        </w:rPr>
        <w:t>. “</w:t>
      </w:r>
      <w:r w:rsidRPr="008E6243">
        <w:rPr>
          <w:i/>
          <w:iCs/>
          <w:lang w:bidi="th-TH"/>
        </w:rPr>
        <w:t>The Determination of Long-Term Credit Standing with Financial Ratios</w:t>
      </w:r>
      <w:r w:rsidR="002C18AE">
        <w:rPr>
          <w:i/>
          <w:iCs/>
          <w:lang w:bidi="th-TH"/>
        </w:rPr>
        <w:t>,</w:t>
      </w:r>
      <w:r w:rsidRPr="008E6243">
        <w:rPr>
          <w:i/>
          <w:iCs/>
          <w:lang w:bidi="th-TH"/>
        </w:rPr>
        <w:t>”</w:t>
      </w:r>
      <w:r w:rsidRPr="00FC0F28">
        <w:rPr>
          <w:lang w:bidi="th-TH"/>
        </w:rPr>
        <w:t xml:space="preserve"> </w:t>
      </w:r>
      <w:r w:rsidR="008E6243">
        <w:rPr>
          <w:lang w:bidi="th-TH"/>
        </w:rPr>
        <w:t>Empirical Research in Accounting</w:t>
      </w:r>
      <w:r w:rsidRPr="00FC0F28">
        <w:rPr>
          <w:lang w:bidi="th-TH"/>
        </w:rPr>
        <w:t xml:space="preserve"> 1966,</w:t>
      </w:r>
      <w:r w:rsidR="008E6243">
        <w:rPr>
          <w:lang w:bidi="th-TH"/>
        </w:rPr>
        <w:t xml:space="preserve"> </w:t>
      </w:r>
      <w:r w:rsidRPr="008E6243">
        <w:rPr>
          <w:lang w:bidi="th-TH"/>
        </w:rPr>
        <w:t>J</w:t>
      </w:r>
      <w:r w:rsidR="008E6243">
        <w:rPr>
          <w:lang w:bidi="th-TH"/>
        </w:rPr>
        <w:t>ournal of Accounting</w:t>
      </w:r>
      <w:r w:rsidRPr="008E6243">
        <w:rPr>
          <w:lang w:bidi="th-TH"/>
        </w:rPr>
        <w:t xml:space="preserve"> </w:t>
      </w:r>
      <w:r w:rsidR="008E6243">
        <w:rPr>
          <w:lang w:bidi="th-TH"/>
        </w:rPr>
        <w:t>Research</w:t>
      </w:r>
      <w:r w:rsidRPr="008E6243">
        <w:rPr>
          <w:lang w:bidi="th-TH"/>
        </w:rPr>
        <w:t xml:space="preserve"> </w:t>
      </w:r>
      <w:r w:rsidR="008E6243">
        <w:rPr>
          <w:lang w:bidi="th-TH"/>
        </w:rPr>
        <w:t>4 (supplement),</w:t>
      </w:r>
      <w:r w:rsidR="00D4674E">
        <w:rPr>
          <w:lang w:bidi="th-TH"/>
        </w:rPr>
        <w:t xml:space="preserve"> 1966,</w:t>
      </w:r>
      <w:r w:rsidRPr="008E6243">
        <w:rPr>
          <w:lang w:bidi="th-TH"/>
        </w:rPr>
        <w:t xml:space="preserve"> 44-62.</w:t>
      </w:r>
    </w:p>
    <w:p w:rsidR="00C52B75" w:rsidRPr="00674B46" w:rsidRDefault="00B346D9" w:rsidP="00A551B9">
      <w:pPr>
        <w:pStyle w:val="NormalWeb"/>
        <w:numPr>
          <w:ilvl w:val="0"/>
          <w:numId w:val="6"/>
        </w:numPr>
        <w:spacing w:before="0" w:beforeAutospacing="0" w:after="0" w:afterAutospacing="0" w:line="360" w:lineRule="auto"/>
        <w:jc w:val="both"/>
        <w:rPr>
          <w:rFonts w:eastAsia="AdvSTP_PSTimR" w:cs="AdvSTP_PSTimR"/>
          <w:lang w:bidi="th-TH"/>
        </w:rPr>
      </w:pPr>
      <w:r w:rsidRPr="00C52B75">
        <w:t xml:space="preserve">Hull, John, Mirela Predescu and Alan White. </w:t>
      </w:r>
      <w:r w:rsidRPr="00C52B75">
        <w:rPr>
          <w:i/>
          <w:iCs/>
        </w:rPr>
        <w:t xml:space="preserve">"The Relationship </w:t>
      </w:r>
      <w:r w:rsidR="00E95A20" w:rsidRPr="00C52B75">
        <w:rPr>
          <w:i/>
          <w:iCs/>
        </w:rPr>
        <w:t>between</w:t>
      </w:r>
      <w:r w:rsidRPr="00C52B75">
        <w:rPr>
          <w:i/>
          <w:iCs/>
        </w:rPr>
        <w:t xml:space="preserve"> Credit Default Swap Spreads, Bond Yields, And Credit Rating Announcements,"</w:t>
      </w:r>
      <w:r w:rsidRPr="00C52B75">
        <w:t xml:space="preserve"> Journal of Banking and Finance, 2004, </w:t>
      </w:r>
      <w:r w:rsidR="00674B46" w:rsidRPr="00C52B75">
        <w:t>v29 (</w:t>
      </w:r>
      <w:r w:rsidRPr="00C52B75">
        <w:t>11</w:t>
      </w:r>
      <w:r w:rsidR="00674B46" w:rsidRPr="00C52B75">
        <w:t>, Nov</w:t>
      </w:r>
      <w:r w:rsidRPr="00C52B75">
        <w:t>), 2789-2811.</w:t>
      </w:r>
    </w:p>
    <w:p w:rsidR="00C52B75" w:rsidRPr="00A351A5" w:rsidRDefault="00C52B75" w:rsidP="00A551B9">
      <w:pPr>
        <w:pStyle w:val="NormalWeb"/>
        <w:numPr>
          <w:ilvl w:val="0"/>
          <w:numId w:val="6"/>
        </w:numPr>
        <w:spacing w:before="0" w:beforeAutospacing="0" w:after="0" w:afterAutospacing="0" w:line="360" w:lineRule="auto"/>
        <w:jc w:val="both"/>
      </w:pPr>
      <w:r w:rsidRPr="00C52B75">
        <w:rPr>
          <w:rFonts w:eastAsia="AdvSTP_PSTimR" w:cs="AdvSTP_PSTimR"/>
          <w:lang w:bidi="th-TH"/>
        </w:rPr>
        <w:t>1</w:t>
      </w:r>
      <w:r>
        <w:rPr>
          <w:rFonts w:eastAsia="AdvSTP_PSTimR" w:cs="AdvSTP_PSTimR"/>
          <w:lang w:bidi="th-TH"/>
        </w:rPr>
        <w:t xml:space="preserve">, </w:t>
      </w:r>
      <w:r w:rsidRPr="00C52B75">
        <w:rPr>
          <w:rFonts w:eastAsia="AdvSTP_PSTimR" w:cs="AdvSTP_PSTimR"/>
          <w:lang w:bidi="th-TH"/>
        </w:rPr>
        <w:t xml:space="preserve">171–195. </w:t>
      </w:r>
    </w:p>
    <w:p w:rsidR="00A351A5" w:rsidRPr="00674B46" w:rsidRDefault="00A351A5" w:rsidP="00A551B9">
      <w:pPr>
        <w:pStyle w:val="NormalWeb"/>
        <w:numPr>
          <w:ilvl w:val="0"/>
          <w:numId w:val="6"/>
        </w:numPr>
        <w:spacing w:before="0" w:beforeAutospacing="0" w:after="0" w:afterAutospacing="0" w:line="360" w:lineRule="auto"/>
        <w:jc w:val="both"/>
      </w:pPr>
      <w:r>
        <w:rPr>
          <w:rFonts w:eastAsia="AdvSTP_PSTimR" w:cs="AdvSTP_PSTimR"/>
          <w:lang w:bidi="th-TH"/>
        </w:rPr>
        <w:t xml:space="preserve">Lee, Suk Hun., </w:t>
      </w:r>
      <w:r>
        <w:rPr>
          <w:rFonts w:eastAsia="AdvSTP_PSTimR" w:cs="AdvSTP_PSTimR"/>
          <w:i/>
          <w:iCs/>
          <w:lang w:bidi="th-TH"/>
        </w:rPr>
        <w:t>“Are the Credit Ratings Assigned by Bankers Based on the Willingness of LDC Borrowers to Repay?”</w:t>
      </w:r>
      <w:r>
        <w:rPr>
          <w:rFonts w:eastAsia="AdvSTP_PSTimR" w:cs="AdvSTP_PSTimR"/>
          <w:lang w:bidi="th-TH"/>
        </w:rPr>
        <w:t xml:space="preserve"> Journal of Development Economics, 1993a, Vol. 40, 349-359</w:t>
      </w:r>
    </w:p>
    <w:p w:rsidR="009D750F" w:rsidRPr="00674B46" w:rsidRDefault="009D750F" w:rsidP="00A551B9">
      <w:pPr>
        <w:pStyle w:val="NormalWeb"/>
        <w:numPr>
          <w:ilvl w:val="0"/>
          <w:numId w:val="6"/>
        </w:numPr>
        <w:spacing w:before="0" w:beforeAutospacing="0" w:after="0" w:afterAutospacing="0" w:line="360" w:lineRule="auto"/>
        <w:jc w:val="both"/>
      </w:pPr>
      <w:r>
        <w:rPr>
          <w:rFonts w:eastAsia="AdvSTP_PSTimR" w:cs="AdvSTP_PSTimR"/>
          <w:lang w:bidi="th-TH"/>
        </w:rPr>
        <w:t xml:space="preserve">Oral, Muhittin, Ossama Kettanti, Jean-Claude Cosset, and Mohamed Daouas, </w:t>
      </w:r>
      <w:r>
        <w:rPr>
          <w:rFonts w:eastAsia="AdvSTP_PSTimR" w:cs="AdvSTP_PSTimR"/>
          <w:i/>
          <w:iCs/>
          <w:lang w:bidi="th-TH"/>
        </w:rPr>
        <w:t>“An Estimation Model of Country Risk Rating,”</w:t>
      </w:r>
      <w:r>
        <w:rPr>
          <w:rFonts w:eastAsia="AdvSTP_PSTimR" w:cs="AdvSTP_PSTimR"/>
          <w:lang w:bidi="th-TH"/>
        </w:rPr>
        <w:t xml:space="preserve"> International Journal of Forecasting, 1992, Vol. 8, No. 4, 583-593.</w:t>
      </w:r>
    </w:p>
    <w:p w:rsidR="00B346D9" w:rsidRDefault="00B346D9" w:rsidP="00A551B9">
      <w:pPr>
        <w:pStyle w:val="NormalWeb"/>
        <w:numPr>
          <w:ilvl w:val="0"/>
          <w:numId w:val="6"/>
        </w:numPr>
        <w:spacing w:before="0" w:beforeAutospacing="0" w:after="0" w:afterAutospacing="0" w:line="360" w:lineRule="auto"/>
        <w:jc w:val="both"/>
      </w:pPr>
      <w:r w:rsidRPr="00C52B75">
        <w:t xml:space="preserve">Weigel, Diana Diaz and Gordon Genmill. </w:t>
      </w:r>
      <w:r w:rsidRPr="00C52B75">
        <w:rPr>
          <w:i/>
          <w:iCs/>
        </w:rPr>
        <w:t xml:space="preserve">"What Drives Credit Risk </w:t>
      </w:r>
      <w:r w:rsidR="00674B46" w:rsidRPr="00C52B75">
        <w:rPr>
          <w:i/>
          <w:iCs/>
        </w:rPr>
        <w:t>in</w:t>
      </w:r>
      <w:r w:rsidRPr="00C52B75">
        <w:rPr>
          <w:i/>
          <w:iCs/>
        </w:rPr>
        <w:t xml:space="preserve"> Emerging Markets? The Roles </w:t>
      </w:r>
      <w:r w:rsidR="00D2099C" w:rsidRPr="00C52B75">
        <w:rPr>
          <w:i/>
          <w:iCs/>
        </w:rPr>
        <w:t>of Country Fundamentals and</w:t>
      </w:r>
      <w:r w:rsidRPr="00C52B75">
        <w:rPr>
          <w:i/>
          <w:iCs/>
        </w:rPr>
        <w:t xml:space="preserve"> Market Co-Movements,"</w:t>
      </w:r>
      <w:r w:rsidRPr="00C52B75">
        <w:t xml:space="preserve"> Journal of International Money and Finance, 2006, </w:t>
      </w:r>
      <w:r w:rsidR="00674B46" w:rsidRPr="00C52B75">
        <w:t>v25 (</w:t>
      </w:r>
      <w:r w:rsidRPr="00C52B75">
        <w:t>3</w:t>
      </w:r>
      <w:r w:rsidR="00674B46" w:rsidRPr="00C52B75">
        <w:t>, Apr</w:t>
      </w:r>
      <w:r w:rsidRPr="00C52B75">
        <w:t>), 476-502.</w:t>
      </w:r>
    </w:p>
    <w:p w:rsidR="004041E2" w:rsidRDefault="004041E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E95A20" w:rsidRDefault="00E95A20" w:rsidP="004041E2">
      <w:pPr>
        <w:pStyle w:val="NormalWeb"/>
        <w:spacing w:before="0" w:beforeAutospacing="0" w:after="0" w:afterAutospacing="0" w:line="360" w:lineRule="auto"/>
        <w:jc w:val="both"/>
      </w:pPr>
    </w:p>
    <w:p w:rsidR="00E95A20" w:rsidRDefault="00E95A20"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7E0A92" w:rsidRDefault="007E0A92" w:rsidP="007E0A92">
      <w:pPr>
        <w:pStyle w:val="NormalWeb"/>
        <w:spacing w:before="0" w:beforeAutospacing="0" w:after="0" w:afterAutospacing="0" w:line="360" w:lineRule="auto"/>
        <w:jc w:val="center"/>
      </w:pPr>
      <w:r>
        <w:lastRenderedPageBreak/>
        <w:t>CHART I:  SELECT COUNTRIES SOVEREIGN DEBT</w:t>
      </w: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r w:rsidRPr="00A45A13">
        <w:rPr>
          <w:rFonts w:cstheme="minorHAnsi"/>
          <w:b/>
          <w:noProof/>
        </w:rPr>
        <w:drawing>
          <wp:inline distT="0" distB="0" distL="0" distR="0" wp14:anchorId="60B82B28" wp14:editId="145C9472">
            <wp:extent cx="5486400" cy="3957133"/>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86400" cy="3957133"/>
                    </a:xfrm>
                    <a:prstGeom prst="rect">
                      <a:avLst/>
                    </a:prstGeom>
                  </pic:spPr>
                </pic:pic>
              </a:graphicData>
            </a:graphic>
          </wp:inline>
        </w:drawing>
      </w: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E95A20" w:rsidRDefault="00E95A20" w:rsidP="004041E2">
      <w:pPr>
        <w:pStyle w:val="NormalWeb"/>
        <w:spacing w:before="0" w:beforeAutospacing="0" w:after="0" w:afterAutospacing="0" w:line="360" w:lineRule="auto"/>
        <w:jc w:val="both"/>
      </w:pPr>
    </w:p>
    <w:p w:rsidR="00E95A20" w:rsidRDefault="00E95A20"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4041E2">
      <w:pPr>
        <w:pStyle w:val="NormalWeb"/>
        <w:spacing w:before="0" w:beforeAutospacing="0" w:after="0" w:afterAutospacing="0" w:line="360" w:lineRule="auto"/>
        <w:jc w:val="both"/>
      </w:pPr>
    </w:p>
    <w:p w:rsidR="007E0A92" w:rsidRDefault="007E0A92" w:rsidP="007E0A92">
      <w:pPr>
        <w:pStyle w:val="NormalWeb"/>
        <w:spacing w:before="0" w:beforeAutospacing="0" w:after="0" w:afterAutospacing="0" w:line="360" w:lineRule="auto"/>
        <w:jc w:val="center"/>
      </w:pPr>
      <w:r>
        <w:lastRenderedPageBreak/>
        <w:t>CHART II:    SOVEREIGN DEBT AND CONTAGION POTENTIAL</w:t>
      </w:r>
    </w:p>
    <w:p w:rsidR="007E0A92" w:rsidRDefault="007E0A92" w:rsidP="004041E2">
      <w:pPr>
        <w:pStyle w:val="NormalWeb"/>
        <w:spacing w:before="0" w:beforeAutospacing="0" w:after="0" w:afterAutospacing="0" w:line="360" w:lineRule="auto"/>
        <w:jc w:val="both"/>
      </w:pPr>
    </w:p>
    <w:p w:rsidR="004041E2" w:rsidRDefault="004041E2" w:rsidP="004041E2">
      <w:pPr>
        <w:pStyle w:val="NormalWeb"/>
        <w:spacing w:before="0" w:beforeAutospacing="0" w:after="0" w:afterAutospacing="0" w:line="360" w:lineRule="auto"/>
        <w:jc w:val="both"/>
      </w:pPr>
      <w:r w:rsidRPr="00BB3D20">
        <w:rPr>
          <w:rFonts w:cstheme="minorHAnsi"/>
          <w:noProof/>
          <w:color w:val="000000" w:themeColor="text1"/>
        </w:rPr>
        <w:drawing>
          <wp:inline distT="0" distB="0" distL="0" distR="0" wp14:anchorId="4B5F92E0" wp14:editId="2C926747">
            <wp:extent cx="5486400" cy="286175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86400" cy="2861752"/>
                    </a:xfrm>
                    <a:prstGeom prst="rect">
                      <a:avLst/>
                    </a:prstGeom>
                    <a:noFill/>
                    <a:ln w="9525">
                      <a:noFill/>
                      <a:miter lim="800000"/>
                      <a:headEnd/>
                      <a:tailEnd/>
                    </a:ln>
                  </pic:spPr>
                </pic:pic>
              </a:graphicData>
            </a:graphic>
          </wp:inline>
        </w:drawing>
      </w:r>
    </w:p>
    <w:p w:rsidR="004041E2" w:rsidRDefault="004041E2"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D2099C">
      <w:pPr>
        <w:pStyle w:val="NormalWeb"/>
        <w:spacing w:before="0" w:beforeAutospacing="0" w:after="0" w:afterAutospacing="0" w:line="360" w:lineRule="auto"/>
        <w:jc w:val="center"/>
      </w:pPr>
      <w:r>
        <w:t>CHART III:   SELECT EUROPEAN CDS SPREAD</w:t>
      </w:r>
    </w:p>
    <w:p w:rsidR="00D2099C" w:rsidRDefault="00D2099C" w:rsidP="004041E2">
      <w:pPr>
        <w:pStyle w:val="NormalWeb"/>
        <w:spacing w:before="0" w:beforeAutospacing="0" w:after="0" w:afterAutospacing="0" w:line="360" w:lineRule="auto"/>
        <w:jc w:val="both"/>
      </w:pPr>
      <w:r w:rsidRPr="00BB3D20">
        <w:rPr>
          <w:rFonts w:cstheme="minorHAnsi"/>
          <w:noProof/>
        </w:rPr>
        <w:drawing>
          <wp:anchor distT="0" distB="0" distL="114300" distR="114300" simplePos="0" relativeHeight="251661312" behindDoc="1" locked="0" layoutInCell="1" allowOverlap="1" wp14:anchorId="2791BA0C" wp14:editId="1C9B2133">
            <wp:simplePos x="0" y="0"/>
            <wp:positionH relativeFrom="column">
              <wp:posOffset>501650</wp:posOffset>
            </wp:positionH>
            <wp:positionV relativeFrom="paragraph">
              <wp:posOffset>512445</wp:posOffset>
            </wp:positionV>
            <wp:extent cx="3829050" cy="2913380"/>
            <wp:effectExtent l="0" t="0" r="0" b="1270"/>
            <wp:wrapTight wrapText="bothSides">
              <wp:wrapPolygon edited="0">
                <wp:start x="0" y="0"/>
                <wp:lineTo x="0" y="21468"/>
                <wp:lineTo x="21493" y="21468"/>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9050" cy="2913380"/>
                    </a:xfrm>
                    <a:prstGeom prst="rect">
                      <a:avLst/>
                    </a:prstGeom>
                  </pic:spPr>
                </pic:pic>
              </a:graphicData>
            </a:graphic>
            <wp14:sizeRelH relativeFrom="page">
              <wp14:pctWidth>0</wp14:pctWidth>
            </wp14:sizeRelH>
            <wp14:sizeRelV relativeFrom="page">
              <wp14:pctHeight>0</wp14:pctHeight>
            </wp14:sizeRelV>
          </wp:anchor>
        </w:drawing>
      </w:r>
    </w:p>
    <w:p w:rsidR="00D2099C" w:rsidRDefault="00D2099C"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4041E2">
      <w:pPr>
        <w:pStyle w:val="NormalWeb"/>
        <w:spacing w:before="0" w:beforeAutospacing="0" w:after="0" w:afterAutospacing="0" w:line="360" w:lineRule="auto"/>
        <w:jc w:val="both"/>
      </w:pPr>
    </w:p>
    <w:p w:rsidR="00D2099C" w:rsidRDefault="00D2099C" w:rsidP="00D2099C">
      <w:pPr>
        <w:pStyle w:val="NormalWeb"/>
        <w:spacing w:before="0" w:beforeAutospacing="0" w:after="0" w:afterAutospacing="0" w:line="360" w:lineRule="auto"/>
        <w:jc w:val="both"/>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p w:rsidR="00D2099C" w:rsidRDefault="00D2099C" w:rsidP="00D2099C">
      <w:pPr>
        <w:pStyle w:val="NormalWeb"/>
        <w:spacing w:before="0" w:beforeAutospacing="0" w:after="0" w:afterAutospacing="0" w:line="360" w:lineRule="auto"/>
        <w:jc w:val="center"/>
        <w:rPr>
          <w:b/>
          <w:u w:val="single"/>
        </w:rPr>
      </w:pPr>
    </w:p>
    <w:sectPr w:rsidR="00D2099C" w:rsidSect="003137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0D5" w:rsidRDefault="00D940D5">
      <w:r>
        <w:separator/>
      </w:r>
    </w:p>
  </w:endnote>
  <w:endnote w:type="continuationSeparator" w:id="0">
    <w:p w:rsidR="00D940D5" w:rsidRDefault="00D9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STP_PSTimR">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01D" w:rsidRPr="005933D5" w:rsidRDefault="00A9001D" w:rsidP="005933D5">
    <w:pPr>
      <w:pStyle w:val="Footer"/>
      <w:jc w:val="center"/>
      <w:rPr>
        <w:sz w:val="22"/>
        <w:szCs w:val="22"/>
      </w:rPr>
    </w:pPr>
    <w:r w:rsidRPr="005933D5">
      <w:rPr>
        <w:sz w:val="22"/>
        <w:szCs w:val="22"/>
      </w:rPr>
      <w:t xml:space="preserve">Page </w:t>
    </w:r>
    <w:r w:rsidRPr="005933D5">
      <w:rPr>
        <w:sz w:val="22"/>
        <w:szCs w:val="22"/>
      </w:rPr>
      <w:fldChar w:fldCharType="begin"/>
    </w:r>
    <w:r w:rsidRPr="005933D5">
      <w:rPr>
        <w:sz w:val="22"/>
        <w:szCs w:val="22"/>
      </w:rPr>
      <w:instrText xml:space="preserve"> PAGE </w:instrText>
    </w:r>
    <w:r w:rsidRPr="005933D5">
      <w:rPr>
        <w:sz w:val="22"/>
        <w:szCs w:val="22"/>
      </w:rPr>
      <w:fldChar w:fldCharType="separate"/>
    </w:r>
    <w:r w:rsidR="007C7805">
      <w:rPr>
        <w:noProof/>
        <w:sz w:val="22"/>
        <w:szCs w:val="22"/>
      </w:rPr>
      <w:t>10</w:t>
    </w:r>
    <w:r w:rsidRPr="005933D5">
      <w:rPr>
        <w:sz w:val="22"/>
        <w:szCs w:val="22"/>
      </w:rPr>
      <w:fldChar w:fldCharType="end"/>
    </w:r>
    <w:r w:rsidRPr="005933D5">
      <w:rPr>
        <w:sz w:val="22"/>
        <w:szCs w:val="22"/>
      </w:rPr>
      <w:t xml:space="preserve"> of </w:t>
    </w:r>
    <w:r w:rsidRPr="005933D5">
      <w:rPr>
        <w:sz w:val="22"/>
        <w:szCs w:val="22"/>
      </w:rPr>
      <w:fldChar w:fldCharType="begin"/>
    </w:r>
    <w:r w:rsidRPr="005933D5">
      <w:rPr>
        <w:sz w:val="22"/>
        <w:szCs w:val="22"/>
      </w:rPr>
      <w:instrText xml:space="preserve"> NUMPAGES </w:instrText>
    </w:r>
    <w:r w:rsidRPr="005933D5">
      <w:rPr>
        <w:sz w:val="22"/>
        <w:szCs w:val="22"/>
      </w:rPr>
      <w:fldChar w:fldCharType="separate"/>
    </w:r>
    <w:r w:rsidR="007C7805">
      <w:rPr>
        <w:noProof/>
        <w:sz w:val="22"/>
        <w:szCs w:val="22"/>
      </w:rPr>
      <w:t>10</w:t>
    </w:r>
    <w:r w:rsidRPr="005933D5">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0D5" w:rsidRDefault="00D940D5">
      <w:r>
        <w:separator/>
      </w:r>
    </w:p>
  </w:footnote>
  <w:footnote w:type="continuationSeparator" w:id="0">
    <w:p w:rsidR="00D940D5" w:rsidRDefault="00D94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312"/>
    <w:multiLevelType w:val="hybridMultilevel"/>
    <w:tmpl w:val="195062A2"/>
    <w:lvl w:ilvl="0" w:tplc="9DBCC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0CF0FFF"/>
    <w:multiLevelType w:val="hybridMultilevel"/>
    <w:tmpl w:val="D83E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D3453"/>
    <w:multiLevelType w:val="hybridMultilevel"/>
    <w:tmpl w:val="037895F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336C6BAC"/>
    <w:multiLevelType w:val="hybridMultilevel"/>
    <w:tmpl w:val="E14CAB1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403158F7"/>
    <w:multiLevelType w:val="hybridMultilevel"/>
    <w:tmpl w:val="267E03BA"/>
    <w:lvl w:ilvl="0" w:tplc="DB4A5E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58712D9"/>
    <w:multiLevelType w:val="hybridMultilevel"/>
    <w:tmpl w:val="D6C6E6C2"/>
    <w:lvl w:ilvl="0" w:tplc="5088C4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92D7A19"/>
    <w:multiLevelType w:val="hybridMultilevel"/>
    <w:tmpl w:val="BDAAA9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4755469"/>
    <w:multiLevelType w:val="hybridMultilevel"/>
    <w:tmpl w:val="8302874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B1"/>
    <w:rsid w:val="0000249E"/>
    <w:rsid w:val="00014318"/>
    <w:rsid w:val="00032F13"/>
    <w:rsid w:val="00045932"/>
    <w:rsid w:val="000514A0"/>
    <w:rsid w:val="00055353"/>
    <w:rsid w:val="0006495B"/>
    <w:rsid w:val="00071600"/>
    <w:rsid w:val="0007163B"/>
    <w:rsid w:val="000742FA"/>
    <w:rsid w:val="00074573"/>
    <w:rsid w:val="00081892"/>
    <w:rsid w:val="000833A4"/>
    <w:rsid w:val="00090D2C"/>
    <w:rsid w:val="00095956"/>
    <w:rsid w:val="000A3569"/>
    <w:rsid w:val="000B0591"/>
    <w:rsid w:val="000B4169"/>
    <w:rsid w:val="000C547C"/>
    <w:rsid w:val="000C77E0"/>
    <w:rsid w:val="000D12A6"/>
    <w:rsid w:val="000D1DB0"/>
    <w:rsid w:val="000F3415"/>
    <w:rsid w:val="000F7C1F"/>
    <w:rsid w:val="0010241D"/>
    <w:rsid w:val="0011536B"/>
    <w:rsid w:val="0011690F"/>
    <w:rsid w:val="00116CE8"/>
    <w:rsid w:val="00124DFF"/>
    <w:rsid w:val="0013151C"/>
    <w:rsid w:val="00131C25"/>
    <w:rsid w:val="00147A23"/>
    <w:rsid w:val="0015136C"/>
    <w:rsid w:val="001543C1"/>
    <w:rsid w:val="00175048"/>
    <w:rsid w:val="00181120"/>
    <w:rsid w:val="0018564D"/>
    <w:rsid w:val="00196ED6"/>
    <w:rsid w:val="001A402F"/>
    <w:rsid w:val="001A6E11"/>
    <w:rsid w:val="001A70D6"/>
    <w:rsid w:val="001B39C3"/>
    <w:rsid w:val="001C25DF"/>
    <w:rsid w:val="001C5362"/>
    <w:rsid w:val="001D4A6F"/>
    <w:rsid w:val="001E0858"/>
    <w:rsid w:val="001F752D"/>
    <w:rsid w:val="001F7DD7"/>
    <w:rsid w:val="00202361"/>
    <w:rsid w:val="00207984"/>
    <w:rsid w:val="00210FB9"/>
    <w:rsid w:val="002136BF"/>
    <w:rsid w:val="002246E6"/>
    <w:rsid w:val="00225CCD"/>
    <w:rsid w:val="002326A6"/>
    <w:rsid w:val="00234435"/>
    <w:rsid w:val="0024271C"/>
    <w:rsid w:val="002465D1"/>
    <w:rsid w:val="002560DE"/>
    <w:rsid w:val="00264333"/>
    <w:rsid w:val="002721A2"/>
    <w:rsid w:val="002760F7"/>
    <w:rsid w:val="002775D0"/>
    <w:rsid w:val="00280889"/>
    <w:rsid w:val="002838DC"/>
    <w:rsid w:val="00291DD6"/>
    <w:rsid w:val="002948E6"/>
    <w:rsid w:val="002B7604"/>
    <w:rsid w:val="002C18AE"/>
    <w:rsid w:val="002E0668"/>
    <w:rsid w:val="002E3871"/>
    <w:rsid w:val="003034BE"/>
    <w:rsid w:val="00310428"/>
    <w:rsid w:val="0031146F"/>
    <w:rsid w:val="00313735"/>
    <w:rsid w:val="00313C0A"/>
    <w:rsid w:val="00320C25"/>
    <w:rsid w:val="00321033"/>
    <w:rsid w:val="00322F67"/>
    <w:rsid w:val="00324AE4"/>
    <w:rsid w:val="00324AEA"/>
    <w:rsid w:val="00325CC2"/>
    <w:rsid w:val="0034018F"/>
    <w:rsid w:val="0034321B"/>
    <w:rsid w:val="00344609"/>
    <w:rsid w:val="003474B8"/>
    <w:rsid w:val="00357F2C"/>
    <w:rsid w:val="00367D49"/>
    <w:rsid w:val="00372724"/>
    <w:rsid w:val="00374640"/>
    <w:rsid w:val="00377702"/>
    <w:rsid w:val="00390853"/>
    <w:rsid w:val="0039465C"/>
    <w:rsid w:val="00397020"/>
    <w:rsid w:val="0039733E"/>
    <w:rsid w:val="003B6FC7"/>
    <w:rsid w:val="003C053D"/>
    <w:rsid w:val="003C1A78"/>
    <w:rsid w:val="003D27C9"/>
    <w:rsid w:val="003D7F2C"/>
    <w:rsid w:val="003E0FC0"/>
    <w:rsid w:val="003E5190"/>
    <w:rsid w:val="003E63D0"/>
    <w:rsid w:val="003F53E2"/>
    <w:rsid w:val="003F544E"/>
    <w:rsid w:val="00400D31"/>
    <w:rsid w:val="004041E2"/>
    <w:rsid w:val="00426193"/>
    <w:rsid w:val="00426314"/>
    <w:rsid w:val="00426375"/>
    <w:rsid w:val="00445FDA"/>
    <w:rsid w:val="004479CD"/>
    <w:rsid w:val="00466B5C"/>
    <w:rsid w:val="00477C9C"/>
    <w:rsid w:val="0048101A"/>
    <w:rsid w:val="00485494"/>
    <w:rsid w:val="004874EA"/>
    <w:rsid w:val="00496334"/>
    <w:rsid w:val="004B7A1C"/>
    <w:rsid w:val="004C222F"/>
    <w:rsid w:val="004D4FFA"/>
    <w:rsid w:val="004D6457"/>
    <w:rsid w:val="004E2ACF"/>
    <w:rsid w:val="004E2D7F"/>
    <w:rsid w:val="004F34EE"/>
    <w:rsid w:val="004F5BE3"/>
    <w:rsid w:val="004F78D2"/>
    <w:rsid w:val="0051410E"/>
    <w:rsid w:val="005544E4"/>
    <w:rsid w:val="0056187F"/>
    <w:rsid w:val="0058378B"/>
    <w:rsid w:val="005933D5"/>
    <w:rsid w:val="00597003"/>
    <w:rsid w:val="005B01A9"/>
    <w:rsid w:val="005B2010"/>
    <w:rsid w:val="005B30BB"/>
    <w:rsid w:val="005B5327"/>
    <w:rsid w:val="005C1440"/>
    <w:rsid w:val="005C7B1A"/>
    <w:rsid w:val="005D02A8"/>
    <w:rsid w:val="005D2803"/>
    <w:rsid w:val="005F0AF2"/>
    <w:rsid w:val="005F1851"/>
    <w:rsid w:val="0060474A"/>
    <w:rsid w:val="00606E19"/>
    <w:rsid w:val="00623F52"/>
    <w:rsid w:val="0063520E"/>
    <w:rsid w:val="00641854"/>
    <w:rsid w:val="006434DB"/>
    <w:rsid w:val="0065054A"/>
    <w:rsid w:val="00652B24"/>
    <w:rsid w:val="00657A1F"/>
    <w:rsid w:val="00657F22"/>
    <w:rsid w:val="00674B46"/>
    <w:rsid w:val="00674BB9"/>
    <w:rsid w:val="00675523"/>
    <w:rsid w:val="006904E5"/>
    <w:rsid w:val="006B3D09"/>
    <w:rsid w:val="006B71C0"/>
    <w:rsid w:val="006C05BA"/>
    <w:rsid w:val="006C1CF0"/>
    <w:rsid w:val="006C2B29"/>
    <w:rsid w:val="006C46C4"/>
    <w:rsid w:val="006C7CF1"/>
    <w:rsid w:val="006D0BB8"/>
    <w:rsid w:val="006D76A5"/>
    <w:rsid w:val="006D76F7"/>
    <w:rsid w:val="006E491F"/>
    <w:rsid w:val="00701087"/>
    <w:rsid w:val="00702C58"/>
    <w:rsid w:val="00730E18"/>
    <w:rsid w:val="007350A5"/>
    <w:rsid w:val="00735F7B"/>
    <w:rsid w:val="007369B1"/>
    <w:rsid w:val="007407D4"/>
    <w:rsid w:val="0074117F"/>
    <w:rsid w:val="00741327"/>
    <w:rsid w:val="00743164"/>
    <w:rsid w:val="00744F16"/>
    <w:rsid w:val="00747595"/>
    <w:rsid w:val="007479D1"/>
    <w:rsid w:val="0075229E"/>
    <w:rsid w:val="007775C6"/>
    <w:rsid w:val="0078557F"/>
    <w:rsid w:val="0079575E"/>
    <w:rsid w:val="007A3EBD"/>
    <w:rsid w:val="007A4422"/>
    <w:rsid w:val="007A7746"/>
    <w:rsid w:val="007B0057"/>
    <w:rsid w:val="007C131B"/>
    <w:rsid w:val="007C4A81"/>
    <w:rsid w:val="007C725F"/>
    <w:rsid w:val="007C7805"/>
    <w:rsid w:val="007E0A92"/>
    <w:rsid w:val="007E11E6"/>
    <w:rsid w:val="007E47DA"/>
    <w:rsid w:val="007F016A"/>
    <w:rsid w:val="007F0294"/>
    <w:rsid w:val="007F1B61"/>
    <w:rsid w:val="007F1C37"/>
    <w:rsid w:val="007F7B31"/>
    <w:rsid w:val="008070ED"/>
    <w:rsid w:val="008141EF"/>
    <w:rsid w:val="00814FC7"/>
    <w:rsid w:val="00815C01"/>
    <w:rsid w:val="008202B5"/>
    <w:rsid w:val="00825B87"/>
    <w:rsid w:val="0083447D"/>
    <w:rsid w:val="00851178"/>
    <w:rsid w:val="008553FD"/>
    <w:rsid w:val="00860A55"/>
    <w:rsid w:val="00861657"/>
    <w:rsid w:val="00865245"/>
    <w:rsid w:val="008658B9"/>
    <w:rsid w:val="008749D1"/>
    <w:rsid w:val="0087585F"/>
    <w:rsid w:val="008856FE"/>
    <w:rsid w:val="008876C1"/>
    <w:rsid w:val="008A21DF"/>
    <w:rsid w:val="008A4596"/>
    <w:rsid w:val="008A7B15"/>
    <w:rsid w:val="008D1A52"/>
    <w:rsid w:val="008D275E"/>
    <w:rsid w:val="008D3544"/>
    <w:rsid w:val="008D3B61"/>
    <w:rsid w:val="008D5170"/>
    <w:rsid w:val="008E14FB"/>
    <w:rsid w:val="008E6243"/>
    <w:rsid w:val="008E716E"/>
    <w:rsid w:val="008F0636"/>
    <w:rsid w:val="008F138A"/>
    <w:rsid w:val="008F7F48"/>
    <w:rsid w:val="00902B1C"/>
    <w:rsid w:val="0092350A"/>
    <w:rsid w:val="00953099"/>
    <w:rsid w:val="00970CC3"/>
    <w:rsid w:val="00974CC8"/>
    <w:rsid w:val="00982402"/>
    <w:rsid w:val="00983BFB"/>
    <w:rsid w:val="00984D02"/>
    <w:rsid w:val="009852DD"/>
    <w:rsid w:val="009961E9"/>
    <w:rsid w:val="00997929"/>
    <w:rsid w:val="009A61B2"/>
    <w:rsid w:val="009B5F03"/>
    <w:rsid w:val="009C56EE"/>
    <w:rsid w:val="009D750F"/>
    <w:rsid w:val="009E0610"/>
    <w:rsid w:val="009F1067"/>
    <w:rsid w:val="009F122C"/>
    <w:rsid w:val="009F4FDC"/>
    <w:rsid w:val="00A03CB0"/>
    <w:rsid w:val="00A05DF3"/>
    <w:rsid w:val="00A351A5"/>
    <w:rsid w:val="00A42AA6"/>
    <w:rsid w:val="00A43746"/>
    <w:rsid w:val="00A45134"/>
    <w:rsid w:val="00A463A6"/>
    <w:rsid w:val="00A4790F"/>
    <w:rsid w:val="00A551B9"/>
    <w:rsid w:val="00A60F51"/>
    <w:rsid w:val="00A6232B"/>
    <w:rsid w:val="00A62F98"/>
    <w:rsid w:val="00A73350"/>
    <w:rsid w:val="00A822BF"/>
    <w:rsid w:val="00A8258C"/>
    <w:rsid w:val="00A841B0"/>
    <w:rsid w:val="00A853A9"/>
    <w:rsid w:val="00A9001D"/>
    <w:rsid w:val="00A909D2"/>
    <w:rsid w:val="00A92CAF"/>
    <w:rsid w:val="00A9439C"/>
    <w:rsid w:val="00AA3587"/>
    <w:rsid w:val="00AB1DEA"/>
    <w:rsid w:val="00AB4E09"/>
    <w:rsid w:val="00AC0DB0"/>
    <w:rsid w:val="00AC356F"/>
    <w:rsid w:val="00AC6437"/>
    <w:rsid w:val="00AD33BB"/>
    <w:rsid w:val="00AD3E77"/>
    <w:rsid w:val="00AF192D"/>
    <w:rsid w:val="00B00587"/>
    <w:rsid w:val="00B02FE6"/>
    <w:rsid w:val="00B11C37"/>
    <w:rsid w:val="00B23EE4"/>
    <w:rsid w:val="00B2451A"/>
    <w:rsid w:val="00B34254"/>
    <w:rsid w:val="00B346D9"/>
    <w:rsid w:val="00B37E0F"/>
    <w:rsid w:val="00B5482E"/>
    <w:rsid w:val="00B669CC"/>
    <w:rsid w:val="00B71356"/>
    <w:rsid w:val="00B72081"/>
    <w:rsid w:val="00B7355E"/>
    <w:rsid w:val="00B851C1"/>
    <w:rsid w:val="00B85B57"/>
    <w:rsid w:val="00B92DD1"/>
    <w:rsid w:val="00B93C2F"/>
    <w:rsid w:val="00BB3C3C"/>
    <w:rsid w:val="00BD30C6"/>
    <w:rsid w:val="00BD7FC8"/>
    <w:rsid w:val="00BE752E"/>
    <w:rsid w:val="00BF057E"/>
    <w:rsid w:val="00BF35DC"/>
    <w:rsid w:val="00BF4576"/>
    <w:rsid w:val="00C1723C"/>
    <w:rsid w:val="00C20EED"/>
    <w:rsid w:val="00C40315"/>
    <w:rsid w:val="00C4645F"/>
    <w:rsid w:val="00C475FB"/>
    <w:rsid w:val="00C47873"/>
    <w:rsid w:val="00C52B75"/>
    <w:rsid w:val="00C547E4"/>
    <w:rsid w:val="00C54FCF"/>
    <w:rsid w:val="00C569A7"/>
    <w:rsid w:val="00C73D3B"/>
    <w:rsid w:val="00C74C9C"/>
    <w:rsid w:val="00C84EBD"/>
    <w:rsid w:val="00CA6D24"/>
    <w:rsid w:val="00CA6D2E"/>
    <w:rsid w:val="00CA763F"/>
    <w:rsid w:val="00CB44A5"/>
    <w:rsid w:val="00CB5E79"/>
    <w:rsid w:val="00CC1CBA"/>
    <w:rsid w:val="00CC1EE4"/>
    <w:rsid w:val="00CD01AC"/>
    <w:rsid w:val="00CD55CE"/>
    <w:rsid w:val="00CE02F4"/>
    <w:rsid w:val="00CF0F83"/>
    <w:rsid w:val="00CF6338"/>
    <w:rsid w:val="00D0199F"/>
    <w:rsid w:val="00D119FA"/>
    <w:rsid w:val="00D1215E"/>
    <w:rsid w:val="00D207BF"/>
    <w:rsid w:val="00D2099C"/>
    <w:rsid w:val="00D26763"/>
    <w:rsid w:val="00D273A5"/>
    <w:rsid w:val="00D34C51"/>
    <w:rsid w:val="00D40DFD"/>
    <w:rsid w:val="00D4674E"/>
    <w:rsid w:val="00D47818"/>
    <w:rsid w:val="00D510BA"/>
    <w:rsid w:val="00D61A3E"/>
    <w:rsid w:val="00D668D4"/>
    <w:rsid w:val="00D675B5"/>
    <w:rsid w:val="00D7219F"/>
    <w:rsid w:val="00D83A4A"/>
    <w:rsid w:val="00D85686"/>
    <w:rsid w:val="00D87AE2"/>
    <w:rsid w:val="00D940D5"/>
    <w:rsid w:val="00D95E26"/>
    <w:rsid w:val="00D95FDE"/>
    <w:rsid w:val="00D97E2A"/>
    <w:rsid w:val="00DA385C"/>
    <w:rsid w:val="00DB1B95"/>
    <w:rsid w:val="00DB435E"/>
    <w:rsid w:val="00DD10D1"/>
    <w:rsid w:val="00DD1362"/>
    <w:rsid w:val="00DD3B41"/>
    <w:rsid w:val="00DE1484"/>
    <w:rsid w:val="00DE1E0C"/>
    <w:rsid w:val="00DF2868"/>
    <w:rsid w:val="00DF49BF"/>
    <w:rsid w:val="00E019B1"/>
    <w:rsid w:val="00E02B2C"/>
    <w:rsid w:val="00E03B1D"/>
    <w:rsid w:val="00E1264F"/>
    <w:rsid w:val="00E20331"/>
    <w:rsid w:val="00E20CF4"/>
    <w:rsid w:val="00E23CB9"/>
    <w:rsid w:val="00E336DA"/>
    <w:rsid w:val="00E4002F"/>
    <w:rsid w:val="00E41988"/>
    <w:rsid w:val="00E45746"/>
    <w:rsid w:val="00E5472A"/>
    <w:rsid w:val="00E604C2"/>
    <w:rsid w:val="00E800D8"/>
    <w:rsid w:val="00E83A39"/>
    <w:rsid w:val="00E852D9"/>
    <w:rsid w:val="00E95A20"/>
    <w:rsid w:val="00EA3145"/>
    <w:rsid w:val="00EA7441"/>
    <w:rsid w:val="00EA7F2B"/>
    <w:rsid w:val="00EB1BC2"/>
    <w:rsid w:val="00EB41FE"/>
    <w:rsid w:val="00EB4D12"/>
    <w:rsid w:val="00EB5F54"/>
    <w:rsid w:val="00EC3B06"/>
    <w:rsid w:val="00EC4469"/>
    <w:rsid w:val="00ED3BB1"/>
    <w:rsid w:val="00ED4A89"/>
    <w:rsid w:val="00EE2B28"/>
    <w:rsid w:val="00EE30A7"/>
    <w:rsid w:val="00EF7B2C"/>
    <w:rsid w:val="00F01066"/>
    <w:rsid w:val="00F0383E"/>
    <w:rsid w:val="00F065D7"/>
    <w:rsid w:val="00F13642"/>
    <w:rsid w:val="00F2314A"/>
    <w:rsid w:val="00F40FDD"/>
    <w:rsid w:val="00F668F5"/>
    <w:rsid w:val="00F75B1E"/>
    <w:rsid w:val="00F75D51"/>
    <w:rsid w:val="00F91496"/>
    <w:rsid w:val="00FB7E4F"/>
    <w:rsid w:val="00FC0F28"/>
    <w:rsid w:val="00FC2E3C"/>
    <w:rsid w:val="00FC5337"/>
    <w:rsid w:val="00FC5656"/>
    <w:rsid w:val="00FD739D"/>
    <w:rsid w:val="00FF5D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5:docId w15:val="{9A7BD0FC-A118-4300-9E11-F7110A4B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3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933D5"/>
    <w:pPr>
      <w:tabs>
        <w:tab w:val="center" w:pos="4320"/>
        <w:tab w:val="right" w:pos="8640"/>
      </w:tabs>
    </w:pPr>
  </w:style>
  <w:style w:type="paragraph" w:styleId="Footer">
    <w:name w:val="footer"/>
    <w:basedOn w:val="Normal"/>
    <w:rsid w:val="005933D5"/>
    <w:pPr>
      <w:tabs>
        <w:tab w:val="center" w:pos="4320"/>
        <w:tab w:val="right" w:pos="8640"/>
      </w:tabs>
    </w:pPr>
  </w:style>
  <w:style w:type="paragraph" w:styleId="FootnoteText">
    <w:name w:val="footnote text"/>
    <w:basedOn w:val="Normal"/>
    <w:semiHidden/>
    <w:rsid w:val="00597003"/>
    <w:rPr>
      <w:sz w:val="20"/>
      <w:szCs w:val="20"/>
    </w:rPr>
  </w:style>
  <w:style w:type="character" w:styleId="FootnoteReference">
    <w:name w:val="footnote reference"/>
    <w:basedOn w:val="DefaultParagraphFont"/>
    <w:semiHidden/>
    <w:rsid w:val="00597003"/>
    <w:rPr>
      <w:vertAlign w:val="superscript"/>
    </w:rPr>
  </w:style>
  <w:style w:type="character" w:styleId="Hyperlink">
    <w:name w:val="Hyperlink"/>
    <w:basedOn w:val="DefaultParagraphFont"/>
    <w:rsid w:val="00E5472A"/>
    <w:rPr>
      <w:color w:val="0000FF"/>
      <w:u w:val="single"/>
    </w:rPr>
  </w:style>
  <w:style w:type="paragraph" w:styleId="NormalWeb">
    <w:name w:val="Normal (Web)"/>
    <w:basedOn w:val="Normal"/>
    <w:unhideWhenUsed/>
    <w:rsid w:val="00B346D9"/>
    <w:pPr>
      <w:spacing w:before="100" w:beforeAutospacing="1" w:after="100" w:afterAutospacing="1"/>
    </w:pPr>
  </w:style>
  <w:style w:type="paragraph" w:styleId="ListParagraph">
    <w:name w:val="List Paragraph"/>
    <w:basedOn w:val="Normal"/>
    <w:uiPriority w:val="34"/>
    <w:qFormat/>
    <w:rsid w:val="007C131B"/>
    <w:pPr>
      <w:ind w:left="720"/>
    </w:pPr>
  </w:style>
  <w:style w:type="paragraph" w:styleId="BalloonText">
    <w:name w:val="Balloon Text"/>
    <w:basedOn w:val="Normal"/>
    <w:link w:val="BalloonTextChar"/>
    <w:rsid w:val="004041E2"/>
    <w:rPr>
      <w:rFonts w:ascii="Tahoma" w:hAnsi="Tahoma" w:cs="Tahoma"/>
      <w:sz w:val="16"/>
      <w:szCs w:val="16"/>
    </w:rPr>
  </w:style>
  <w:style w:type="character" w:customStyle="1" w:styleId="BalloonTextChar">
    <w:name w:val="Balloon Text Char"/>
    <w:basedOn w:val="DefaultParagraphFont"/>
    <w:link w:val="BalloonText"/>
    <w:rsid w:val="004041E2"/>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161476">
      <w:bodyDiv w:val="1"/>
      <w:marLeft w:val="0"/>
      <w:marRight w:val="0"/>
      <w:marTop w:val="0"/>
      <w:marBottom w:val="0"/>
      <w:divBdr>
        <w:top w:val="none" w:sz="0" w:space="0" w:color="auto"/>
        <w:left w:val="none" w:sz="0" w:space="0" w:color="auto"/>
        <w:bottom w:val="none" w:sz="0" w:space="0" w:color="auto"/>
        <w:right w:val="none" w:sz="0" w:space="0" w:color="auto"/>
      </w:divBdr>
      <w:divsChild>
        <w:div w:id="2022314334">
          <w:marLeft w:val="0"/>
          <w:marRight w:val="0"/>
          <w:marTop w:val="0"/>
          <w:marBottom w:val="0"/>
          <w:divBdr>
            <w:top w:val="none" w:sz="0" w:space="0" w:color="auto"/>
            <w:left w:val="none" w:sz="0" w:space="0" w:color="auto"/>
            <w:bottom w:val="none" w:sz="0" w:space="0" w:color="auto"/>
            <w:right w:val="none" w:sz="0" w:space="0" w:color="auto"/>
          </w:divBdr>
          <w:divsChild>
            <w:div w:id="682585592">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6291">
      <w:bodyDiv w:val="1"/>
      <w:marLeft w:val="0"/>
      <w:marRight w:val="0"/>
      <w:marTop w:val="0"/>
      <w:marBottom w:val="0"/>
      <w:divBdr>
        <w:top w:val="none" w:sz="0" w:space="0" w:color="auto"/>
        <w:left w:val="none" w:sz="0" w:space="0" w:color="auto"/>
        <w:bottom w:val="none" w:sz="0" w:space="0" w:color="auto"/>
        <w:right w:val="none" w:sz="0" w:space="0" w:color="auto"/>
      </w:divBdr>
      <w:divsChild>
        <w:div w:id="1140269301">
          <w:marLeft w:val="0"/>
          <w:marRight w:val="0"/>
          <w:marTop w:val="0"/>
          <w:marBottom w:val="0"/>
          <w:divBdr>
            <w:top w:val="none" w:sz="0" w:space="0" w:color="auto"/>
            <w:left w:val="none" w:sz="0" w:space="0" w:color="auto"/>
            <w:bottom w:val="none" w:sz="0" w:space="0" w:color="auto"/>
            <w:right w:val="none" w:sz="0" w:space="0" w:color="auto"/>
          </w:divBdr>
          <w:divsChild>
            <w:div w:id="1138453476">
              <w:marLeft w:val="0"/>
              <w:marRight w:val="0"/>
              <w:marTop w:val="0"/>
              <w:marBottom w:val="0"/>
              <w:divBdr>
                <w:top w:val="none" w:sz="0" w:space="0" w:color="auto"/>
                <w:left w:val="none" w:sz="0" w:space="0" w:color="auto"/>
                <w:bottom w:val="none" w:sz="0" w:space="0" w:color="auto"/>
                <w:right w:val="none" w:sz="0" w:space="0" w:color="auto"/>
              </w:divBdr>
              <w:divsChild>
                <w:div w:id="828716461">
                  <w:marLeft w:val="0"/>
                  <w:marRight w:val="0"/>
                  <w:marTop w:val="0"/>
                  <w:marBottom w:val="0"/>
                  <w:divBdr>
                    <w:top w:val="none" w:sz="0" w:space="0" w:color="auto"/>
                    <w:left w:val="none" w:sz="0" w:space="0" w:color="auto"/>
                    <w:bottom w:val="none" w:sz="0" w:space="0" w:color="auto"/>
                    <w:right w:val="none" w:sz="0" w:space="0" w:color="auto"/>
                  </w:divBdr>
                  <w:divsChild>
                    <w:div w:id="20565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536">
      <w:bodyDiv w:val="1"/>
      <w:marLeft w:val="0"/>
      <w:marRight w:val="0"/>
      <w:marTop w:val="0"/>
      <w:marBottom w:val="0"/>
      <w:divBdr>
        <w:top w:val="none" w:sz="0" w:space="0" w:color="auto"/>
        <w:left w:val="none" w:sz="0" w:space="0" w:color="auto"/>
        <w:bottom w:val="none" w:sz="0" w:space="0" w:color="auto"/>
        <w:right w:val="none" w:sz="0" w:space="0" w:color="auto"/>
      </w:divBdr>
    </w:div>
    <w:div w:id="2006663086">
      <w:bodyDiv w:val="1"/>
      <w:marLeft w:val="0"/>
      <w:marRight w:val="0"/>
      <w:marTop w:val="0"/>
      <w:marBottom w:val="0"/>
      <w:divBdr>
        <w:top w:val="none" w:sz="0" w:space="0" w:color="auto"/>
        <w:left w:val="none" w:sz="0" w:space="0" w:color="auto"/>
        <w:bottom w:val="none" w:sz="0" w:space="0" w:color="auto"/>
        <w:right w:val="none" w:sz="0" w:space="0" w:color="auto"/>
      </w:divBdr>
    </w:div>
    <w:div w:id="2082217923">
      <w:bodyDiv w:val="1"/>
      <w:marLeft w:val="0"/>
      <w:marRight w:val="0"/>
      <w:marTop w:val="0"/>
      <w:marBottom w:val="0"/>
      <w:divBdr>
        <w:top w:val="none" w:sz="0" w:space="0" w:color="auto"/>
        <w:left w:val="none" w:sz="0" w:space="0" w:color="auto"/>
        <w:bottom w:val="none" w:sz="0" w:space="0" w:color="auto"/>
        <w:right w:val="none" w:sz="0" w:space="0" w:color="auto"/>
      </w:divBdr>
      <w:divsChild>
        <w:div w:id="141896040">
          <w:marLeft w:val="0"/>
          <w:marRight w:val="0"/>
          <w:marTop w:val="0"/>
          <w:marBottom w:val="0"/>
          <w:divBdr>
            <w:top w:val="none" w:sz="0" w:space="0" w:color="auto"/>
            <w:left w:val="none" w:sz="0" w:space="0" w:color="auto"/>
            <w:bottom w:val="none" w:sz="0" w:space="0" w:color="auto"/>
            <w:right w:val="none" w:sz="0" w:space="0" w:color="auto"/>
          </w:divBdr>
          <w:divsChild>
            <w:div w:id="245647949">
              <w:marLeft w:val="0"/>
              <w:marRight w:val="0"/>
              <w:marTop w:val="0"/>
              <w:marBottom w:val="0"/>
              <w:divBdr>
                <w:top w:val="none" w:sz="0" w:space="0" w:color="auto"/>
                <w:left w:val="none" w:sz="0" w:space="0" w:color="auto"/>
                <w:bottom w:val="none" w:sz="0" w:space="0" w:color="auto"/>
                <w:right w:val="none" w:sz="0" w:space="0" w:color="auto"/>
              </w:divBdr>
              <w:divsChild>
                <w:div w:id="10118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awrenc@fi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dandapan@fiu.edu"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mrodrig@fi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10</Pages>
  <Words>1636</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The Role of CDS in Financial Crisis</vt:lpstr>
    </vt:vector>
  </TitlesOfParts>
  <Company/>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CDS in Financial Crisis</dc:title>
  <dc:creator>Only Me</dc:creator>
  <cp:lastModifiedBy>Ivan Rodriguez Jr.</cp:lastModifiedBy>
  <cp:revision>7</cp:revision>
  <cp:lastPrinted>2013-04-19T19:40:00Z</cp:lastPrinted>
  <dcterms:created xsi:type="dcterms:W3CDTF">2015-01-31T03:21:00Z</dcterms:created>
  <dcterms:modified xsi:type="dcterms:W3CDTF">2015-04-15T21:36:00Z</dcterms:modified>
</cp:coreProperties>
</file>