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0063BE" w14:textId="77777777" w:rsidR="00E64569" w:rsidRDefault="00000000">
      <w:pPr>
        <w:pStyle w:val="aa"/>
        <w:rPr>
          <w:lang w:eastAsia="zh-CN"/>
        </w:rPr>
      </w:pPr>
      <w:r>
        <w:rPr>
          <w:lang w:eastAsia="zh-CN"/>
        </w:rPr>
        <w:t>通汇诚泰保理</w:t>
      </w:r>
      <w:r>
        <w:rPr>
          <w:lang w:eastAsia="zh-CN"/>
        </w:rPr>
        <w:br/>
        <w:t>消费分期生产业务应用系统说明</w:t>
      </w:r>
    </w:p>
    <w:p w14:paraId="14D65E4D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一 系统所属与业务范围</w:t>
      </w:r>
    </w:p>
    <w:p w14:paraId="7EEC69F7" w14:textId="139AEAFC" w:rsidR="00E64569" w:rsidRDefault="00000000">
      <w:pPr>
        <w:rPr>
          <w:lang w:eastAsia="zh-CN"/>
        </w:rPr>
      </w:pPr>
      <w:r>
        <w:rPr>
          <w:lang w:eastAsia="zh-CN"/>
        </w:rPr>
        <w:t>消费分期业务应用系统（资产平台）是通汇诚泰保理的业务应用系统，面向客户及合作方接入、运营审核、财务结算和系统管理等使用场景，提供分期申请、客户及商户资料管理、风控对接、放款及还款计划管理、支付处理、账单核销和对账结算等能力。所属单位名称按“通汇诚泰保理”填写。</w:t>
      </w:r>
    </w:p>
    <w:p w14:paraId="4EAA1933" w14:textId="59D52DD3" w:rsidR="00E64569" w:rsidRDefault="00000000">
      <w:pPr>
        <w:rPr>
          <w:lang w:eastAsia="zh-CN"/>
        </w:rPr>
      </w:pPr>
      <w:r>
        <w:rPr>
          <w:lang w:eastAsia="zh-CN"/>
        </w:rPr>
        <w:t>本材料以消费分期为系统边界。银行、支付机构、电子签章服务及再保理资方系统按外部或共享服务表示；</w:t>
      </w:r>
    </w:p>
    <w:p w14:paraId="6E9585BA" w14:textId="77777777" w:rsidR="00E64569" w:rsidRDefault="00000000">
      <w:pPr>
        <w:pStyle w:val="1"/>
      </w:pPr>
      <w:r>
        <w:t xml:space="preserve">二 </w:t>
      </w:r>
      <w:proofErr w:type="spellStart"/>
      <w:r>
        <w:t>用户视角与应用模块</w:t>
      </w:r>
      <w:proofErr w:type="spellEnd"/>
    </w:p>
    <w:tbl>
      <w:tblPr>
        <w:tblW w:w="0" w:type="auto"/>
        <w:tblInd w:w="455" w:type="dxa"/>
        <w:tblLayout w:type="fixed"/>
        <w:tblLook w:val="04A0" w:firstRow="1" w:lastRow="0" w:firstColumn="1" w:lastColumn="0" w:noHBand="0" w:noVBand="1"/>
      </w:tblPr>
      <w:tblGrid>
        <w:gridCol w:w="1512"/>
        <w:gridCol w:w="4464"/>
        <w:gridCol w:w="4392"/>
      </w:tblGrid>
      <w:tr w:rsidR="00E64569" w14:paraId="4B26333A" w14:textId="77777777" w:rsidTr="000B75FC">
        <w:trPr>
          <w:cantSplit/>
          <w:tblHeader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8265B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9"/>
              </w:rPr>
              <w:t>用户类别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45F93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9"/>
              </w:rPr>
              <w:t>主要业务动作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3879B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9"/>
              </w:rPr>
              <w:t>涉及应用模块</w:t>
            </w:r>
          </w:p>
        </w:tc>
      </w:tr>
      <w:tr w:rsidR="00E64569" w14:paraId="491D7D9D" w14:textId="77777777" w:rsidTr="000B75FC">
        <w:trPr>
          <w:cantSplit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823D2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客户及合作方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2EA68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提交进件和附件，查询申请与放款结果，发起还款或查询账单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77DAE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9"/>
              </w:rPr>
              <w:t>amp-gateway、amp-order、amp-capital、amp-payment、amp-saps</w:t>
            </w:r>
            <w:proofErr w:type="spellEnd"/>
          </w:p>
        </w:tc>
      </w:tr>
      <w:tr w:rsidR="00E64569" w14:paraId="4E0F4D58" w14:textId="77777777" w:rsidTr="000B75FC">
        <w:trPr>
          <w:cantSplit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8BE30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运营及审核人员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4FC3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客户商户管理、项目与产品配置、申请审核、放款及订单查询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CE6CD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9"/>
              </w:rPr>
              <w:t>amp-admin、amp-op-gateway、amp-order、amp-risk、amp-capital</w:t>
            </w:r>
            <w:proofErr w:type="spellEnd"/>
          </w:p>
        </w:tc>
      </w:tr>
      <w:tr w:rsidR="00E64569" w14:paraId="32477CC7" w14:textId="77777777" w:rsidTr="000B75FC">
        <w:trPr>
          <w:cantSplit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0103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财务及结算人员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E93F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账单查询、收付款核对、核销、对账单结算及付款结果查询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FA706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9"/>
              </w:rPr>
              <w:t>amp-admin、amp-saps、amp-payment、amp-capital</w:t>
            </w:r>
            <w:proofErr w:type="spellEnd"/>
          </w:p>
        </w:tc>
      </w:tr>
      <w:tr w:rsidR="00E64569" w14:paraId="66B9133B" w14:textId="77777777" w:rsidTr="000B75FC">
        <w:trPr>
          <w:cantSplit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AB1D6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系统管理员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54CE4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账号、角色、权限和系统日志管理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37AC2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9"/>
              </w:rPr>
              <w:t>amp-admin、amp-op-gateway、amp-auth</w:t>
            </w:r>
            <w:proofErr w:type="spellEnd"/>
          </w:p>
        </w:tc>
      </w:tr>
    </w:tbl>
    <w:p w14:paraId="6523A575" w14:textId="77777777" w:rsidR="00E64569" w:rsidRDefault="00000000">
      <w:pPr>
        <w:pStyle w:val="af7"/>
        <w:rPr>
          <w:lang w:eastAsia="zh-CN"/>
        </w:rPr>
      </w:pPr>
      <w:r>
        <w:rPr>
          <w:lang w:eastAsia="zh-CN"/>
        </w:rPr>
        <w:t>图中用户类别是业务视角归纳，账号数量和正式岗位清单需按本系统使用范围统计。接口接入用户不等同于后台账号。</w:t>
      </w:r>
    </w:p>
    <w:p w14:paraId="238F7058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三 图示阅读说明</w:t>
      </w:r>
    </w:p>
    <w:p w14:paraId="50D59697" w14:textId="77777777" w:rsidR="00E64569" w:rsidRDefault="00000000">
      <w:pPr>
        <w:rPr>
          <w:lang w:eastAsia="zh-CN"/>
        </w:rPr>
      </w:pPr>
      <w:r>
        <w:rPr>
          <w:lang w:eastAsia="zh-CN"/>
        </w:rPr>
        <w:t>A1—A4 表示应用承载设备分组，D1—D4 表示存储设备分组。设备分组不等于一台物理服务器，也不代表已经核定的资产编号。蓝色表示应用模块，橙色表示存储，灰色表示终端或外部系统；虚线用于待核实的设备或部署关系。</w:t>
      </w:r>
    </w:p>
    <w:p w14:paraId="2CFF08A8" w14:textId="77777777" w:rsidR="00E64569" w:rsidRDefault="00000000">
      <w:pPr>
        <w:pStyle w:val="af7"/>
        <w:rPr>
          <w:lang w:eastAsia="zh-CN"/>
        </w:rPr>
      </w:pPr>
      <w:r>
        <w:rPr>
          <w:lang w:eastAsia="zh-CN"/>
        </w:rPr>
        <w:t>已确认的生产资源与代码证据见后附核验说明。当前图示属于应用逻辑与设备承载示意，完整物理拓扑仍需设备台账补齐。</w:t>
      </w:r>
    </w:p>
    <w:p w14:paraId="4EFBDACA" w14:textId="38BB5509" w:rsidR="00E64569" w:rsidRDefault="00E64569">
      <w:pPr>
        <w:rPr>
          <w:rFonts w:hint="eastAsia"/>
          <w:lang w:eastAsia="zh-CN"/>
        </w:rPr>
      </w:pPr>
    </w:p>
    <w:p w14:paraId="2F055558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图 1 客户与合作方的进件审核及放款流程</w:t>
      </w:r>
    </w:p>
    <w:p w14:paraId="7AA7E243" w14:textId="77777777" w:rsidR="00E64569" w:rsidRDefault="00000000">
      <w:pPr>
        <w:rPr>
          <w:lang w:eastAsia="zh-CN"/>
        </w:rPr>
      </w:pPr>
      <w:r>
        <w:rPr>
          <w:lang w:eastAsia="zh-CN"/>
        </w:rPr>
        <w:t>客户资料由终端产生，经合作方系统接入，进入审核和放款链路。</w:t>
      </w:r>
    </w:p>
    <w:p w14:paraId="15A0279E" w14:textId="77777777" w:rsidR="00E6456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15E7E83" wp14:editId="1128439B">
            <wp:extent cx="6510528" cy="6391666"/>
            <wp:effectExtent l="0" t="0" r="0" b="0"/>
            <wp:docPr id="1" name="Picture 1" descr="客户与合作方的进件审核及放款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进件审核与放款流程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63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94DE" w14:textId="77777777" w:rsidR="00E64569" w:rsidRDefault="00000000">
      <w:pPr>
        <w:pStyle w:val="af7"/>
        <w:rPr>
          <w:lang w:eastAsia="zh-CN"/>
        </w:rPr>
      </w:pPr>
      <w:r>
        <w:rPr>
          <w:lang w:eastAsia="zh-CN"/>
        </w:rPr>
        <w:t>放款可按项目走平台支付或外部资方路由；审核、签约和资料完备条件以项目规则为准。签章、文件存储见数据流转图。</w:t>
      </w:r>
    </w:p>
    <w:p w14:paraId="2F87D287" w14:textId="77777777" w:rsidR="00E6456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8A462A2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图 2 客户和财务人员的还款核销及结算流程</w:t>
      </w:r>
    </w:p>
    <w:p w14:paraId="25688F4F" w14:textId="77777777" w:rsidR="00E64569" w:rsidRDefault="00000000">
      <w:pPr>
        <w:rPr>
          <w:lang w:eastAsia="zh-CN"/>
        </w:rPr>
      </w:pPr>
      <w:r>
        <w:rPr>
          <w:lang w:eastAsia="zh-CN"/>
        </w:rPr>
        <w:t>主动还款、代扣和结算请求进入支付处理，成功结果驱动账单核销。</w:t>
      </w:r>
    </w:p>
    <w:p w14:paraId="374E94DA" w14:textId="77777777" w:rsidR="00E6456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0B646E2" wp14:editId="7BCA2111">
            <wp:extent cx="6510528" cy="6095630"/>
            <wp:effectExtent l="0" t="0" r="0" b="0"/>
            <wp:docPr id="2" name="Picture 2" descr="客户和财务人员的还款核销及结算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还款核销与结算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60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5027" w14:textId="77777777" w:rsidR="00E64569" w:rsidRDefault="00000000">
      <w:r>
        <w:br w:type="page"/>
      </w:r>
    </w:p>
    <w:p w14:paraId="195CC3A8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图 3 运营人员和系统管理员的管理查询流程</w:t>
      </w:r>
    </w:p>
    <w:p w14:paraId="16CAD58E" w14:textId="77777777" w:rsidR="00E64569" w:rsidRDefault="00000000">
      <w:pPr>
        <w:rPr>
          <w:lang w:eastAsia="zh-CN"/>
        </w:rPr>
      </w:pPr>
      <w:r>
        <w:rPr>
          <w:lang w:eastAsia="zh-CN"/>
        </w:rPr>
        <w:t>账号权限、业务查询和操作记录通过相应模块处理和保存。</w:t>
      </w:r>
    </w:p>
    <w:p w14:paraId="7E6F7409" w14:textId="77777777" w:rsidR="00E6456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46388A2" wp14:editId="497D6147">
            <wp:extent cx="6510528" cy="5503560"/>
            <wp:effectExtent l="0" t="0" r="0" b="0"/>
            <wp:docPr id="3" name="Picture 3" descr="运营人员和系统管理员的管理查询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管理查询与审计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50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7A1A" w14:textId="77777777" w:rsidR="00E64569" w:rsidRDefault="00000000">
      <w:r>
        <w:br w:type="page"/>
      </w:r>
    </w:p>
    <w:p w14:paraId="2A300273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图 4 关键业务数据从产生到存储的设备流转</w:t>
      </w:r>
    </w:p>
    <w:p w14:paraId="0EDAC8CD" w14:textId="77777777" w:rsidR="00E64569" w:rsidRDefault="00000000">
      <w:pPr>
        <w:rPr>
          <w:lang w:eastAsia="zh-CN"/>
        </w:rPr>
      </w:pPr>
      <w:r>
        <w:rPr>
          <w:lang w:eastAsia="zh-CN"/>
        </w:rPr>
        <w:t>按数据类别展示产生设备、经过设备、处理模块和最终存储位置。</w:t>
      </w:r>
    </w:p>
    <w:p w14:paraId="7A561DD6" w14:textId="77777777" w:rsidR="00E6456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A09C3FF" wp14:editId="13B0FA5C">
            <wp:extent cx="6510528" cy="6568838"/>
            <wp:effectExtent l="0" t="0" r="0" b="0"/>
            <wp:docPr id="4" name="Picture 4" descr="关键业务数据从产生到存储的设备流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关键数据全生命周期流转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656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91E1" w14:textId="77777777" w:rsidR="00E64569" w:rsidRDefault="00000000">
      <w:r>
        <w:br w:type="page"/>
      </w:r>
    </w:p>
    <w:p w14:paraId="6DC0373B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图 5 消费分期应用架构与设备承载关系</w:t>
      </w:r>
    </w:p>
    <w:p w14:paraId="0213D21E" w14:textId="77777777" w:rsidR="00E64569" w:rsidRDefault="00000000">
      <w:pPr>
        <w:rPr>
          <w:lang w:eastAsia="zh-CN"/>
        </w:rPr>
      </w:pPr>
      <w:r>
        <w:rPr>
          <w:lang w:eastAsia="zh-CN"/>
        </w:rPr>
        <w:t>所属单位 通汇诚泰保理    主系统 消费分期业务应用系统 资产平台</w:t>
      </w:r>
    </w:p>
    <w:p w14:paraId="4D7069CB" w14:textId="77777777" w:rsidR="00E64569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7816468" wp14:editId="09F59A1D">
            <wp:extent cx="6510528" cy="6864873"/>
            <wp:effectExtent l="0" t="0" r="0" b="0"/>
            <wp:docPr id="5" name="Picture 5" descr="消费分期应用架构与设备承载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应用架构与设备承载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686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609F" w14:textId="77777777" w:rsidR="00E64569" w:rsidRDefault="00000000">
      <w:pPr>
        <w:pStyle w:val="af7"/>
        <w:rPr>
          <w:lang w:eastAsia="zh-CN"/>
        </w:rPr>
      </w:pPr>
      <w:r>
        <w:rPr>
          <w:lang w:eastAsia="zh-CN"/>
        </w:rPr>
        <w:t>生产配置关联到上述资方主机，但未核实其正在运行的进程版本。数据库业务分库已通过生产只读元数据查询确认。</w:t>
      </w:r>
    </w:p>
    <w:p w14:paraId="0662965F" w14:textId="77777777" w:rsidR="00E64569" w:rsidRDefault="00E64569">
      <w:pPr>
        <w:rPr>
          <w:lang w:eastAsia="zh-CN"/>
        </w:rPr>
        <w:sectPr w:rsidR="00E64569">
          <w:footerReference w:type="default" r:id="rId13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 w14:paraId="0F2F6F7D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6.8 业务应用系统平台</w:t>
      </w:r>
    </w:p>
    <w:p w14:paraId="29D4D1FF" w14:textId="77777777" w:rsidR="00E64569" w:rsidRDefault="00000000">
      <w:pPr>
        <w:pStyle w:val="af7"/>
        <w:rPr>
          <w:lang w:eastAsia="zh-CN"/>
        </w:rPr>
      </w:pPr>
      <w:r>
        <w:rPr>
          <w:lang w:eastAsia="zh-CN"/>
        </w:rPr>
        <w:t>表 6-8 业务应用系统平台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1"/>
        <w:gridCol w:w="1238"/>
        <w:gridCol w:w="1037"/>
        <w:gridCol w:w="1469"/>
        <w:gridCol w:w="864"/>
        <w:gridCol w:w="2261"/>
        <w:gridCol w:w="907"/>
        <w:gridCol w:w="835"/>
        <w:gridCol w:w="1123"/>
        <w:gridCol w:w="965"/>
        <w:gridCol w:w="1843"/>
        <w:gridCol w:w="1224"/>
      </w:tblGrid>
      <w:tr w:rsidR="00E64569" w14:paraId="5DE65EF8" w14:textId="77777777">
        <w:trPr>
          <w:cantSplit/>
          <w:tblHeader/>
          <w:jc w:val="center"/>
        </w:trPr>
        <w:tc>
          <w:tcPr>
            <w:tcW w:w="4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8F754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b/>
                <w:sz w:val="18"/>
              </w:rPr>
              <w:t>序号</w:t>
            </w:r>
            <w:proofErr w:type="spellEnd"/>
          </w:p>
        </w:tc>
        <w:tc>
          <w:tcPr>
            <w:tcW w:w="12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54D98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业务应用系统／平台名称</w:t>
            </w:r>
          </w:p>
        </w:tc>
        <w:tc>
          <w:tcPr>
            <w:tcW w:w="1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EB8A2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b/>
                <w:sz w:val="18"/>
              </w:rPr>
              <w:t>所属定级系统</w:t>
            </w:r>
            <w:proofErr w:type="spellEnd"/>
          </w:p>
        </w:tc>
        <w:tc>
          <w:tcPr>
            <w:tcW w:w="14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DCE6E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业务应用软件及版本</w:t>
            </w:r>
          </w:p>
        </w:tc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538EA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开发厂商</w:t>
            </w:r>
          </w:p>
        </w:tc>
        <w:tc>
          <w:tcPr>
            <w:tcW w:w="22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53284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主要功能</w:t>
            </w:r>
          </w:p>
        </w:tc>
        <w:tc>
          <w:tcPr>
            <w:tcW w:w="9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FACB2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重要程度</w:t>
            </w:r>
          </w:p>
        </w:tc>
        <w:tc>
          <w:tcPr>
            <w:tcW w:w="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11217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应用模式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FC5A3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硬件／软件平台</w:t>
            </w:r>
          </w:p>
        </w:tc>
        <w:tc>
          <w:tcPr>
            <w:tcW w:w="96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DCA6B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自行开发／外包开发</w:t>
            </w:r>
          </w:p>
        </w:tc>
        <w:tc>
          <w:tcPr>
            <w:tcW w:w="184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B3A4C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用户类别及数量</w:t>
            </w:r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83DC4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8"/>
              </w:rPr>
              <w:t>备注</w:t>
            </w:r>
          </w:p>
        </w:tc>
      </w:tr>
      <w:tr w:rsidR="00E64569" w14:paraId="55A020AA" w14:textId="77777777">
        <w:trPr>
          <w:cantSplit/>
          <w:jc w:val="center"/>
        </w:trPr>
        <w:tc>
          <w:tcPr>
            <w:tcW w:w="4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636F8" w14:textId="77777777" w:rsidR="00E64569" w:rsidRDefault="00000000">
            <w:pPr>
              <w:spacing w:before="40" w:after="40" w:line="250" w:lineRule="exact"/>
            </w:pPr>
            <w:r>
              <w:rPr>
                <w:sz w:val="18"/>
              </w:rPr>
              <w:t>1</w:t>
            </w:r>
          </w:p>
        </w:tc>
        <w:tc>
          <w:tcPr>
            <w:tcW w:w="123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7B0FE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消费分期业务应用系统</w:t>
            </w:r>
            <w:r>
              <w:rPr>
                <w:sz w:val="18"/>
                <w:lang w:eastAsia="zh-CN"/>
              </w:rPr>
              <w:br/>
              <w:t>（资产平台）</w:t>
            </w:r>
          </w:p>
        </w:tc>
        <w:tc>
          <w:tcPr>
            <w:tcW w:w="1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DE580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8"/>
              </w:rPr>
              <w:t>登记名称待确认</w:t>
            </w:r>
            <w:proofErr w:type="spellEnd"/>
          </w:p>
        </w:tc>
        <w:tc>
          <w:tcPr>
            <w:tcW w:w="146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A488D" w14:textId="77777777" w:rsidR="00E64569" w:rsidRDefault="00000000">
            <w:pPr>
              <w:spacing w:before="40" w:after="40" w:line="250" w:lineRule="exact"/>
            </w:pPr>
            <w:r>
              <w:rPr>
                <w:sz w:val="18"/>
              </w:rPr>
              <w:t>Java 8</w:t>
            </w:r>
            <w:r>
              <w:rPr>
                <w:sz w:val="18"/>
              </w:rPr>
              <w:br/>
              <w:t>Spring Boot／Cloud</w:t>
            </w:r>
            <w:r>
              <w:rPr>
                <w:sz w:val="18"/>
              </w:rPr>
              <w:br/>
              <w:t>Vue 2.6.10</w:t>
            </w:r>
            <w:r>
              <w:rPr>
                <w:sz w:val="18"/>
              </w:rPr>
              <w:br/>
              <w:t>发布版本待补齐</w:t>
            </w:r>
          </w:p>
        </w:tc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E1606" w14:textId="77777777" w:rsidR="00E64569" w:rsidRDefault="00000000">
            <w:pPr>
              <w:spacing w:before="40" w:after="40" w:line="250" w:lineRule="exact"/>
            </w:pPr>
            <w:r>
              <w:rPr>
                <w:sz w:val="18"/>
              </w:rPr>
              <w:t>待确认</w:t>
            </w:r>
          </w:p>
        </w:tc>
        <w:tc>
          <w:tcPr>
            <w:tcW w:w="22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FC4FE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进件与客户商户管理；项目及产品配置；风控和资方对接；放款及还款计划；支付、账单核销与对账结算；账号权限及日志管理</w:t>
            </w:r>
          </w:p>
        </w:tc>
        <w:tc>
          <w:tcPr>
            <w:tcW w:w="90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4EB75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待业务及定级材料确认</w:t>
            </w:r>
          </w:p>
        </w:tc>
        <w:tc>
          <w:tcPr>
            <w:tcW w:w="83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9E7A1" w14:textId="77777777" w:rsidR="00E64569" w:rsidRDefault="00000000">
            <w:pPr>
              <w:spacing w:before="40" w:after="40" w:line="250" w:lineRule="exact"/>
            </w:pPr>
            <w:r>
              <w:rPr>
                <w:sz w:val="18"/>
              </w:rPr>
              <w:t>B/S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及系统间</w:t>
            </w:r>
            <w:proofErr w:type="spellEnd"/>
            <w:r>
              <w:rPr>
                <w:sz w:val="18"/>
              </w:rPr>
              <w:t xml:space="preserve"> API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7FC8E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软件平台</w:t>
            </w:r>
            <w:r>
              <w:rPr>
                <w:sz w:val="18"/>
                <w:lang w:eastAsia="zh-CN"/>
              </w:rPr>
              <w:br/>
              <w:t>应用服务器、数据库及文件存储</w:t>
            </w:r>
          </w:p>
        </w:tc>
        <w:tc>
          <w:tcPr>
            <w:tcW w:w="96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0B118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sz w:val="18"/>
              </w:rPr>
              <w:t>待确认</w:t>
            </w:r>
            <w:proofErr w:type="spellEnd"/>
          </w:p>
        </w:tc>
        <w:tc>
          <w:tcPr>
            <w:tcW w:w="184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6D9EE" w14:textId="77777777" w:rsidR="00E64569" w:rsidRDefault="00000000">
            <w:pPr>
              <w:spacing w:before="40" w:after="40" w:line="250" w:lineRule="exact"/>
            </w:pPr>
            <w:r>
              <w:rPr>
                <w:sz w:val="18"/>
                <w:lang w:eastAsia="zh-CN"/>
              </w:rPr>
              <w:t>客户及合作方；运营审核；财务结算；系统管理员。</w:t>
            </w:r>
            <w:r>
              <w:rPr>
                <w:sz w:val="18"/>
                <w:lang w:eastAsia="zh-CN"/>
              </w:rPr>
              <w:br/>
            </w:r>
            <w:proofErr w:type="spellStart"/>
            <w:r>
              <w:rPr>
                <w:sz w:val="18"/>
              </w:rPr>
              <w:t>各类数量待统计</w:t>
            </w:r>
            <w:proofErr w:type="spellEnd"/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3751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所属单位：通汇诚泰保理。</w:t>
            </w:r>
            <w:r>
              <w:rPr>
                <w:sz w:val="18"/>
                <w:lang w:eastAsia="zh-CN"/>
              </w:rPr>
              <w:br/>
              <w:t>范围：消费分期生产；外部系统另列边界。</w:t>
            </w:r>
          </w:p>
        </w:tc>
      </w:tr>
    </w:tbl>
    <w:p w14:paraId="7B11F8C3" w14:textId="77777777" w:rsidR="00E64569" w:rsidRDefault="00000000">
      <w:pPr>
        <w:rPr>
          <w:lang w:eastAsia="zh-CN"/>
        </w:rPr>
      </w:pPr>
      <w:r>
        <w:rPr>
          <w:lang w:eastAsia="zh-CN"/>
        </w:rPr>
        <w:t>填写口径：本表按一套业务应用系统填写，amp-order、amp-payment、amp-saps 等为组成模块。Java 8 和 Vue 2.6.10 是代码中的技术版本，不能替代系统正式发布版本；所属定级系统名称、重要程度、开发单位和开发方式均需正式资料确认。</w:t>
      </w:r>
    </w:p>
    <w:p w14:paraId="1A860387" w14:textId="77777777" w:rsidR="00E64569" w:rsidRDefault="00E64569">
      <w:pPr>
        <w:rPr>
          <w:lang w:eastAsia="zh-CN"/>
        </w:rPr>
        <w:sectPr w:rsidR="00E64569">
          <w:pgSz w:w="15840" w:h="12240" w:orient="landscape"/>
          <w:pgMar w:top="936" w:right="792" w:bottom="936" w:left="792" w:header="720" w:footer="720" w:gutter="0"/>
          <w:cols w:space="720"/>
          <w:docGrid w:linePitch="360"/>
        </w:sectPr>
      </w:pPr>
    </w:p>
    <w:p w14:paraId="224213D5" w14:textId="77777777" w:rsidR="00E64569" w:rsidRDefault="00000000">
      <w:pPr>
        <w:pStyle w:val="1"/>
        <w:rPr>
          <w:lang w:eastAsia="zh-CN"/>
        </w:rPr>
      </w:pPr>
      <w:r>
        <w:rPr>
          <w:lang w:eastAsia="zh-CN"/>
        </w:rPr>
        <w:t>附录一 设备与存储核验清单</w:t>
      </w:r>
    </w:p>
    <w:p w14:paraId="5BFF9849" w14:textId="77777777" w:rsidR="00E64569" w:rsidRDefault="00000000">
      <w:pPr>
        <w:rPr>
          <w:lang w:eastAsia="zh-CN"/>
        </w:rPr>
      </w:pPr>
      <w:r>
        <w:rPr>
          <w:lang w:eastAsia="zh-CN"/>
        </w:rPr>
        <w:t>核验依据分为生产资源配置、生产数据库元数据和本地远程跟踪分支代码。配置中关联了系统与资源，不等于已经验证当前进程、主备关系或线上发布版本。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376"/>
        <w:gridCol w:w="7128"/>
      </w:tblGrid>
      <w:tr w:rsidR="00E64569" w14:paraId="1A3D8823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2146A" w14:textId="77777777" w:rsidR="00E64569" w:rsidRDefault="00000000">
            <w:pPr>
              <w:spacing w:before="40" w:after="40" w:line="250" w:lineRule="exact"/>
            </w:pPr>
            <w:proofErr w:type="spellStart"/>
            <w:r>
              <w:rPr>
                <w:b/>
                <w:sz w:val="19"/>
              </w:rPr>
              <w:t>图中编号</w:t>
            </w:r>
            <w:proofErr w:type="spellEnd"/>
          </w:p>
        </w:tc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615ED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9"/>
              </w:rPr>
              <w:t>承载内容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D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402D6" w14:textId="77777777" w:rsidR="00E64569" w:rsidRDefault="00000000">
            <w:pPr>
              <w:spacing w:before="40" w:after="40" w:line="250" w:lineRule="exact"/>
            </w:pPr>
            <w:r>
              <w:rPr>
                <w:b/>
                <w:sz w:val="19"/>
              </w:rPr>
              <w:t>核验结果与待补信息</w:t>
            </w:r>
          </w:p>
        </w:tc>
      </w:tr>
      <w:tr w:rsidR="00E64569" w14:paraId="227CD054" w14:textId="77777777">
        <w:trPr>
          <w:cantSplit/>
          <w:jc w:val="center"/>
        </w:trPr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C69A0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A1</w:t>
            </w:r>
          </w:p>
        </w:tc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D00D5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Web、对外及运营网关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5BFD2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模块已定位；生产域名、入口设备、服务器地址及数量待补齐。</w:t>
            </w:r>
          </w:p>
        </w:tc>
      </w:tr>
      <w:tr w:rsidR="00E64569" w14:paraId="27B5D896" w14:textId="77777777">
        <w:trPr>
          <w:cantSplit/>
          <w:jc w:val="center"/>
        </w:trPr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0F5B7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A2</w:t>
            </w:r>
          </w:p>
        </w:tc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F471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订单、风控、认证及通用服务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746D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模块和关键接口已确认；模块对应生产主机清单待补齐。</w:t>
            </w:r>
          </w:p>
        </w:tc>
      </w:tr>
      <w:tr w:rsidR="00E64569" w14:paraId="5A7F5ECA" w14:textId="77777777">
        <w:trPr>
          <w:cantSplit/>
          <w:jc w:val="center"/>
        </w:trPr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2BF99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A3</w:t>
            </w:r>
          </w:p>
        </w:tc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D0089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amp-capital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A6B32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生产配置关联 172.17.0.121、172.17.0.125；服务实例、进程与发布版本待核实。</w:t>
            </w:r>
          </w:p>
        </w:tc>
      </w:tr>
      <w:tr w:rsidR="00E64569" w14:paraId="69905673" w14:textId="77777777">
        <w:trPr>
          <w:cantSplit/>
          <w:jc w:val="center"/>
        </w:trPr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44E5C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A4</w:t>
            </w:r>
          </w:p>
        </w:tc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F1D9B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amp-payment、amp-saps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F724A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生产资源标识 amp-ssh-prod。状态查询未找到 amp-payment.service；这不能判定应用未运行，进程管理方式与物理地址待核实。</w:t>
            </w:r>
          </w:p>
        </w:tc>
      </w:tr>
      <w:tr w:rsidR="00E64569" w14:paraId="757EDAB3" w14:textId="77777777">
        <w:trPr>
          <w:cantSplit/>
          <w:jc w:val="center"/>
        </w:trPr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16440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D1</w:t>
            </w:r>
          </w:p>
        </w:tc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FC95D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MySQL 生产数据库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CADA7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amp-</w:t>
            </w:r>
            <w:proofErr w:type="spellStart"/>
            <w:r>
              <w:rPr>
                <w:sz w:val="19"/>
              </w:rPr>
              <w:t>db</w:t>
            </w:r>
            <w:proofErr w:type="spellEnd"/>
            <w:r>
              <w:rPr>
                <w:sz w:val="19"/>
              </w:rPr>
              <w:t xml:space="preserve">-prod </w:t>
            </w:r>
            <w:proofErr w:type="spellStart"/>
            <w:r>
              <w:rPr>
                <w:sz w:val="19"/>
              </w:rPr>
              <w:t>可读取元数据；已确认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amp_order、amp_capital、amp_payment、amp_saps、amp_auth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等库及核心表。物理主机、云实例、主备关系待补齐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64569" w14:paraId="11482A31" w14:textId="77777777">
        <w:trPr>
          <w:cantSplit/>
          <w:jc w:val="center"/>
        </w:trPr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8E89C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D2</w:t>
            </w:r>
          </w:p>
        </w:tc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06B95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文件及对象存储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C14D6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通用服务存在阿里云 OSS 上传实现，生产存在订单附件索引表；Bucket、实例、区域和实际启用路径待核实。</w:t>
            </w:r>
          </w:p>
        </w:tc>
      </w:tr>
      <w:tr w:rsidR="00E64569" w14:paraId="1F4B87C7" w14:textId="77777777">
        <w:trPr>
          <w:cantSplit/>
          <w:jc w:val="center"/>
        </w:trPr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7421D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D3／D4</w:t>
            </w:r>
          </w:p>
        </w:tc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021BD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运行日志与备份设备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B02E9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生产库存在业务审计表；运行日志集中存储、采集设备、备份设备及保留策略待核实。</w:t>
            </w:r>
          </w:p>
        </w:tc>
      </w:tr>
      <w:tr w:rsidR="00E64569" w14:paraId="7042C7AF" w14:textId="77777777">
        <w:trPr>
          <w:cantSplit/>
          <w:jc w:val="center"/>
        </w:trPr>
        <w:tc>
          <w:tcPr>
            <w:tcW w:w="8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49CAF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N1／M1</w:t>
            </w:r>
          </w:p>
        </w:tc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BB2AD" w14:textId="77777777" w:rsidR="00E64569" w:rsidRDefault="00000000">
            <w:pPr>
              <w:spacing w:before="40" w:after="40" w:line="250" w:lineRule="exact"/>
            </w:pPr>
            <w:r>
              <w:rPr>
                <w:sz w:val="19"/>
              </w:rPr>
              <w:t>网络及中间件设备</w:t>
            </w:r>
          </w:p>
        </w:tc>
        <w:tc>
          <w:tcPr>
            <w:tcW w:w="71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26D2B" w14:textId="77777777" w:rsidR="00E64569" w:rsidRDefault="00000000">
            <w:pPr>
              <w:spacing w:before="40" w:after="40" w:line="25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不沿用示例图中的云品牌和部署拓扑。</w:t>
            </w:r>
            <w:proofErr w:type="spellStart"/>
            <w:r>
              <w:rPr>
                <w:sz w:val="19"/>
                <w:lang w:eastAsia="zh-CN"/>
              </w:rPr>
              <w:t>Nacos</w:t>
            </w:r>
            <w:proofErr w:type="spellEnd"/>
            <w:r>
              <w:rPr>
                <w:sz w:val="19"/>
                <w:lang w:eastAsia="zh-CN"/>
              </w:rPr>
              <w:t>、Redis 有代码配置或依赖，AMQP 有代码依赖；生产实例、WAF、负载均衡和网络设备待核实。</w:t>
            </w:r>
          </w:p>
        </w:tc>
      </w:tr>
    </w:tbl>
    <w:p w14:paraId="4CF38633" w14:textId="77777777" w:rsidR="00E64569" w:rsidRDefault="00000000">
      <w:pPr>
        <w:pStyle w:val="af7"/>
        <w:rPr>
          <w:lang w:eastAsia="zh-CN"/>
        </w:rPr>
      </w:pPr>
      <w:r>
        <w:rPr>
          <w:lang w:eastAsia="zh-CN"/>
        </w:rPr>
        <w:t>本次仅查询表结构元数据，没有提取客户、银行卡、订单明细或账号个人信息。</w:t>
      </w:r>
    </w:p>
    <w:p w14:paraId="4B12F56F" w14:textId="1803C3E9" w:rsidR="00E64569" w:rsidRDefault="00E64569" w:rsidP="003659BC">
      <w:pPr>
        <w:rPr>
          <w:rFonts w:hint="eastAsia"/>
          <w:lang w:eastAsia="zh-CN"/>
        </w:rPr>
      </w:pPr>
    </w:p>
    <w:sectPr w:rsidR="00E6456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288733" w14:textId="77777777" w:rsidR="008772CA" w:rsidRDefault="008772CA">
      <w:pPr>
        <w:spacing w:after="0" w:line="240" w:lineRule="auto"/>
      </w:pPr>
      <w:r>
        <w:separator/>
      </w:r>
    </w:p>
  </w:endnote>
  <w:endnote w:type="continuationSeparator" w:id="0">
    <w:p w14:paraId="49858B7D" w14:textId="77777777" w:rsidR="008772CA" w:rsidRDefault="00877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69D6A6" w14:textId="77777777" w:rsidR="00E64569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8457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A4543" w14:textId="77777777" w:rsidR="008772CA" w:rsidRDefault="008772CA">
      <w:pPr>
        <w:spacing w:after="0" w:line="240" w:lineRule="auto"/>
      </w:pPr>
      <w:r>
        <w:separator/>
      </w:r>
    </w:p>
  </w:footnote>
  <w:footnote w:type="continuationSeparator" w:id="0">
    <w:p w14:paraId="2681FDBD" w14:textId="77777777" w:rsidR="008772CA" w:rsidRDefault="00877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565889">
    <w:abstractNumId w:val="8"/>
  </w:num>
  <w:num w:numId="2" w16cid:durableId="476344673">
    <w:abstractNumId w:val="6"/>
  </w:num>
  <w:num w:numId="3" w16cid:durableId="706950262">
    <w:abstractNumId w:val="5"/>
  </w:num>
  <w:num w:numId="4" w16cid:durableId="1962611437">
    <w:abstractNumId w:val="4"/>
  </w:num>
  <w:num w:numId="5" w16cid:durableId="2143039063">
    <w:abstractNumId w:val="7"/>
  </w:num>
  <w:num w:numId="6" w16cid:durableId="1093866798">
    <w:abstractNumId w:val="3"/>
  </w:num>
  <w:num w:numId="7" w16cid:durableId="2095205482">
    <w:abstractNumId w:val="2"/>
  </w:num>
  <w:num w:numId="8" w16cid:durableId="873201844">
    <w:abstractNumId w:val="1"/>
  </w:num>
  <w:num w:numId="9" w16cid:durableId="12693109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5FC"/>
    <w:rsid w:val="0015074B"/>
    <w:rsid w:val="001F1403"/>
    <w:rsid w:val="0029639D"/>
    <w:rsid w:val="00326F90"/>
    <w:rsid w:val="0036317F"/>
    <w:rsid w:val="003659BC"/>
    <w:rsid w:val="00383345"/>
    <w:rsid w:val="003A71B1"/>
    <w:rsid w:val="006F121E"/>
    <w:rsid w:val="007055BE"/>
    <w:rsid w:val="00747A94"/>
    <w:rsid w:val="0084572B"/>
    <w:rsid w:val="008772CA"/>
    <w:rsid w:val="00A515A7"/>
    <w:rsid w:val="00AA1D8D"/>
    <w:rsid w:val="00B47730"/>
    <w:rsid w:val="00C249C3"/>
    <w:rsid w:val="00CB0664"/>
    <w:rsid w:val="00E41691"/>
    <w:rsid w:val="00E64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9C6BD"/>
  <w14:defaultImageDpi w14:val="300"/>
  <w15:docId w15:val="{6DA908F8-C4D5-854B-8F0C-C2A07748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0" w:lineRule="exact"/>
    </w:pPr>
    <w:rPr>
      <w:rFonts w:ascii="Arial Unicode MS" w:eastAsia="Arial Unicode MS" w:hAnsi="Arial Unicode MS" w:cs="Arial Unicode M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200" w:line="460" w:lineRule="exact"/>
      <w:outlineLvl w:val="0"/>
    </w:pPr>
    <w:rPr>
      <w:rFonts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Arial Unicode MS" w:eastAsia="Arial Unicode MS" w:hAnsi="Arial Unicode MS" w:cs="Arial Unicode MS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Arial Unicode MS" w:eastAsia="Arial Unicode MS" w:hAnsi="Arial Unicode MS" w:cs="Arial Unicode MS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Arial Unicode MS" w:eastAsia="Arial Unicode MS" w:hAnsi="Arial Unicode MS" w:cs="Arial Unicode MS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Arial Unicode MS" w:eastAsia="Arial Unicode MS" w:hAnsi="Arial Unicode MS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Arial Unicode MS" w:eastAsia="Arial Unicode MS" w:hAnsi="Arial Unicode MS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Arial Unicode MS" w:eastAsia="Arial Unicode MS" w:hAnsi="Arial Unicode MS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600" w:lineRule="exact"/>
      <w:contextualSpacing/>
    </w:pPr>
    <w:rPr>
      <w:rFonts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Arial Unicode MS" w:eastAsia="Arial Unicode MS" w:hAnsi="Arial Unicode MS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Arial Unicode MS" w:eastAsia="Arial Unicode MS" w:hAnsi="Arial Unicode MS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Arial Unicode MS" w:eastAsia="Arial Unicode MS" w:hAnsi="Arial Unicode MS" w:cs="Arial Unicode MS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Arial Unicode MS" w:eastAsia="Arial Unicode MS" w:hAnsi="Arial Unicode MS" w:cs="Arial Unicode MS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Arial Unicode MS" w:eastAsia="Arial Unicode MS" w:hAnsi="Arial Unicode MS" w:cs="Arial Unicode MS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Arial Unicode MS" w:eastAsia="Arial Unicode MS" w:hAnsi="Arial Unicode MS" w:cs="Arial Unicode MS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Arial Unicode MS" w:eastAsia="Arial Unicode MS" w:hAnsi="Arial Unicode MS" w:cs="Arial Unicode MS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Arial Unicode MS" w:eastAsia="Arial Unicode MS" w:hAnsi="Arial Unicode MS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Arial Unicode MS" w:eastAsia="Arial Unicode MS" w:hAnsi="Arial Unicode MS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Arial Unicode MS" w:eastAsia="Arial Unicode MS" w:hAnsi="Arial Unicode MS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Arial Unicode MS" w:eastAsia="Arial Unicode MS" w:hAnsi="Arial Unicode MS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Arial Unicode MS" w:eastAsia="Arial Unicode MS" w:hAnsi="Arial Unicode MS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Arial Unicode MS" w:eastAsia="Arial Unicode MS" w:hAnsi="Arial Unicode MS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100" w:line="240" w:lineRule="exact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Arial Unicode MS" w:eastAsia="Arial Unicode MS" w:hAnsi="Arial Unicode MS" w:cs="Arial Unicode MS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Arial Unicode MS" w:eastAsia="Arial Unicode MS" w:hAnsi="Arial Unicode MS" w:cs="Arial Unicode MS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Arial Unicode MS" w:eastAsia="Arial Unicode MS" w:hAnsi="Arial Unicode MS" w:cs="Arial Unicode MS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Arial Unicode MS" w:eastAsia="Arial Unicode MS" w:hAnsi="Arial Unicode MS" w:cs="Arial Unicode MS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Arial Unicode MS" w:eastAsia="Arial Unicode MS" w:hAnsi="Arial Unicode MS" w:cs="Arial Unicode MS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Arial Unicode MS" w:eastAsia="Arial Unicode MS" w:hAnsi="Arial Unicode MS" w:cs="Arial Unicode MS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Arial Unicode MS" w:eastAsia="Arial Unicode MS" w:hAnsi="Arial Unicode MS" w:cs="Arial Unicode MS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Arial Unicode MS" w:eastAsia="Arial Unicode MS" w:hAnsi="Arial Unicode MS" w:cs="Arial Unicode MS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Arial Unicode MS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通汇诚泰保理消费分期生产业务应用系统说明</dc:title>
  <dc:subject>业务流程 数据流转 应用架构及业务应用系统表</dc:subject>
  <dc:creator/>
  <cp:keywords/>
  <dc:description>generated by python-docx</dc:description>
  <cp:lastModifiedBy>hao shi</cp:lastModifiedBy>
  <cp:revision>16</cp:revision>
  <dcterms:created xsi:type="dcterms:W3CDTF">2013-12-23T23:15:00Z</dcterms:created>
  <dcterms:modified xsi:type="dcterms:W3CDTF">2026-09-15T03:31:00Z</dcterms:modified>
  <cp:category/>
</cp:coreProperties>
</file>