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56"/>
          <w:szCs w:val="56"/>
        </w:rPr>
        <w:t xml:space="preserve">LOW LEVEL DESIGN</w:t>
      </w:r>
    </w:p>
    <w:p>
      <w:pPr>
        <w:spacing w:after="80" w:before="0"/>
        <w:jc w:val="center"/>
      </w:pPr>
      <w:r>
        <w:rPr>
          <w:rFonts w:ascii="Arial" w:cs="Arial" w:eastAsia="Arial" w:hAnsi="Arial"/>
          <w:b/>
          <w:bCs/>
          <w:color w:val="2E75B6"/>
          <w:sz w:val="40"/>
          <w:szCs w:val="40"/>
        </w:rPr>
        <w:t xml:space="preserve">Airlock Digital Application Control</w:t>
      </w:r>
    </w:p>
    <w:p>
      <w:pPr>
        <w:spacing w:after="360" w:before="0"/>
        <w:jc w:val="center"/>
      </w:pPr>
      <w:r>
        <w:rPr>
          <w:rFonts w:ascii="Arial" w:cs="Arial" w:eastAsia="Arial" w:hAnsi="Arial"/>
          <w:color w:val="595959"/>
          <w:sz w:val="28"/>
          <w:szCs w:val="28"/>
        </w:rPr>
        <w:t xml:space="preserve">End User Computing Transformation Program</w:t>
      </w:r>
    </w:p>
    <w:p>
      <w:pPr>
        <w:pBdr>
          <w:bottom w:val="single" w:color="2E75B6" w:sz="8" w:space="1"/>
        </w:pBdr>
        <w:spacing w:after="3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OFFICIAL: Sensitive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Document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DRAFT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June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[Author Name]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Reviewer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[Reviewer Name]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Approver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[Approver Name]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Document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EUC-LLD-AIRLOCK-001</w:t>
            </w:r>
          </w:p>
        </w:tc>
      </w:tr>
    </w:tbl>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1. Document Control</w:t>
      </w:r>
    </w:p>
    <w:p>
      <w:pPr>
        <w:pStyle w:val="Heading2"/>
        <w:spacing w:after="80" w:before="240"/>
      </w:pPr>
      <w:r>
        <w:rPr>
          <w:rFonts w:ascii="Arial" w:cs="Arial" w:eastAsia="Arial" w:hAnsi="Arial"/>
          <w:b/>
          <w:bCs/>
          <w:color w:val="2E75B6"/>
          <w:sz w:val="28"/>
          <w:szCs w:val="28"/>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000"/>
        <w:gridCol w:w="49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Author</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Change 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June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[Author]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Initial draft</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1.2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Document Title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Document ID</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Relationship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 High Level Design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EUC-HLD-001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Parent design document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Intune Platform Low Level Design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EUC-LLD-INTUNE-001</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Agent deployment mechanism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iOS Device Management Low Level Design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EUC-LLD-IOS-001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Out of scope — iOS covered separately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RBAC As-Built Configuration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EUC-ASBUILT-RBAC-001</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console RBAC cross-referenced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Google SecOps SIEM Integration Design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EUC-LLD-SIEM-001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SIEM forwarding target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ASD Blueprint for Secure Cloud — Essential Eight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N/A (external)</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Compliance reference framework</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Term / Acronym</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ADE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Automated Device Enrolment (Apple)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ASD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Australian Signals Directorate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CLM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Constrained Language Mode (PowerShell)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End User Computing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HLD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High Level Design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ISM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Information Security Manual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LLD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Low Level Design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ML</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Maturity Level (Essential Eight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MTD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Mobile Threat Defence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PAW</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Privileged Access Workstation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PSPF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Protective Security Policy Framework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SIEM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Security Information and Event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UMCI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User Mode Code Integrity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WDAC</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Windows Defender Application Control</w:t>
            </w:r>
          </w:p>
        </w:tc>
      </w:tr>
    </w:tbl>
    <w:p>
      <w:pPr>
        <w:spacing w:after="60" w:before="6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2. Introduction</w:t>
      </w:r>
    </w:p>
    <w:p>
      <w:pPr>
        <w:pStyle w:val="Heading2"/>
        <w:spacing w:after="80" w:before="240"/>
      </w:pPr>
      <w:r>
        <w:rPr>
          <w:rFonts w:ascii="Arial" w:cs="Arial" w:eastAsia="Arial" w:hAnsi="Arial"/>
          <w:b/>
          <w:bCs/>
          <w:color w:val="2E75B6"/>
          <w:sz w:val="28"/>
          <w:szCs w:val="28"/>
        </w:rPr>
        <w:t xml:space="preserve">2.1 Purpose</w:t>
      </w:r>
    </w:p>
    <w:p>
      <w:pPr>
        <w:spacing w:after="80" w:before="80"/>
      </w:pPr>
      <w:r>
        <w:rPr>
          <w:rFonts w:ascii="Arial" w:cs="Arial" w:eastAsia="Arial" w:hAnsi="Arial"/>
          <w:sz w:val="22"/>
          <w:szCs w:val="22"/>
        </w:rPr>
        <w:t xml:space="preserve">This Low Level Design (LLD) document defines the detailed technical design for the implementation of Airlock Digital as the application control solution for the department's End User Computing (EUC) transformation program. It provides the design decisions, configuration specifications, policy architecture, operational procedures, and compliance traceability required to implement, validate, and operate Airlock Digital across approximately 2,500 Windows 11 standard endpoints and a separate cohort of Privileged Access Workstations (PAWs).</w:t>
      </w:r>
    </w:p>
    <w:p>
      <w:pPr>
        <w:spacing w:after="80" w:before="80"/>
      </w:pPr>
      <w:r>
        <w:rPr>
          <w:rFonts w:ascii="Arial" w:cs="Arial" w:eastAsia="Arial" w:hAnsi="Arial"/>
          <w:sz w:val="22"/>
          <w:szCs w:val="22"/>
        </w:rPr>
        <w:t xml:space="preserve">This document is intended for use by the EUC engineering team, security architects, and cyber security operations personnel. It is a design artefact and does not serve as an operational runbook or step-by-step configuration guide.</w:t>
      </w:r>
    </w:p>
    <w:p>
      <w:pPr>
        <w:pStyle w:val="Heading2"/>
        <w:spacing w:after="80" w:before="240"/>
      </w:pPr>
      <w:r>
        <w:rPr>
          <w:rFonts w:ascii="Arial" w:cs="Arial" w:eastAsia="Arial" w:hAnsi="Arial"/>
          <w:b/>
          <w:bCs/>
          <w:color w:val="2E75B6"/>
          <w:sz w:val="28"/>
          <w:szCs w:val="28"/>
        </w:rPr>
        <w:t xml:space="preserve">2.2 Scope</w:t>
      </w:r>
    </w:p>
    <w:p>
      <w:pPr>
        <w:spacing w:after="80" w:before="80"/>
      </w:pPr>
      <w:r>
        <w:rPr>
          <w:rFonts w:ascii="Arial" w:cs="Arial" w:eastAsia="Arial" w:hAnsi="Arial"/>
          <w:sz w:val="22"/>
          <w:szCs w:val="22"/>
        </w:rPr>
        <w:t xml:space="preserve">This LLD covers:</w:t>
      </w:r>
    </w:p>
    <w:p>
      <w:pPr>
        <w:pStyle w:val="ListParagraph"/>
        <w:numPr>
          <w:ilvl w:val="0"/>
          <w:numId w:val="2"/>
        </w:numPr>
        <w:spacing w:after="40" w:before="40"/>
      </w:pPr>
      <w:r>
        <w:rPr>
          <w:rFonts w:ascii="Arial" w:cs="Arial" w:eastAsia="Arial" w:hAnsi="Arial"/>
          <w:sz w:val="22"/>
          <w:szCs w:val="22"/>
        </w:rPr>
        <w:t xml:space="preserve">Airlock Digital platform architecture and deployment model selection</w:t>
      </w:r>
    </w:p>
    <w:p>
      <w:pPr>
        <w:pStyle w:val="ListParagraph"/>
        <w:numPr>
          <w:ilvl w:val="0"/>
          <w:numId w:val="2"/>
        </w:numPr>
        <w:spacing w:after="40" w:before="40"/>
      </w:pPr>
      <w:r>
        <w:rPr>
          <w:rFonts w:ascii="Arial" w:cs="Arial" w:eastAsia="Arial" w:hAnsi="Arial"/>
          <w:sz w:val="22"/>
          <w:szCs w:val="22"/>
        </w:rPr>
        <w:t xml:space="preserve">Intune-based agent deployment for Windows 11 standard endpoints and PAWs</w:t>
      </w:r>
    </w:p>
    <w:p>
      <w:pPr>
        <w:pStyle w:val="ListParagraph"/>
        <w:numPr>
          <w:ilvl w:val="0"/>
          <w:numId w:val="2"/>
        </w:numPr>
        <w:spacing w:after="40" w:before="40"/>
      </w:pPr>
      <w:r>
        <w:rPr>
          <w:rFonts w:ascii="Arial" w:cs="Arial" w:eastAsia="Arial" w:hAnsi="Arial"/>
          <w:sz w:val="22"/>
          <w:szCs w:val="22"/>
        </w:rPr>
        <w:t xml:space="preserve">Application allowlisting policy design — layered publisher-primary, hash-fallback model</w:t>
      </w:r>
    </w:p>
    <w:p>
      <w:pPr>
        <w:pStyle w:val="ListParagraph"/>
        <w:numPr>
          <w:ilvl w:val="0"/>
          <w:numId w:val="2"/>
        </w:numPr>
        <w:spacing w:after="40" w:before="40"/>
      </w:pPr>
      <w:r>
        <w:rPr>
          <w:rFonts w:ascii="Arial" w:cs="Arial" w:eastAsia="Arial" w:hAnsi="Arial"/>
          <w:sz w:val="22"/>
          <w:szCs w:val="22"/>
        </w:rPr>
        <w:t xml:space="preserve">Separate PAW policy design with elevated enforcement posture</w:t>
      </w:r>
    </w:p>
    <w:p>
      <w:pPr>
        <w:pStyle w:val="ListParagraph"/>
        <w:numPr>
          <w:ilvl w:val="0"/>
          <w:numId w:val="2"/>
        </w:numPr>
        <w:spacing w:after="40" w:before="40"/>
      </w:pPr>
      <w:r>
        <w:rPr>
          <w:rFonts w:ascii="Arial" w:cs="Arial" w:eastAsia="Arial" w:hAnsi="Arial"/>
          <w:sz w:val="22"/>
          <w:szCs w:val="22"/>
        </w:rPr>
        <w:t xml:space="preserve">Trusted path and trusted installer exemption design</w:t>
      </w:r>
    </w:p>
    <w:p>
      <w:pPr>
        <w:pStyle w:val="ListParagraph"/>
        <w:numPr>
          <w:ilvl w:val="0"/>
          <w:numId w:val="2"/>
        </w:numPr>
        <w:spacing w:after="40" w:before="40"/>
      </w:pPr>
      <w:r>
        <w:rPr>
          <w:rFonts w:ascii="Arial" w:cs="Arial" w:eastAsia="Arial" w:hAnsi="Arial"/>
          <w:sz w:val="22"/>
          <w:szCs w:val="22"/>
        </w:rPr>
        <w:t xml:space="preserve">Console Role-Based Access Control (RBAC) design</w:t>
      </w:r>
    </w:p>
    <w:p>
      <w:pPr>
        <w:pStyle w:val="ListParagraph"/>
        <w:numPr>
          <w:ilvl w:val="0"/>
          <w:numId w:val="2"/>
        </w:numPr>
        <w:spacing w:after="40" w:before="40"/>
      </w:pPr>
      <w:r>
        <w:rPr>
          <w:rFonts w:ascii="Arial" w:cs="Arial" w:eastAsia="Arial" w:hAnsi="Arial"/>
          <w:sz w:val="22"/>
          <w:szCs w:val="22"/>
        </w:rPr>
        <w:t xml:space="preserve">SIEM integration with Google SecOps (Chronicle)</w:t>
      </w:r>
    </w:p>
    <w:p>
      <w:pPr>
        <w:pStyle w:val="ListParagraph"/>
        <w:numPr>
          <w:ilvl w:val="0"/>
          <w:numId w:val="2"/>
        </w:numPr>
        <w:spacing w:after="40" w:before="40"/>
      </w:pPr>
      <w:r>
        <w:rPr>
          <w:rFonts w:ascii="Arial" w:cs="Arial" w:eastAsia="Arial" w:hAnsi="Arial"/>
          <w:sz w:val="22"/>
          <w:szCs w:val="22"/>
        </w:rPr>
        <w:t xml:space="preserve">Essential Eight Maturity Level 2 compliance alignment</w:t>
      </w:r>
    </w:p>
    <w:p>
      <w:pPr>
        <w:pStyle w:val="ListParagraph"/>
        <w:numPr>
          <w:ilvl w:val="0"/>
          <w:numId w:val="2"/>
        </w:numPr>
        <w:spacing w:after="40" w:before="40"/>
      </w:pPr>
      <w:r>
        <w:rPr>
          <w:rFonts w:ascii="Arial" w:cs="Arial" w:eastAsia="Arial" w:hAnsi="Arial"/>
          <w:sz w:val="22"/>
          <w:szCs w:val="22"/>
        </w:rPr>
        <w:t xml:space="preserve">ASD Blueprint for Secure Cloud traceability</w:t>
      </w:r>
    </w:p>
    <w:p>
      <w:pPr>
        <w:spacing w:after="60" w:before="60"/>
      </w:pPr>
      <w:r>
        <w:t xml:space="preserve"/>
      </w:r>
    </w:p>
    <w:p>
      <w:pPr>
        <w:spacing w:after="80" w:before="80"/>
      </w:pPr>
      <w:r>
        <w:rPr>
          <w:rFonts w:ascii="Arial" w:cs="Arial" w:eastAsia="Arial" w:hAnsi="Arial"/>
          <w:sz w:val="22"/>
          <w:szCs w:val="22"/>
        </w:rPr>
        <w:t xml:space="preserve">The following items are explicitly out of scope:</w:t>
      </w:r>
    </w:p>
    <w:p>
      <w:pPr>
        <w:pStyle w:val="ListParagraph"/>
        <w:numPr>
          <w:ilvl w:val="0"/>
          <w:numId w:val="2"/>
        </w:numPr>
        <w:spacing w:after="40" w:before="40"/>
      </w:pPr>
      <w:r>
        <w:rPr>
          <w:rFonts w:ascii="Arial" w:cs="Arial" w:eastAsia="Arial" w:hAnsi="Arial"/>
          <w:sz w:val="22"/>
          <w:szCs w:val="22"/>
        </w:rPr>
        <w:t xml:space="preserve">iOS or macOS application control (addressed in the iOS Device Management LLD)</w:t>
      </w:r>
    </w:p>
    <w:p>
      <w:pPr>
        <w:pStyle w:val="ListParagraph"/>
        <w:numPr>
          <w:ilvl w:val="0"/>
          <w:numId w:val="2"/>
        </w:numPr>
        <w:spacing w:after="40" w:before="40"/>
      </w:pPr>
      <w:r>
        <w:rPr>
          <w:rFonts w:ascii="Arial" w:cs="Arial" w:eastAsia="Arial" w:hAnsi="Arial"/>
          <w:sz w:val="22"/>
          <w:szCs w:val="22"/>
        </w:rPr>
        <w:t xml:space="preserve">Server workload application control</w:t>
      </w:r>
    </w:p>
    <w:p>
      <w:pPr>
        <w:pStyle w:val="ListParagraph"/>
        <w:numPr>
          <w:ilvl w:val="0"/>
          <w:numId w:val="2"/>
        </w:numPr>
        <w:spacing w:after="40" w:before="40"/>
      </w:pPr>
      <w:r>
        <w:rPr>
          <w:rFonts w:ascii="Arial" w:cs="Arial" w:eastAsia="Arial" w:hAnsi="Arial"/>
          <w:sz w:val="22"/>
          <w:szCs w:val="22"/>
        </w:rPr>
        <w:t xml:space="preserve">Microsoft Defender Application Control (WDAC) or AppLocker configuration</w:t>
      </w:r>
    </w:p>
    <w:p>
      <w:pPr>
        <w:pStyle w:val="ListParagraph"/>
        <w:numPr>
          <w:ilvl w:val="0"/>
          <w:numId w:val="2"/>
        </w:numPr>
        <w:spacing w:after="40" w:before="40"/>
      </w:pPr>
      <w:r>
        <w:rPr>
          <w:rFonts w:ascii="Arial" w:cs="Arial" w:eastAsia="Arial" w:hAnsi="Arial"/>
          <w:sz w:val="22"/>
          <w:szCs w:val="22"/>
        </w:rPr>
        <w:t xml:space="preserve">End-user self-service allow-request workflows (future phase)</w:t>
      </w:r>
    </w:p>
    <w:p>
      <w:pPr>
        <w:pStyle w:val="Heading2"/>
        <w:spacing w:after="80" w:before="240"/>
      </w:pPr>
      <w:r>
        <w:rPr>
          <w:rFonts w:ascii="Arial" w:cs="Arial" w:eastAsia="Arial" w:hAnsi="Arial"/>
          <w:b/>
          <w:bCs/>
          <w:color w:val="2E75B6"/>
          <w:sz w:val="28"/>
          <w:szCs w:val="28"/>
        </w:rPr>
        <w:t xml:space="preserve">2.3 Background</w:t>
      </w:r>
    </w:p>
    <w:p>
      <w:pPr>
        <w:spacing w:after="80" w:before="80"/>
      </w:pPr>
      <w:r>
        <w:rPr>
          <w:rFonts w:ascii="Arial" w:cs="Arial" w:eastAsia="Arial" w:hAnsi="Arial"/>
          <w:sz w:val="22"/>
          <w:szCs w:val="22"/>
        </w:rPr>
        <w:t xml:space="preserve">The department's current-state EUC environment operates SCCM for endpoint management and Ivanti (formerly MobileIron) for mobile device management, with a hybrid Active Directory and Microsoft Entra Connect topology. Application control is partially deployed via AppLocker in audit mode with policy not enforced in production. Standing administrative accounts are in use with no privileged access workstation programme.</w:t>
      </w:r>
    </w:p>
    <w:p>
      <w:pPr>
        <w:spacing w:after="80" w:before="80"/>
      </w:pPr>
      <w:r>
        <w:rPr>
          <w:rFonts w:ascii="Arial" w:cs="Arial" w:eastAsia="Arial" w:hAnsi="Arial"/>
          <w:sz w:val="22"/>
          <w:szCs w:val="22"/>
        </w:rPr>
        <w:t xml:space="preserve">The EUC transformation program is migrating to a cloud-native architecture built on Microsoft Intune, Microsoft Entra ID (cloud-only), Microsoft 365 E5, and a suite of security controls aligned to the ASD Blueprint for Secure Cloud. As part of this transformation, application control is being implemented at Essential Eight Maturity Level 2, with Airlock Digital selected as the preferred solution based on a comparative options analysis (see EUC-HLD-001, Design Decision DD-005).</w:t>
      </w:r>
    </w:p>
    <w:p>
      <w:pPr>
        <w:spacing w:after="80" w:before="80"/>
      </w:pPr>
      <w:r>
        <w:rPr>
          <w:rFonts w:ascii="Arial" w:cs="Arial" w:eastAsia="Arial" w:hAnsi="Arial"/>
          <w:sz w:val="22"/>
          <w:szCs w:val="22"/>
        </w:rPr>
        <w:t xml:space="preserve">Airlock Digital is an Australian-developed application allowlisting solution purpose-built for Essential Eight compliance. It provides a dedicated management console, policy-based enforcement via a kernel-level driver, rich audit telemetry, and native integrations with common SIEM platforms.</w:t>
      </w:r>
    </w:p>
    <w:p>
      <w:pPr>
        <w:pStyle w:val="Heading2"/>
        <w:spacing w:after="80" w:before="240"/>
      </w:pPr>
      <w:r>
        <w:rPr>
          <w:rFonts w:ascii="Arial" w:cs="Arial" w:eastAsia="Arial" w:hAnsi="Arial"/>
          <w:b/>
          <w:bCs/>
          <w:color w:val="2E75B6"/>
          <w:sz w:val="28"/>
          <w:szCs w:val="28"/>
        </w:rPr>
        <w:t xml:space="preserve">2.4 Design Principles</w:t>
      </w:r>
    </w:p>
    <w:p>
      <w:pPr>
        <w:spacing w:after="80" w:before="80"/>
      </w:pPr>
      <w:r>
        <w:rPr>
          <w:rFonts w:ascii="Arial" w:cs="Arial" w:eastAsia="Arial" w:hAnsi="Arial"/>
          <w:sz w:val="22"/>
          <w:szCs w:val="22"/>
        </w:rPr>
        <w:t xml:space="preserve">The following design principles govern decisions in this LLD: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Principle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Default Deny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Execution is denied unless explicitly permitted. Audit-then-enforce is not the go-live posture — block mode is applied from day one.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Least Privilege Policy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Allowlist policies are scoped to the minimum set of executables and publishers required for device function. No blanket path rules.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Separate PAW Posture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PAWs operate under a distinct, more restrictive policy set. Standard endpoint policy changes do not automatically propagate to PAWs.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Evidence-Based Policy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All allowlist rules are derived from discovery scans and application inventory. Ad hoc rule additions require change management approval.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Centralised Visibility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All block and audit events are forwarded to Google SecOps (Chronicle) for unified security monitoring and alerting.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Blueprint Alignment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All design decisions are traceable to ASD Blueprint controls and Essential Eight ML2 requirements.</w:t>
            </w:r>
          </w:p>
        </w:tc>
      </w:tr>
    </w:tbl>
    <w:p>
      <w:pPr>
        <w:spacing w:after="60" w:before="6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3. Architecture and Platform Design</w:t>
      </w:r>
    </w:p>
    <w:p>
      <w:pPr>
        <w:pStyle w:val="Heading2"/>
        <w:spacing w:after="80" w:before="240"/>
      </w:pPr>
      <w:r>
        <w:rPr>
          <w:rFonts w:ascii="Arial" w:cs="Arial" w:eastAsia="Arial" w:hAnsi="Arial"/>
          <w:b/>
          <w:bCs/>
          <w:color w:val="2E75B6"/>
          <w:sz w:val="28"/>
          <w:szCs w:val="28"/>
        </w:rPr>
        <w:t xml:space="preserve">3.1 Solution Overview</w:t>
      </w:r>
    </w:p>
    <w:p>
      <w:pPr>
        <w:spacing w:after="80" w:before="80"/>
      </w:pPr>
      <w:r>
        <w:rPr>
          <w:rFonts w:ascii="Arial" w:cs="Arial" w:eastAsia="Arial" w:hAnsi="Arial"/>
          <w:sz w:val="22"/>
          <w:szCs w:val="22"/>
        </w:rPr>
        <w:t xml:space="preserve">Airlock Digital consists of two primary components:</w:t>
      </w:r>
    </w:p>
    <w:p>
      <w:pPr>
        <w:pStyle w:val="ListParagraph"/>
        <w:numPr>
          <w:ilvl w:val="0"/>
          <w:numId w:val="2"/>
        </w:numPr>
        <w:spacing w:after="40" w:before="40"/>
      </w:pPr>
      <w:r>
        <w:rPr>
          <w:rFonts w:ascii="Arial" w:cs="Arial" w:eastAsia="Arial" w:hAnsi="Arial"/>
          <w:sz w:val="22"/>
          <w:szCs w:val="22"/>
        </w:rPr>
        <w:t xml:space="preserve">Airlock Digital Agent — a kernel-level driver and service deployed to each managed endpoint, responsible for policy enforcement, execution auditing, and telemetry forwarding.</w:t>
      </w:r>
    </w:p>
    <w:p>
      <w:pPr>
        <w:pStyle w:val="ListParagraph"/>
        <w:numPr>
          <w:ilvl w:val="0"/>
          <w:numId w:val="2"/>
        </w:numPr>
        <w:spacing w:after="40" w:before="40"/>
      </w:pPr>
      <w:r>
        <w:rPr>
          <w:rFonts w:ascii="Arial" w:cs="Arial" w:eastAsia="Arial" w:hAnsi="Arial"/>
          <w:sz w:val="22"/>
          <w:szCs w:val="22"/>
        </w:rPr>
        <w:t xml:space="preserve">Airlock Digital Management Console — the centralised web-based administration interface used to define and publish allowlist policies, manage agent deployments, review audit events, and generate compliance reports.</w:t>
      </w:r>
    </w:p>
    <w:p>
      <w:pPr>
        <w:spacing w:after="80" w:before="80"/>
      </w:pPr>
      <w:r>
        <w:rPr>
          <w:rFonts w:ascii="Arial" w:cs="Arial" w:eastAsia="Arial" w:hAnsi="Arial"/>
          <w:sz w:val="22"/>
          <w:szCs w:val="22"/>
        </w:rPr>
        <w:t xml:space="preserve">The agent communicates with the management console to receive policy updates and forward event telemetry. Communication occurs over HTTPS (TCP 443) using certificate-based mutual authentication.</w:t>
      </w:r>
    </w:p>
    <w:p>
      <w:pPr>
        <w:pStyle w:val="Heading2"/>
        <w:spacing w:after="80" w:before="240"/>
      </w:pPr>
      <w:r>
        <w:rPr>
          <w:rFonts w:ascii="Arial" w:cs="Arial" w:eastAsia="Arial" w:hAnsi="Arial"/>
          <w:b/>
          <w:bCs/>
          <w:color w:val="2E75B6"/>
          <w:sz w:val="28"/>
          <w:szCs w:val="28"/>
        </w:rPr>
        <w:t xml:space="preserve">3.2 Deployment Model — Open Design Decision</w:t>
      </w:r>
    </w:p>
    <w:p>
      <w:pPr>
        <w:spacing w:after="80" w:before="80"/>
      </w:pPr>
      <w:r>
        <w:rPr>
          <w:rFonts w:ascii="Arial" w:cs="Arial" w:eastAsia="Arial" w:hAnsi="Arial"/>
          <w:sz w:val="22"/>
          <w:szCs w:val="22"/>
        </w:rPr>
        <w:t xml:space="preserve">The deployment model for the Airlock Digital management console has not yet been finalised. Two options are under consideration. This section documents both options with their respective architectural implications to inform the procurement and platform decision.</w:t>
      </w:r>
    </w:p>
    <w:p>
      <w:pPr>
        <w:spacing w:after="60" w:before="60"/>
      </w:pPr>
      <w:r>
        <w:t xml:space="preserve"/>
      </w:r>
    </w:p>
    <w:p>
      <w:pPr>
        <w:pStyle w:val="Heading3"/>
        <w:spacing w:after="60" w:before="160"/>
      </w:pPr>
      <w:r>
        <w:rPr>
          <w:rFonts w:ascii="Arial" w:cs="Arial" w:eastAsia="Arial" w:hAnsi="Arial"/>
          <w:b/>
          <w:bCs/>
          <w:color w:val="595959"/>
          <w:sz w:val="24"/>
          <w:szCs w:val="24"/>
        </w:rPr>
        <w:t xml:space="preserve">DD-AIRLOCK-001: Airlock Management Console Deployment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42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ID</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Option</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Consideration</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Detail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DD-AIRLOCK-001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Option A — Airlock Cloud (SaaS)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Operational Overhead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manages infrastructure, patching, availability, and scaling. Minimal departmental operational overhead for the console tier.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Option A — Airlock Cloud (SaaS)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Data Residency</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Policy configuration data and audit event metadata are stored in Airlock's cloud infrastructure. Verify data residency commitments (Australian region hosting) prior to procurement.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Option A — Airlock Cloud (SaaS)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Connectivity Dependency</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Agents require outbound HTTPS to Airlock Cloud endpoints. Policy enforcement continues during outages via cached policy; event forwarding buffers locally.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Option B — On-Premises Server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Data Sovereignty</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Policy and event data remain within the departmental boundary. Suitable for environments with strict data sovereignty or classification requirements above OFFICIAL: Sensitive.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Option B — On-Premises Server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Operational Overhead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Department is responsible for server provisioning, patching, backup, high availability, and platform maintenance.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Option B — On-Premises Server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Infrastructure Fit</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Introduces an on-premises dependency inconsistent with the cloud-native EUC transformation direction. Requires server infrastructure to be provisioned and maintained.</w:t>
            </w:r>
          </w:p>
        </w:tc>
      </w:tr>
    </w:tbl>
    <w:p>
      <w:pPr>
        <w:spacing w:after="60" w:before="60"/>
      </w:pPr>
      <w:r>
        <w:t xml:space="preserve"/>
      </w:r>
    </w:p>
    <w:p>
      <w:pPr>
        <w:spacing w:after="80" w:before="80"/>
      </w:pPr>
      <w:r>
        <w:rPr>
          <w:rFonts w:ascii="Arial" w:cs="Arial" w:eastAsia="Arial" w:hAnsi="Arial"/>
          <w:b/>
          <w:bCs/>
          <w:sz w:val="22"/>
          <w:szCs w:val="22"/>
        </w:rPr>
        <w:t xml:space="preserve">Recommended: </w:t>
      </w:r>
      <w:r>
        <w:rPr>
          <w:rFonts w:ascii="Arial" w:cs="Arial" w:eastAsia="Arial" w:hAnsi="Arial"/>
          <w:sz w:val="22"/>
          <w:szCs w:val="22"/>
        </w:rPr>
        <w:t xml:space="preserve">Option A — Airlock Cloud (SaaS) is the preferred option.</w:t>
      </w:r>
    </w:p>
    <w:p>
      <w:pPr>
        <w:spacing w:after="80" w:before="80"/>
      </w:pPr>
      <w:r>
        <w:rPr>
          <w:rFonts w:ascii="Arial" w:cs="Arial" w:eastAsia="Arial" w:hAnsi="Arial"/>
          <w:b/>
          <w:bCs/>
          <w:sz w:val="22"/>
          <w:szCs w:val="22"/>
        </w:rPr>
        <w:t xml:space="preserve">Rationale: </w:t>
      </w:r>
      <w:r>
        <w:rPr>
          <w:rFonts w:ascii="Arial" w:cs="Arial" w:eastAsia="Arial" w:hAnsi="Arial"/>
          <w:sz w:val="22"/>
          <w:szCs w:val="22"/>
        </w:rPr>
        <w:t xml:space="preserve">The SaaS model aligns with the department's cloud-native transformation posture, reduces platform operational burden, and is consistent with the approach taken across other EUC platform components (Intune, Entra ID, Microsoft 365). Subject to confirmation of Australian data residency commitments from Airlock Digital prior to procurement finalisation.</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3.3 Network Connectivity Requirements</w:t>
      </w:r>
    </w:p>
    <w:p>
      <w:pPr>
        <w:spacing w:after="80" w:before="80"/>
      </w:pPr>
      <w:r>
        <w:rPr>
          <w:rFonts w:ascii="Arial" w:cs="Arial" w:eastAsia="Arial" w:hAnsi="Arial"/>
          <w:sz w:val="22"/>
          <w:szCs w:val="22"/>
        </w:rPr>
        <w:t xml:space="preserve">The following network connectivity is required regardless of deployment model for agent-to-console communication and telemetry forwarding. Firewall rules must be confirmed against the Airlock Digital published network requirements documentation at time of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Source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Destination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Protocol / Port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Windows 11 endpoint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Cloud / On-Prem console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HTTPS / TCP 443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Policy synchronisation and event forwarding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Windows 11 endpoint (agent)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Cloud / On-Prem console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HTTPS / TCP 443</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Agent registration and certificate exchange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PAW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Cloud / On-Prem console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HTTPS / TCP 443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Separate PAW policy synchronisation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console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Google SecOps (Chronicle) ingestion endpoint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HTTPS / TCP 443</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SIEM event forwarding (Syslog over HTTPS or Chronicle forwarder)</w:t>
            </w:r>
          </w:p>
        </w:tc>
      </w:tr>
    </w:tbl>
    <w:p>
      <w:pPr>
        <w:spacing w:after="60" w:before="60"/>
      </w:pPr>
      <w:r>
        <w:t xml:space="preserve"/>
      </w:r>
    </w:p>
    <w:p>
      <w:pPr>
        <w:spacing w:after="60" w:before="60"/>
      </w:pPr>
      <w:r>
        <w:rPr>
          <w:rFonts w:ascii="Arial" w:cs="Arial" w:eastAsia="Arial" w:hAnsi="Arial"/>
          <w:i/>
          <w:iCs/>
          <w:color w:val="595959"/>
          <w:sz w:val="20"/>
          <w:szCs w:val="20"/>
        </w:rPr>
        <w:t xml:space="preserve">NOTE: If Global Secure Access (GSA) is used as the network perimeter for these endpoints, confirm that the Airlock agent communication endpoints are permitted through GSA internet access policies. Agent traffic should not be subject to TLS inspection that could break mutual TLS authentication.</w:t>
      </w:r>
    </w:p>
    <w:p>
      <w:pPr>
        <w:spacing w:after="60" w:before="6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4. Agent Deployment Design</w:t>
      </w:r>
    </w:p>
    <w:p>
      <w:pPr>
        <w:pStyle w:val="Heading2"/>
        <w:spacing w:after="80" w:before="240"/>
      </w:pPr>
      <w:r>
        <w:rPr>
          <w:rFonts w:ascii="Arial" w:cs="Arial" w:eastAsia="Arial" w:hAnsi="Arial"/>
          <w:b/>
          <w:bCs/>
          <w:color w:val="2E75B6"/>
          <w:sz w:val="28"/>
          <w:szCs w:val="28"/>
        </w:rPr>
        <w:t xml:space="preserve">4.1 Deployment Mechanism</w:t>
      </w:r>
    </w:p>
    <w:p>
      <w:pPr>
        <w:spacing w:after="80" w:before="80"/>
      </w:pPr>
      <w:r>
        <w:rPr>
          <w:rFonts w:ascii="Arial" w:cs="Arial" w:eastAsia="Arial" w:hAnsi="Arial"/>
          <w:sz w:val="22"/>
          <w:szCs w:val="22"/>
        </w:rPr>
        <w:t xml:space="preserve">The Airlock Digital agent will be deployed to all in-scope Windows 11 devices via Microsoft Intune as a Win32 application package. This aligns with the cloud-native EUC architecture and eliminates any SCCM dependency for this workload.</w:t>
      </w:r>
    </w:p>
    <w:p>
      <w:pPr>
        <w:spacing w:after="80" w:before="80"/>
      </w:pPr>
      <w:r>
        <w:rPr>
          <w:rFonts w:ascii="Arial" w:cs="Arial" w:eastAsia="Arial" w:hAnsi="Arial"/>
          <w:sz w:val="22"/>
          <w:szCs w:val="22"/>
        </w:rPr>
        <w:t xml:space="preserve">Agent deployment follows the same Win32 app packaging and deployment pipeline used for other endpoint agents in the EUC environment (e.g., Microsoft Defender for Endpoint onboarding, Google SecOps Chronicle Forwarder).</w:t>
      </w:r>
    </w:p>
    <w:p>
      <w:pPr>
        <w:pStyle w:val="Heading2"/>
        <w:spacing w:after="80" w:before="240"/>
      </w:pPr>
      <w:r>
        <w:rPr>
          <w:rFonts w:ascii="Arial" w:cs="Arial" w:eastAsia="Arial" w:hAnsi="Arial"/>
          <w:b/>
          <w:bCs/>
          <w:color w:val="2E75B6"/>
          <w:sz w:val="28"/>
          <w:szCs w:val="28"/>
        </w:rPr>
        <w:t xml:space="preserve">4.2 Win32 App Package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Package 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Win32 App (.intunewin)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Installer Format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MSI or EXE installer (vendor-supplied)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Packaging Tool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Microsoft Win32 Content Prep Tool (IntuneWinAppUtil.exe)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Install Context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System (SYSTEM account, not user context)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Install Command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Vendor-supplied MSI: msiexec /i AirlockAgent.msi /qn CONSOLE=[console_url] TOKEN=[enrolment_token]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Uninstall Command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msiexec /x {PRODUCT_GUID} /qn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Detection Method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Registry key or file existence — confirm with vendor-supplied GUID at packaging time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Return Codes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0 = success, 3010 = success with reboot required, 1603 = failure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Restart Behaviour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Determine reboot requirement with vendor. If required, configure Intune restart grace period (recommend 240 minutes for business hours deployments)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Assignment Type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Required — assigned to device groups, not user groups</w:t>
            </w:r>
          </w:p>
        </w:tc>
      </w:tr>
    </w:tbl>
    <w:p>
      <w:pPr>
        <w:spacing w:after="60" w:before="60"/>
      </w:pPr>
      <w:r>
        <w:t xml:space="preserve"/>
      </w:r>
    </w:p>
    <w:p>
      <w:pPr>
        <w:spacing w:after="60" w:before="60"/>
      </w:pPr>
      <w:r>
        <w:rPr>
          <w:rFonts w:ascii="Arial" w:cs="Arial" w:eastAsia="Arial" w:hAnsi="Arial"/>
          <w:i/>
          <w:iCs/>
          <w:color w:val="595959"/>
          <w:sz w:val="20"/>
          <w:szCs w:val="20"/>
        </w:rPr>
        <w:t xml:space="preserve">NOTE: Exact installer command-line parameters, enrolment tokens, and product GUIDs must be obtained from Airlock Digital at procurement and confirmed prior to packaging. The values above are illustrative.</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4.3 Intune Device Group Targeting</w:t>
      </w:r>
    </w:p>
    <w:p>
      <w:pPr>
        <w:spacing w:after="80" w:before="80"/>
      </w:pPr>
      <w:r>
        <w:rPr>
          <w:rFonts w:ascii="Arial" w:cs="Arial" w:eastAsia="Arial" w:hAnsi="Arial"/>
          <w:sz w:val="22"/>
          <w:szCs w:val="22"/>
        </w:rPr>
        <w:t xml:space="preserve">Agent deployment is scoped to two distinct Entra ID device groups, enabling independent policy targeting for standard endpoints and PAWs.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Entra ID Group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Membership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Scope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Intune App Assignment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EUC-Airlock-StandardEndpoints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Dynamic (device)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All Windows 11 standard endpoints (~2,500 devices)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Required — Airlock Agent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EUC-Airlock-PAW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Dynamic (device)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All PAW devices (count TBC)</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Required — Airlock Agent (PAW policy variant if separate installer token used)</w:t>
            </w:r>
          </w:p>
        </w:tc>
      </w:tr>
    </w:tbl>
    <w:p>
      <w:pPr>
        <w:spacing w:after="60" w:before="60"/>
      </w:pPr>
      <w:r>
        <w:t xml:space="preserve"/>
      </w:r>
    </w:p>
    <w:p>
      <w:pPr>
        <w:spacing w:after="80" w:before="80"/>
      </w:pPr>
      <w:r>
        <w:rPr>
          <w:rFonts w:ascii="Arial" w:cs="Arial" w:eastAsia="Arial" w:hAnsi="Arial"/>
          <w:sz w:val="22"/>
          <w:szCs w:val="22"/>
        </w:rPr>
        <w:t xml:space="preserve">Dynamic membership rules should be scoped using the Intune device category or a dedicated Entra ID extension attribute assigned at Autopilot enrolment time. This ensures devices are correctly assigned on first enrolment without manual intervention.</w:t>
      </w:r>
    </w:p>
    <w:p>
      <w:pPr>
        <w:pStyle w:val="Heading2"/>
        <w:spacing w:after="80" w:before="240"/>
      </w:pPr>
      <w:r>
        <w:rPr>
          <w:rFonts w:ascii="Arial" w:cs="Arial" w:eastAsia="Arial" w:hAnsi="Arial"/>
          <w:b/>
          <w:bCs/>
          <w:color w:val="2E75B6"/>
          <w:sz w:val="28"/>
          <w:szCs w:val="28"/>
        </w:rPr>
        <w:t xml:space="preserve">4.4 Deployment Sequencing</w:t>
      </w:r>
    </w:p>
    <w:p>
      <w:pPr>
        <w:spacing w:after="80" w:before="80"/>
      </w:pPr>
      <w:r>
        <w:rPr>
          <w:rFonts w:ascii="Arial" w:cs="Arial" w:eastAsia="Arial" w:hAnsi="Arial"/>
          <w:sz w:val="22"/>
          <w:szCs w:val="22"/>
        </w:rPr>
        <w:t xml:space="preserve">Agent deployment must be sequenced to occur after core platform agents are installed and device baseline configuration is applied. The recommended deployment order is:</w:t>
      </w:r>
    </w:p>
    <w:p>
      <w:pPr>
        <w:pStyle w:val="ListParagraph"/>
        <w:numPr>
          <w:ilvl w:val="0"/>
          <w:numId w:val="2"/>
        </w:numPr>
        <w:spacing w:after="40" w:before="40"/>
      </w:pPr>
      <w:r>
        <w:rPr>
          <w:rFonts w:ascii="Arial" w:cs="Arial" w:eastAsia="Arial" w:hAnsi="Arial"/>
          <w:sz w:val="22"/>
          <w:szCs w:val="22"/>
        </w:rPr>
        <w:t xml:space="preserve">1. Microsoft Defender for Endpoint (MDE) onboarding — required to be functional before Airlock enforcement begins, as MDE generates telemetry that correlates with Airlock block events in Google SecOps.</w:t>
      </w:r>
    </w:p>
    <w:p>
      <w:pPr>
        <w:pStyle w:val="ListParagraph"/>
        <w:numPr>
          <w:ilvl w:val="0"/>
          <w:numId w:val="2"/>
        </w:numPr>
        <w:spacing w:after="40" w:before="40"/>
      </w:pPr>
      <w:r>
        <w:rPr>
          <w:rFonts w:ascii="Arial" w:cs="Arial" w:eastAsia="Arial" w:hAnsi="Arial"/>
          <w:sz w:val="22"/>
          <w:szCs w:val="22"/>
        </w:rPr>
        <w:t xml:space="preserve">2. Chronicle Forwarder / Google SecOps onboarding agent (if applicable).</w:t>
      </w:r>
    </w:p>
    <w:p>
      <w:pPr>
        <w:pStyle w:val="ListParagraph"/>
        <w:numPr>
          <w:ilvl w:val="0"/>
          <w:numId w:val="2"/>
        </w:numPr>
        <w:spacing w:after="40" w:before="40"/>
      </w:pPr>
      <w:r>
        <w:rPr>
          <w:rFonts w:ascii="Arial" w:cs="Arial" w:eastAsia="Arial" w:hAnsi="Arial"/>
          <w:sz w:val="22"/>
          <w:szCs w:val="22"/>
        </w:rPr>
        <w:t xml:space="preserve">3. Airlock Digital Agent deployment.</w:t>
      </w:r>
    </w:p>
    <w:p>
      <w:pPr>
        <w:pStyle w:val="ListParagraph"/>
        <w:numPr>
          <w:ilvl w:val="0"/>
          <w:numId w:val="2"/>
        </w:numPr>
        <w:spacing w:after="40" w:before="40"/>
      </w:pPr>
      <w:r>
        <w:rPr>
          <w:rFonts w:ascii="Arial" w:cs="Arial" w:eastAsia="Arial" w:hAnsi="Arial"/>
          <w:sz w:val="22"/>
          <w:szCs w:val="22"/>
        </w:rPr>
        <w:t xml:space="preserve">4. Airlock policy push from console (occurs post-agent registration).</w:t>
      </w:r>
    </w:p>
    <w:p>
      <w:pPr>
        <w:spacing w:after="60" w:before="60"/>
      </w:pPr>
      <w:r>
        <w:t xml:space="preserve"/>
      </w:r>
    </w:p>
    <w:p>
      <w:pPr>
        <w:spacing w:after="60" w:before="60"/>
      </w:pPr>
      <w:r>
        <w:rPr>
          <w:rFonts w:ascii="Arial" w:cs="Arial" w:eastAsia="Arial" w:hAnsi="Arial"/>
          <w:i/>
          <w:iCs/>
          <w:color w:val="595959"/>
          <w:sz w:val="20"/>
          <w:szCs w:val="20"/>
        </w:rPr>
        <w:t xml:space="preserve">NOTE: Airlock policy enforcement begins as soon as the agent registers with the console and receives its initial policy. Ensure the baseline allowlist policy is staged in the console prior to deploying agents to production devices.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4.5 Agent Verification</w:t>
      </w:r>
    </w:p>
    <w:p>
      <w:pPr>
        <w:spacing w:after="80" w:before="80"/>
      </w:pPr>
      <w:r>
        <w:rPr>
          <w:rFonts w:ascii="Arial" w:cs="Arial" w:eastAsia="Arial" w:hAnsi="Arial"/>
          <w:sz w:val="22"/>
          <w:szCs w:val="22"/>
        </w:rPr>
        <w:t xml:space="preserve">Post-deployment verification should confirm:</w:t>
      </w:r>
    </w:p>
    <w:p>
      <w:pPr>
        <w:pStyle w:val="ListParagraph"/>
        <w:numPr>
          <w:ilvl w:val="0"/>
          <w:numId w:val="2"/>
        </w:numPr>
        <w:spacing w:after="40" w:before="40"/>
      </w:pPr>
      <w:r>
        <w:rPr>
          <w:rFonts w:ascii="Arial" w:cs="Arial" w:eastAsia="Arial" w:hAnsi="Arial"/>
          <w:sz w:val="22"/>
          <w:szCs w:val="22"/>
        </w:rPr>
        <w:t xml:space="preserve">Airlock service is running (AirlockDigital or equivalent — confirm service name with vendor)</w:t>
      </w:r>
    </w:p>
    <w:p>
      <w:pPr>
        <w:pStyle w:val="ListParagraph"/>
        <w:numPr>
          <w:ilvl w:val="0"/>
          <w:numId w:val="2"/>
        </w:numPr>
        <w:spacing w:after="40" w:before="40"/>
      </w:pPr>
      <w:r>
        <w:rPr>
          <w:rFonts w:ascii="Arial" w:cs="Arial" w:eastAsia="Arial" w:hAnsi="Arial"/>
          <w:sz w:val="22"/>
          <w:szCs w:val="22"/>
        </w:rPr>
        <w:t xml:space="preserve">Agent appears as registered in Airlock console under the correct device group</w:t>
      </w:r>
    </w:p>
    <w:p>
      <w:pPr>
        <w:pStyle w:val="ListParagraph"/>
        <w:numPr>
          <w:ilvl w:val="0"/>
          <w:numId w:val="2"/>
        </w:numPr>
        <w:spacing w:after="40" w:before="40"/>
      </w:pPr>
      <w:r>
        <w:rPr>
          <w:rFonts w:ascii="Arial" w:cs="Arial" w:eastAsia="Arial" w:hAnsi="Arial"/>
          <w:sz w:val="22"/>
          <w:szCs w:val="22"/>
        </w:rPr>
        <w:t xml:space="preserve">Device is receiving the correct policy (standard or PAW)</w:t>
      </w:r>
    </w:p>
    <w:p>
      <w:pPr>
        <w:pStyle w:val="ListParagraph"/>
        <w:numPr>
          <w:ilvl w:val="0"/>
          <w:numId w:val="2"/>
        </w:numPr>
        <w:spacing w:after="40" w:before="40"/>
      </w:pPr>
      <w:r>
        <w:rPr>
          <w:rFonts w:ascii="Arial" w:cs="Arial" w:eastAsia="Arial" w:hAnsi="Arial"/>
          <w:sz w:val="22"/>
          <w:szCs w:val="22"/>
        </w:rPr>
        <w:t xml:space="preserve">Initial audit/block events are visible in the Airlock console event log</w:t>
      </w:r>
    </w:p>
    <w:p>
      <w:pPr>
        <w:pStyle w:val="ListParagraph"/>
        <w:numPr>
          <w:ilvl w:val="0"/>
          <w:numId w:val="2"/>
        </w:numPr>
        <w:spacing w:after="40" w:before="40"/>
      </w:pPr>
      <w:r>
        <w:rPr>
          <w:rFonts w:ascii="Arial" w:cs="Arial" w:eastAsia="Arial" w:hAnsi="Arial"/>
          <w:sz w:val="22"/>
          <w:szCs w:val="22"/>
        </w:rPr>
        <w:t xml:space="preserve">Events are appearing in Google SecOps within expected ingestion latency</w:t>
      </w:r>
    </w:p>
    <w:p>
      <w:pPr>
        <w:spacing w:after="80" w:before="80"/>
      </w:pPr>
      <w:r>
        <w:rPr>
          <w:rFonts w:ascii="Arial" w:cs="Arial" w:eastAsia="Arial" w:hAnsi="Arial"/>
          <w:sz w:val="22"/>
          <w:szCs w:val="22"/>
        </w:rPr>
        <w:t xml:space="preserve">Intune device compliance policy should include a custom compliance script that validates Airlock agent health if the vendor provides a supported health check mechanism.</w:t>
      </w:r>
    </w:p>
    <w:p>
      <w:pPr>
        <w:spacing w:after="60" w:before="6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5. Application Allowlisting Policy Design</w:t>
      </w:r>
    </w:p>
    <w:p>
      <w:pPr>
        <w:pStyle w:val="Heading2"/>
        <w:spacing w:after="80" w:before="240"/>
      </w:pPr>
      <w:r>
        <w:rPr>
          <w:rFonts w:ascii="Arial" w:cs="Arial" w:eastAsia="Arial" w:hAnsi="Arial"/>
          <w:b/>
          <w:bCs/>
          <w:color w:val="2E75B6"/>
          <w:sz w:val="28"/>
          <w:szCs w:val="28"/>
        </w:rPr>
        <w:t xml:space="preserve">5.1 Policy Architecture Overview</w:t>
      </w:r>
    </w:p>
    <w:p>
      <w:pPr>
        <w:spacing w:after="80" w:before="80"/>
      </w:pPr>
      <w:r>
        <w:rPr>
          <w:rFonts w:ascii="Arial" w:cs="Arial" w:eastAsia="Arial" w:hAnsi="Arial"/>
          <w:sz w:val="22"/>
          <w:szCs w:val="22"/>
        </w:rPr>
        <w:t xml:space="preserve">Airlock Digital policy is structured as a hierarchical allowlist. Execution is denied by default unless a matching allow rule exists. Two distinct top-level policies are defined — a Standard Endpoint Policy and a PAW Policy — each targeting their respective device groups.</w:t>
      </w:r>
    </w:p>
    <w:p>
      <w:pPr>
        <w:spacing w:after="80" w:before="80"/>
      </w:pPr>
      <w:r>
        <w:rPr>
          <w:rFonts w:ascii="Arial" w:cs="Arial" w:eastAsia="Arial" w:hAnsi="Arial"/>
          <w:sz w:val="22"/>
          <w:szCs w:val="22"/>
        </w:rPr>
        <w:t xml:space="preserve">Rules within each policy are applied in the following precedence order (highest to lowest):</w:t>
      </w:r>
    </w:p>
    <w:p>
      <w:pPr>
        <w:pStyle w:val="ListParagraph"/>
        <w:numPr>
          <w:ilvl w:val="0"/>
          <w:numId w:val="2"/>
        </w:numPr>
        <w:spacing w:after="40" w:before="40"/>
      </w:pPr>
      <w:r>
        <w:rPr>
          <w:rFonts w:ascii="Arial" w:cs="Arial" w:eastAsia="Arial" w:hAnsi="Arial"/>
          <w:sz w:val="22"/>
          <w:szCs w:val="22"/>
        </w:rPr>
        <w:t xml:space="preserve">1. Explicit block rules (override all allow rules — reserved for known-malicious hashes)</w:t>
      </w:r>
    </w:p>
    <w:p>
      <w:pPr>
        <w:pStyle w:val="ListParagraph"/>
        <w:numPr>
          <w:ilvl w:val="0"/>
          <w:numId w:val="2"/>
        </w:numPr>
        <w:spacing w:after="40" w:before="40"/>
      </w:pPr>
      <w:r>
        <w:rPr>
          <w:rFonts w:ascii="Arial" w:cs="Arial" w:eastAsia="Arial" w:hAnsi="Arial"/>
          <w:sz w:val="22"/>
          <w:szCs w:val="22"/>
        </w:rPr>
        <w:t xml:space="preserve">2. Publisher rules (trusted code signing certificate chains)</w:t>
      </w:r>
    </w:p>
    <w:p>
      <w:pPr>
        <w:pStyle w:val="ListParagraph"/>
        <w:numPr>
          <w:ilvl w:val="0"/>
          <w:numId w:val="2"/>
        </w:numPr>
        <w:spacing w:after="40" w:before="40"/>
      </w:pPr>
      <w:r>
        <w:rPr>
          <w:rFonts w:ascii="Arial" w:cs="Arial" w:eastAsia="Arial" w:hAnsi="Arial"/>
          <w:sz w:val="22"/>
          <w:szCs w:val="22"/>
        </w:rPr>
        <w:t xml:space="preserve">3. Hash rules (SHA-256 hash of specific executables)</w:t>
      </w:r>
    </w:p>
    <w:p>
      <w:pPr>
        <w:pStyle w:val="ListParagraph"/>
        <w:numPr>
          <w:ilvl w:val="0"/>
          <w:numId w:val="2"/>
        </w:numPr>
        <w:spacing w:after="40" w:before="40"/>
      </w:pPr>
      <w:r>
        <w:rPr>
          <w:rFonts w:ascii="Arial" w:cs="Arial" w:eastAsia="Arial" w:hAnsi="Arial"/>
          <w:sz w:val="22"/>
          <w:szCs w:val="22"/>
        </w:rPr>
        <w:t xml:space="preserve">4. Trusted path / trusted installer exemptions (SYSTEM-context paths only — see Section 5.4)</w:t>
      </w:r>
    </w:p>
    <w:p>
      <w:pPr>
        <w:spacing w:after="60" w:before="60"/>
      </w:pPr>
      <w:r>
        <w:t xml:space="preserve"/>
      </w:r>
    </w:p>
    <w:p>
      <w:pPr>
        <w:spacing w:after="60" w:before="60"/>
      </w:pPr>
      <w:r>
        <w:rPr>
          <w:rFonts w:ascii="Arial" w:cs="Arial" w:eastAsia="Arial" w:hAnsi="Arial"/>
          <w:i/>
          <w:iCs/>
          <w:color w:val="595959"/>
          <w:sz w:val="20"/>
          <w:szCs w:val="20"/>
        </w:rPr>
        <w:t xml:space="preserve">NOTE: Path-based rules permitting user-accessible paths (e.g., user profile, Downloads) are not used in this design. Path rules are restricted to SYSTEM-context installer paths only.</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5.2 Layered Policy Model — Publisher Primary, Hash Fallback</w:t>
      </w:r>
    </w:p>
    <w:p>
      <w:pPr>
        <w:pStyle w:val="Heading3"/>
        <w:spacing w:after="60" w:before="160"/>
      </w:pPr>
      <w:r>
        <w:rPr>
          <w:rFonts w:ascii="Arial" w:cs="Arial" w:eastAsia="Arial" w:hAnsi="Arial"/>
          <w:b/>
          <w:bCs/>
          <w:color w:val="595959"/>
          <w:sz w:val="24"/>
          <w:szCs w:val="24"/>
        </w:rPr>
        <w:t xml:space="preserve">5.2.1 Publisher Rules</w:t>
      </w:r>
    </w:p>
    <w:p>
      <w:pPr>
        <w:spacing w:after="80" w:before="80"/>
      </w:pPr>
      <w:r>
        <w:rPr>
          <w:rFonts w:ascii="Arial" w:cs="Arial" w:eastAsia="Arial" w:hAnsi="Arial"/>
          <w:sz w:val="22"/>
          <w:szCs w:val="22"/>
        </w:rPr>
        <w:t xml:space="preserve">Publisher rules trust all executables signed by a specified code signing certificate chain. This is the preferred rule type as it accommodates software updates without requiring policy changes, provided the publisher maintains the same certificate chain.</w:t>
      </w:r>
    </w:p>
    <w:p>
      <w:pPr>
        <w:spacing w:after="80" w:before="80"/>
      </w:pPr>
      <w:r>
        <w:rPr>
          <w:rFonts w:ascii="Arial" w:cs="Arial" w:eastAsia="Arial" w:hAnsi="Arial"/>
          <w:sz w:val="22"/>
          <w:szCs w:val="22"/>
        </w:rPr>
        <w:t xml:space="preserve">Publisher rules are configured with the following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Certificate Level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Publisher (Common Name of the leaf certificate) — minimum. Root CA only is not acceptable at ML2.</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Minimum Version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Configured where the publisher has a known-good minimum version to exclude legacy vulnerable releases.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Scope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Applies to all executable types covered by Airlock policy (EXE, DLL, scripts — per vendor capability).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Trusted Publishers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Derived from discovery scan output. Initial list built during baselining period. See Section 5.3.</w:t>
            </w:r>
          </w:p>
        </w:tc>
      </w:tr>
    </w:tbl>
    <w:p>
      <w:pPr>
        <w:spacing w:after="60" w:before="60"/>
      </w:pPr>
      <w:r>
        <w:t xml:space="preserve"/>
      </w:r>
    </w:p>
    <w:p>
      <w:pPr>
        <w:pStyle w:val="Heading3"/>
        <w:spacing w:after="60" w:before="160"/>
      </w:pPr>
      <w:r>
        <w:rPr>
          <w:rFonts w:ascii="Arial" w:cs="Arial" w:eastAsia="Arial" w:hAnsi="Arial"/>
          <w:b/>
          <w:bCs/>
          <w:color w:val="595959"/>
          <w:sz w:val="24"/>
          <w:szCs w:val="24"/>
        </w:rPr>
        <w:t xml:space="preserve">5.2.2 Hash Rules</w:t>
      </w:r>
    </w:p>
    <w:p>
      <w:pPr>
        <w:spacing w:after="80" w:before="80"/>
      </w:pPr>
      <w:r>
        <w:rPr>
          <w:rFonts w:ascii="Arial" w:cs="Arial" w:eastAsia="Arial" w:hAnsi="Arial"/>
          <w:sz w:val="22"/>
          <w:szCs w:val="22"/>
        </w:rPr>
        <w:t xml:space="preserve">Hash rules (SHA-256) are used where a publisher rule cannot be applied — typically for:</w:t>
      </w:r>
    </w:p>
    <w:p>
      <w:pPr>
        <w:pStyle w:val="ListParagraph"/>
        <w:numPr>
          <w:ilvl w:val="0"/>
          <w:numId w:val="2"/>
        </w:numPr>
        <w:spacing w:after="40" w:before="40"/>
      </w:pPr>
      <w:r>
        <w:rPr>
          <w:rFonts w:ascii="Arial" w:cs="Arial" w:eastAsia="Arial" w:hAnsi="Arial"/>
          <w:sz w:val="22"/>
          <w:szCs w:val="22"/>
        </w:rPr>
        <w:t xml:space="preserve">Unsigned executables (internal tooling, legacy utilities)</w:t>
      </w:r>
    </w:p>
    <w:p>
      <w:pPr>
        <w:pStyle w:val="ListParagraph"/>
        <w:numPr>
          <w:ilvl w:val="0"/>
          <w:numId w:val="2"/>
        </w:numPr>
        <w:spacing w:after="40" w:before="40"/>
      </w:pPr>
      <w:r>
        <w:rPr>
          <w:rFonts w:ascii="Arial" w:cs="Arial" w:eastAsia="Arial" w:hAnsi="Arial"/>
          <w:sz w:val="22"/>
          <w:szCs w:val="22"/>
        </w:rPr>
        <w:t xml:space="preserve">Executables signed by a shared publisher certificate not appropriate to trust broadly (e.g., a shared Microsoft certificate used by too many products)</w:t>
      </w:r>
    </w:p>
    <w:p>
      <w:pPr>
        <w:pStyle w:val="ListParagraph"/>
        <w:numPr>
          <w:ilvl w:val="0"/>
          <w:numId w:val="2"/>
        </w:numPr>
        <w:spacing w:after="40" w:before="40"/>
      </w:pPr>
      <w:r>
        <w:rPr>
          <w:rFonts w:ascii="Arial" w:cs="Arial" w:eastAsia="Arial" w:hAnsi="Arial"/>
          <w:sz w:val="22"/>
          <w:szCs w:val="22"/>
        </w:rPr>
        <w:t xml:space="preserve">Specific approved versions of software pending publisher rule approval</w:t>
      </w:r>
    </w:p>
    <w:p>
      <w:pPr>
        <w:spacing w:after="60" w:before="60"/>
      </w:pPr>
      <w:r>
        <w:t xml:space="preserve"/>
      </w:r>
    </w:p>
    <w:p>
      <w:pPr>
        <w:spacing w:after="80" w:before="80"/>
      </w:pPr>
      <w:r>
        <w:rPr>
          <w:rFonts w:ascii="Arial" w:cs="Arial" w:eastAsia="Arial" w:hAnsi="Arial"/>
          <w:sz w:val="22"/>
          <w:szCs w:val="22"/>
        </w:rPr>
        <w:t xml:space="preserve">Hash rules must be reviewed when software is updated, as the hash will change. A hash rule review process should be incorporated into the software update management workflow.</w:t>
      </w:r>
    </w:p>
    <w:p>
      <w:pPr>
        <w:pStyle w:val="Heading3"/>
        <w:spacing w:after="60" w:before="160"/>
      </w:pPr>
      <w:r>
        <w:rPr>
          <w:rFonts w:ascii="Arial" w:cs="Arial" w:eastAsia="Arial" w:hAnsi="Arial"/>
          <w:b/>
          <w:bCs/>
          <w:color w:val="595959"/>
          <w:sz w:val="24"/>
          <w:szCs w:val="24"/>
        </w:rPr>
        <w:t xml:space="preserve">5.2.3 Rule Approval Workflow</w:t>
      </w:r>
    </w:p>
    <w:p>
      <w:pPr>
        <w:spacing w:after="80" w:before="80"/>
      </w:pPr>
      <w:r>
        <w:rPr>
          <w:rFonts w:ascii="Arial" w:cs="Arial" w:eastAsia="Arial" w:hAnsi="Arial"/>
          <w:sz w:val="22"/>
          <w:szCs w:val="22"/>
        </w:rPr>
        <w:t xml:space="preserve">All new allowlist rules require change management approval before publication to production policy. The approval workflow is:</w:t>
      </w:r>
    </w:p>
    <w:p>
      <w:pPr>
        <w:pStyle w:val="ListParagraph"/>
        <w:numPr>
          <w:ilvl w:val="0"/>
          <w:numId w:val="2"/>
        </w:numPr>
        <w:spacing w:after="40" w:before="40"/>
      </w:pPr>
      <w:r>
        <w:rPr>
          <w:rFonts w:ascii="Arial" w:cs="Arial" w:eastAsia="Arial" w:hAnsi="Arial"/>
          <w:sz w:val="22"/>
          <w:szCs w:val="22"/>
        </w:rPr>
        <w:t xml:space="preserve">1. Engineer identifies executable requiring allowlisting (from block event or pre-deployment scan)</w:t>
      </w:r>
    </w:p>
    <w:p>
      <w:pPr>
        <w:pStyle w:val="ListParagraph"/>
        <w:numPr>
          <w:ilvl w:val="0"/>
          <w:numId w:val="2"/>
        </w:numPr>
        <w:spacing w:after="40" w:before="40"/>
      </w:pPr>
      <w:r>
        <w:rPr>
          <w:rFonts w:ascii="Arial" w:cs="Arial" w:eastAsia="Arial" w:hAnsi="Arial"/>
          <w:sz w:val="22"/>
          <w:szCs w:val="22"/>
        </w:rPr>
        <w:t xml:space="preserve">2. Publisher rule assessed — if publisher is suitable, publisher rule raised for approval</w:t>
      </w:r>
    </w:p>
    <w:p>
      <w:pPr>
        <w:pStyle w:val="ListParagraph"/>
        <w:numPr>
          <w:ilvl w:val="0"/>
          <w:numId w:val="2"/>
        </w:numPr>
        <w:spacing w:after="40" w:before="40"/>
      </w:pPr>
      <w:r>
        <w:rPr>
          <w:rFonts w:ascii="Arial" w:cs="Arial" w:eastAsia="Arial" w:hAnsi="Arial"/>
          <w:sz w:val="22"/>
          <w:szCs w:val="22"/>
        </w:rPr>
        <w:t xml:space="preserve">3. If publisher rule not suitable, hash rule raised with justification</w:t>
      </w:r>
    </w:p>
    <w:p>
      <w:pPr>
        <w:pStyle w:val="ListParagraph"/>
        <w:numPr>
          <w:ilvl w:val="0"/>
          <w:numId w:val="2"/>
        </w:numPr>
        <w:spacing w:after="40" w:before="40"/>
      </w:pPr>
      <w:r>
        <w:rPr>
          <w:rFonts w:ascii="Arial" w:cs="Arial" w:eastAsia="Arial" w:hAnsi="Arial"/>
          <w:sz w:val="22"/>
          <w:szCs w:val="22"/>
        </w:rPr>
        <w:t xml:space="preserve">4. Change record raised in departmental ITSM tool with supporting evidence (file metadata, publisher certificate details, business justification)</w:t>
      </w:r>
    </w:p>
    <w:p>
      <w:pPr>
        <w:pStyle w:val="ListParagraph"/>
        <w:numPr>
          <w:ilvl w:val="0"/>
          <w:numId w:val="2"/>
        </w:numPr>
        <w:spacing w:after="40" w:before="40"/>
      </w:pPr>
      <w:r>
        <w:rPr>
          <w:rFonts w:ascii="Arial" w:cs="Arial" w:eastAsia="Arial" w:hAnsi="Arial"/>
          <w:sz w:val="22"/>
          <w:szCs w:val="22"/>
        </w:rPr>
        <w:t xml:space="preserve">5. Security team review and approval</w:t>
      </w:r>
    </w:p>
    <w:p>
      <w:pPr>
        <w:pStyle w:val="ListParagraph"/>
        <w:numPr>
          <w:ilvl w:val="0"/>
          <w:numId w:val="2"/>
        </w:numPr>
        <w:spacing w:after="40" w:before="40"/>
      </w:pPr>
      <w:r>
        <w:rPr>
          <w:rFonts w:ascii="Arial" w:cs="Arial" w:eastAsia="Arial" w:hAnsi="Arial"/>
          <w:sz w:val="22"/>
          <w:szCs w:val="22"/>
        </w:rPr>
        <w:t xml:space="preserve">6. Rule added to Airlock console staging environment and validated</w:t>
      </w:r>
    </w:p>
    <w:p>
      <w:pPr>
        <w:pStyle w:val="ListParagraph"/>
        <w:numPr>
          <w:ilvl w:val="0"/>
          <w:numId w:val="2"/>
        </w:numPr>
        <w:spacing w:after="40" w:before="40"/>
      </w:pPr>
      <w:r>
        <w:rPr>
          <w:rFonts w:ascii="Arial" w:cs="Arial" w:eastAsia="Arial" w:hAnsi="Arial"/>
          <w:sz w:val="22"/>
          <w:szCs w:val="22"/>
        </w:rPr>
        <w:t xml:space="preserve">7. Rule published to production policy</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5.3 Initial Policy Baselining</w:t>
      </w:r>
    </w:p>
    <w:p>
      <w:pPr>
        <w:spacing w:after="80" w:before="80"/>
      </w:pPr>
      <w:r>
        <w:rPr>
          <w:rFonts w:ascii="Arial" w:cs="Arial" w:eastAsia="Arial" w:hAnsi="Arial"/>
          <w:sz w:val="22"/>
          <w:szCs w:val="22"/>
        </w:rPr>
        <w:t xml:space="preserve">Prior to agent deployment in enforcement mode, a discovery phase must be completed to build the initial allowlist. The baselining process is:</w:t>
      </w:r>
    </w:p>
    <w:p>
      <w:pPr>
        <w:pStyle w:val="ListParagraph"/>
        <w:numPr>
          <w:ilvl w:val="0"/>
          <w:numId w:val="2"/>
        </w:numPr>
        <w:spacing w:after="40" w:before="40"/>
      </w:pPr>
      <w:r>
        <w:rPr>
          <w:rFonts w:ascii="Arial" w:cs="Arial" w:eastAsia="Arial" w:hAnsi="Arial"/>
          <w:sz w:val="22"/>
          <w:szCs w:val="22"/>
        </w:rPr>
        <w:t xml:space="preserve">1. Deploy Airlock agent in audit (monitor) mode to a representative pilot group of standard endpoints (recommended: 50–100 devices across typical user personas)</w:t>
      </w:r>
    </w:p>
    <w:p>
      <w:pPr>
        <w:pStyle w:val="ListParagraph"/>
        <w:numPr>
          <w:ilvl w:val="0"/>
          <w:numId w:val="2"/>
        </w:numPr>
        <w:spacing w:after="40" w:before="40"/>
      </w:pPr>
      <w:r>
        <w:rPr>
          <w:rFonts w:ascii="Arial" w:cs="Arial" w:eastAsia="Arial" w:hAnsi="Arial"/>
          <w:sz w:val="22"/>
          <w:szCs w:val="22"/>
        </w:rPr>
        <w:t xml:space="preserve">2. Allow a minimum 10 business days of normal operation to capture the full application execution profile</w:t>
      </w:r>
    </w:p>
    <w:p>
      <w:pPr>
        <w:pStyle w:val="ListParagraph"/>
        <w:numPr>
          <w:ilvl w:val="0"/>
          <w:numId w:val="2"/>
        </w:numPr>
        <w:spacing w:after="40" w:before="40"/>
      </w:pPr>
      <w:r>
        <w:rPr>
          <w:rFonts w:ascii="Arial" w:cs="Arial" w:eastAsia="Arial" w:hAnsi="Arial"/>
          <w:sz w:val="22"/>
          <w:szCs w:val="22"/>
        </w:rPr>
        <w:t xml:space="preserve">3. Export audit event data from the Airlock console and analyse for publisher coverage</w:t>
      </w:r>
    </w:p>
    <w:p>
      <w:pPr>
        <w:pStyle w:val="ListParagraph"/>
        <w:numPr>
          <w:ilvl w:val="0"/>
          <w:numId w:val="2"/>
        </w:numPr>
        <w:spacing w:after="40" w:before="40"/>
      </w:pPr>
      <w:r>
        <w:rPr>
          <w:rFonts w:ascii="Arial" w:cs="Arial" w:eastAsia="Arial" w:hAnsi="Arial"/>
          <w:sz w:val="22"/>
          <w:szCs w:val="22"/>
        </w:rPr>
        <w:t xml:space="preserve">4. Build publisher rules for all trusted software vendors identified in the audit output</w:t>
      </w:r>
    </w:p>
    <w:p>
      <w:pPr>
        <w:pStyle w:val="ListParagraph"/>
        <w:numPr>
          <w:ilvl w:val="0"/>
          <w:numId w:val="2"/>
        </w:numPr>
        <w:spacing w:after="40" w:before="40"/>
      </w:pPr>
      <w:r>
        <w:rPr>
          <w:rFonts w:ascii="Arial" w:cs="Arial" w:eastAsia="Arial" w:hAnsi="Arial"/>
          <w:sz w:val="22"/>
          <w:szCs w:val="22"/>
        </w:rPr>
        <w:t xml:space="preserve">5. Build hash rules for unsigned or exception-case executables</w:t>
      </w:r>
    </w:p>
    <w:p>
      <w:pPr>
        <w:pStyle w:val="ListParagraph"/>
        <w:numPr>
          <w:ilvl w:val="0"/>
          <w:numId w:val="2"/>
        </w:numPr>
        <w:spacing w:after="40" w:before="40"/>
      </w:pPr>
      <w:r>
        <w:rPr>
          <w:rFonts w:ascii="Arial" w:cs="Arial" w:eastAsia="Arial" w:hAnsi="Arial"/>
          <w:sz w:val="22"/>
          <w:szCs w:val="22"/>
        </w:rPr>
        <w:t xml:space="preserve">6. Review and approve the baseline policy via the change management process</w:t>
      </w:r>
    </w:p>
    <w:p>
      <w:pPr>
        <w:pStyle w:val="ListParagraph"/>
        <w:numPr>
          <w:ilvl w:val="0"/>
          <w:numId w:val="2"/>
        </w:numPr>
        <w:spacing w:after="40" w:before="40"/>
      </w:pPr>
      <w:r>
        <w:rPr>
          <w:rFonts w:ascii="Arial" w:cs="Arial" w:eastAsia="Arial" w:hAnsi="Arial"/>
          <w:sz w:val="22"/>
          <w:szCs w:val="22"/>
        </w:rPr>
        <w:t xml:space="preserve">7. Switch pilot group to enforcement mode and validate — no legitimate applications should be blocked</w:t>
      </w:r>
    </w:p>
    <w:p>
      <w:pPr>
        <w:pStyle w:val="ListParagraph"/>
        <w:numPr>
          <w:ilvl w:val="0"/>
          <w:numId w:val="2"/>
        </w:numPr>
        <w:spacing w:after="40" w:before="40"/>
      </w:pPr>
      <w:r>
        <w:rPr>
          <w:rFonts w:ascii="Arial" w:cs="Arial" w:eastAsia="Arial" w:hAnsi="Arial"/>
          <w:sz w:val="22"/>
          <w:szCs w:val="22"/>
        </w:rPr>
        <w:t xml:space="preserve">8. Roll out enforcement mode progressively to the full standard endpoint fleet</w:t>
      </w:r>
    </w:p>
    <w:p>
      <w:pPr>
        <w:spacing w:after="60" w:before="60"/>
      </w:pPr>
      <w:r>
        <w:t xml:space="preserve"/>
      </w:r>
    </w:p>
    <w:p>
      <w:pPr>
        <w:spacing w:after="60" w:before="60"/>
      </w:pPr>
      <w:r>
        <w:rPr>
          <w:rFonts w:ascii="Arial" w:cs="Arial" w:eastAsia="Arial" w:hAnsi="Arial"/>
          <w:i/>
          <w:iCs/>
          <w:color w:val="595959"/>
          <w:sz w:val="20"/>
          <w:szCs w:val="20"/>
        </w:rPr>
        <w:t xml:space="preserve">NOTE: Although the go-live posture targets block mode from day one for the production fleet, the baselining phase is essential to produce a high-confidence policy prior to enforcement. PAWs are scoped for enforcement from the point of initial PAW deployment, as the PAW application set is intentionally minimal and known in advance.</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5.4 Trusted Path and Trusted Installer Exemptions</w:t>
      </w:r>
    </w:p>
    <w:p>
      <w:pPr>
        <w:spacing w:after="80" w:before="80"/>
      </w:pPr>
      <w:r>
        <w:rPr>
          <w:rFonts w:ascii="Arial" w:cs="Arial" w:eastAsia="Arial" w:hAnsi="Arial"/>
          <w:sz w:val="22"/>
          <w:szCs w:val="22"/>
        </w:rPr>
        <w:t xml:space="preserve">Certain Windows operating system update and software installation workflows execute from paths under SYSTEM context where blocking would prevent legitimate OS maintenance. The following trusted path and trusted installer exemptions are included in the standard endpoint policy and PAW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Exemption Type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Path / Scope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Justification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Restriction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Windows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C:\Windows\SoftwareDistribution\Download\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Windows Update Agent extracts and executes MSI/EXE packages during patch installation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SYSTEM context only. Not user-writable.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Windows Installer (MSI)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C:\Windows\Installer\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MSI engine extracts and runs installers from this path during Windows Installer transactions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SYSTEM context only. Not user-writable.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Trusted Installer 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NT SERVICE\TrustedInstaller context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Windows servicing (CBS/WIM) operations executed by TrustedInstaller service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Service context only, not applicable to user processes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Intune Management Extension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C:\Program Files (x86)\Microsoft Intune Management Extension\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IME executes scripts and Win32 app installers; blocking IME prevents Intune-managed deployments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SYSTEM context only. Validate path is not user-writable.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Microsoft Defender Updates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C:\ProgramData\Microsoft\Windows Defender\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Defender platform and signature updates execute from this path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SYSTEM context only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SYSTEM-executed scripts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C:\Windows\Temp\ (SYSTEM context only)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Some managed deployment workflows use Windows\Temp for staging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Restrict to SYSTEM context. Monitor for abuse.</w:t>
            </w:r>
          </w:p>
        </w:tc>
      </w:tr>
    </w:tbl>
    <w:p>
      <w:pPr>
        <w:spacing w:after="60" w:before="60"/>
      </w:pPr>
      <w:r>
        <w:t xml:space="preserve"/>
      </w:r>
    </w:p>
    <w:p>
      <w:pPr>
        <w:spacing w:after="60" w:before="60"/>
      </w:pPr>
      <w:r>
        <w:rPr>
          <w:rFonts w:ascii="Arial" w:cs="Arial" w:eastAsia="Arial" w:hAnsi="Arial"/>
          <w:i/>
          <w:iCs/>
          <w:color w:val="595959"/>
          <w:sz w:val="20"/>
          <w:szCs w:val="20"/>
        </w:rPr>
        <w:t xml:space="preserve">NOTE: All trusted path exemptions must be restricted to SYSTEM context where technically supported by Airlock Digital. User-context execution from these paths should not be permitted. Confirm Airlock's capability to restrict path rules to process context at implementation time.</w:t>
      </w:r>
    </w:p>
    <w:p>
      <w:pPr>
        <w:spacing w:after="60" w:before="60"/>
      </w:pPr>
      <w:r>
        <w:t xml:space="preserve"/>
      </w:r>
    </w:p>
    <w:p>
      <w:pPr>
        <w:spacing w:after="80" w:before="80"/>
      </w:pPr>
      <w:r>
        <w:rPr>
          <w:rFonts w:ascii="Arial" w:cs="Arial" w:eastAsia="Arial" w:hAnsi="Arial"/>
          <w:sz w:val="22"/>
          <w:szCs w:val="22"/>
        </w:rPr>
        <w:t xml:space="preserve">The following paths are explicitly NOT permitted as trusted paths:</w:t>
      </w:r>
    </w:p>
    <w:p>
      <w:pPr>
        <w:pStyle w:val="ListParagraph"/>
        <w:numPr>
          <w:ilvl w:val="0"/>
          <w:numId w:val="2"/>
        </w:numPr>
        <w:spacing w:after="40" w:before="40"/>
      </w:pPr>
      <w:r>
        <w:rPr>
          <w:rFonts w:ascii="Arial" w:cs="Arial" w:eastAsia="Arial" w:hAnsi="Arial"/>
          <w:sz w:val="22"/>
          <w:szCs w:val="22"/>
        </w:rPr>
        <w:t xml:space="preserve">C:\Users\ (any user profile path)</w:t>
      </w:r>
    </w:p>
    <w:p>
      <w:pPr>
        <w:pStyle w:val="ListParagraph"/>
        <w:numPr>
          <w:ilvl w:val="0"/>
          <w:numId w:val="2"/>
        </w:numPr>
        <w:spacing w:after="40" w:before="40"/>
      </w:pPr>
      <w:r>
        <w:rPr>
          <w:rFonts w:ascii="Arial" w:cs="Arial" w:eastAsia="Arial" w:hAnsi="Arial"/>
          <w:sz w:val="22"/>
          <w:szCs w:val="22"/>
        </w:rPr>
        <w:t xml:space="preserve">C:\ProgramData\ (except specific vendor sub-paths as listed above)</w:t>
      </w:r>
    </w:p>
    <w:p>
      <w:pPr>
        <w:pStyle w:val="ListParagraph"/>
        <w:numPr>
          <w:ilvl w:val="0"/>
          <w:numId w:val="2"/>
        </w:numPr>
        <w:spacing w:after="40" w:before="40"/>
      </w:pPr>
      <w:r>
        <w:rPr>
          <w:rFonts w:ascii="Arial" w:cs="Arial" w:eastAsia="Arial" w:hAnsi="Arial"/>
          <w:sz w:val="22"/>
          <w:szCs w:val="22"/>
        </w:rPr>
        <w:t xml:space="preserve">C:\Windows\Temp\ in user context</w:t>
      </w:r>
    </w:p>
    <w:p>
      <w:pPr>
        <w:pStyle w:val="ListParagraph"/>
        <w:numPr>
          <w:ilvl w:val="0"/>
          <w:numId w:val="2"/>
        </w:numPr>
        <w:spacing w:after="40" w:before="40"/>
      </w:pPr>
      <w:r>
        <w:rPr>
          <w:rFonts w:ascii="Arial" w:cs="Arial" w:eastAsia="Arial" w:hAnsi="Arial"/>
          <w:sz w:val="22"/>
          <w:szCs w:val="22"/>
        </w:rPr>
        <w:t xml:space="preserve">Network paths (UNC or mapped drives)</w:t>
      </w:r>
    </w:p>
    <w:p>
      <w:pPr>
        <w:pStyle w:val="ListParagraph"/>
        <w:numPr>
          <w:ilvl w:val="0"/>
          <w:numId w:val="2"/>
        </w:numPr>
        <w:spacing w:after="40" w:before="40"/>
      </w:pPr>
      <w:r>
        <w:rPr>
          <w:rFonts w:ascii="Arial" w:cs="Arial" w:eastAsia="Arial" w:hAnsi="Arial"/>
          <w:sz w:val="22"/>
          <w:szCs w:val="22"/>
        </w:rPr>
        <w:t xml:space="preserve">Any removable media path</w:t>
      </w:r>
    </w:p>
    <w:p>
      <w:pPr>
        <w:spacing w:after="60" w:before="6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6. PAW-Specific Policy Design</w:t>
      </w:r>
    </w:p>
    <w:p>
      <w:pPr>
        <w:pStyle w:val="Heading2"/>
        <w:spacing w:after="80" w:before="240"/>
      </w:pPr>
      <w:r>
        <w:rPr>
          <w:rFonts w:ascii="Arial" w:cs="Arial" w:eastAsia="Arial" w:hAnsi="Arial"/>
          <w:b/>
          <w:bCs/>
          <w:color w:val="2E75B6"/>
          <w:sz w:val="28"/>
          <w:szCs w:val="28"/>
        </w:rPr>
        <w:t xml:space="preserve">6.1 PAW Policy Principles</w:t>
      </w:r>
    </w:p>
    <w:p>
      <w:pPr>
        <w:spacing w:after="80" w:before="80"/>
      </w:pPr>
      <w:r>
        <w:rPr>
          <w:rFonts w:ascii="Arial" w:cs="Arial" w:eastAsia="Arial" w:hAnsi="Arial"/>
          <w:sz w:val="22"/>
          <w:szCs w:val="22"/>
        </w:rPr>
        <w:t xml:space="preserve">Privileged Access Workstations operate under a separate, more restrictive Airlock Digital policy. The PAW application set is intentionally minimal — PAWs are purpose-built for administrative tasks and should not execute general-purpose productivity software, browsers for personal use, or applications outside the approved PAW toolset.</w:t>
      </w:r>
    </w:p>
    <w:p>
      <w:pPr>
        <w:spacing w:after="80" w:before="80"/>
      </w:pPr>
      <w:r>
        <w:rPr>
          <w:rFonts w:ascii="Arial" w:cs="Arial" w:eastAsia="Arial" w:hAnsi="Arial"/>
          <w:sz w:val="22"/>
          <w:szCs w:val="22"/>
        </w:rPr>
        <w:t xml:space="preserve">The PAW Airlock policy enforces the following principles:</w:t>
      </w:r>
    </w:p>
    <w:p>
      <w:pPr>
        <w:pStyle w:val="ListParagraph"/>
        <w:numPr>
          <w:ilvl w:val="0"/>
          <w:numId w:val="2"/>
        </w:numPr>
        <w:spacing w:after="40" w:before="40"/>
      </w:pPr>
      <w:r>
        <w:rPr>
          <w:rFonts w:ascii="Arial" w:cs="Arial" w:eastAsia="Arial" w:hAnsi="Arial"/>
          <w:sz w:val="22"/>
          <w:szCs w:val="22"/>
        </w:rPr>
        <w:t xml:space="preserve">No user-initiated installations — users cannot execute installers, package managers, or deployment tools</w:t>
      </w:r>
    </w:p>
    <w:p>
      <w:pPr>
        <w:pStyle w:val="ListParagraph"/>
        <w:numPr>
          <w:ilvl w:val="0"/>
          <w:numId w:val="2"/>
        </w:numPr>
        <w:spacing w:after="40" w:before="40"/>
      </w:pPr>
      <w:r>
        <w:rPr>
          <w:rFonts w:ascii="Arial" w:cs="Arial" w:eastAsia="Arial" w:hAnsi="Arial"/>
          <w:sz w:val="22"/>
          <w:szCs w:val="22"/>
        </w:rPr>
        <w:t xml:space="preserve">No script interpreter abuse — PowerShell, cmd.exe, wscript.exe, and cscript.exe are restricted to approved, signed scripts only (where Airlock supports script control)</w:t>
      </w:r>
    </w:p>
    <w:p>
      <w:pPr>
        <w:pStyle w:val="ListParagraph"/>
        <w:numPr>
          <w:ilvl w:val="0"/>
          <w:numId w:val="2"/>
        </w:numPr>
        <w:spacing w:after="40" w:before="40"/>
      </w:pPr>
      <w:r>
        <w:rPr>
          <w:rFonts w:ascii="Arial" w:cs="Arial" w:eastAsia="Arial" w:hAnsi="Arial"/>
          <w:sz w:val="22"/>
          <w:szCs w:val="22"/>
        </w:rPr>
        <w:t xml:space="preserve">Minimal publisher trust — only publishers required for PAW tooling are allowlisted; broad publisher trusts (e.g., all Microsoft-signed software) are not used</w:t>
      </w:r>
    </w:p>
    <w:p>
      <w:pPr>
        <w:pStyle w:val="ListParagraph"/>
        <w:numPr>
          <w:ilvl w:val="0"/>
          <w:numId w:val="2"/>
        </w:numPr>
        <w:spacing w:after="40" w:before="40"/>
      </w:pPr>
      <w:r>
        <w:rPr>
          <w:rFonts w:ascii="Arial" w:cs="Arial" w:eastAsia="Arial" w:hAnsi="Arial"/>
          <w:sz w:val="22"/>
          <w:szCs w:val="22"/>
        </w:rPr>
        <w:t xml:space="preserve">Explicit hash control for administrative tools — PAW-specific tooling is hash-controlled to pin approved versions</w:t>
      </w:r>
    </w:p>
    <w:p>
      <w:pPr>
        <w:pStyle w:val="ListParagraph"/>
        <w:numPr>
          <w:ilvl w:val="0"/>
          <w:numId w:val="2"/>
        </w:numPr>
        <w:spacing w:after="40" w:before="40"/>
      </w:pPr>
      <w:r>
        <w:rPr>
          <w:rFonts w:ascii="Arial" w:cs="Arial" w:eastAsia="Arial" w:hAnsi="Arial"/>
          <w:sz w:val="22"/>
          <w:szCs w:val="22"/>
        </w:rPr>
        <w:t xml:space="preserve">No browser trust — web browsers are not permitted on PAWs unless a specific approved browser build is hash-controlled for a defined purpose</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6.2 PAW Approved Application Set</w:t>
      </w:r>
    </w:p>
    <w:p>
      <w:pPr>
        <w:spacing w:after="80" w:before="80"/>
      </w:pPr>
      <w:r>
        <w:rPr>
          <w:rFonts w:ascii="Arial" w:cs="Arial" w:eastAsia="Arial" w:hAnsi="Arial"/>
          <w:sz w:val="22"/>
          <w:szCs w:val="22"/>
        </w:rPr>
        <w:t xml:space="preserve">The following application categories are in scope for the PAW allowlist. Specific publisher and hash rules are populated during PAW baselining.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Examples</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Rule 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Windows OS components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Explorer, Task Manager, Event Viewer, MMC snap-ins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Trusted path (SYSTEM) + Publisher (Microsoft)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Microsoft Entra / Intune admin tools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Intune Management Extension, Entra ID Connect Health Agent</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Publisher (Microsoft) + Hash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Remote access tooling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Remote Desktop Client (MSTSC), approved VPN/GSA client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Publisher (Microsoft / vendor)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Security tooling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Microsoft Defender for Endpoint sensor, Airlock agent</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Publisher (Microsoft / Airlock Digital)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Privileged access tooling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Approved PAM client (if applicable), YubiKey manager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Hash (pinned version)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PowerShell (managed use)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PowerShell 5.1 / 7.x — approved signed scripts only</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Publisher (Microsoft) for interpreter; script signing enforced separately</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6.3 PAW Policy Enforcement Posture</w:t>
      </w:r>
    </w:p>
    <w:p>
      <w:pPr>
        <w:spacing w:after="80" w:before="80"/>
      </w:pPr>
      <w:r>
        <w:rPr>
          <w:rFonts w:ascii="Arial" w:cs="Arial" w:eastAsia="Arial" w:hAnsi="Arial"/>
          <w:sz w:val="22"/>
          <w:szCs w:val="22"/>
        </w:rPr>
        <w:t xml:space="preserve">PAW Airlock policy is deployed in block mode from initial device deployment. There is no audit phase for PAWs. The known PAW application set is small and well-defined, making pre-deployment baselining straightforward.</w:t>
      </w:r>
    </w:p>
    <w:p>
      <w:pPr>
        <w:spacing w:after="80" w:before="80"/>
      </w:pPr>
      <w:r>
        <w:rPr>
          <w:rFonts w:ascii="Arial" w:cs="Arial" w:eastAsia="Arial" w:hAnsi="Arial"/>
          <w:sz w:val="22"/>
          <w:szCs w:val="22"/>
        </w:rPr>
        <w:t xml:space="preserve">PAW policy changes follow a more stringent change approval process than standard endpoint policy:</w:t>
      </w:r>
    </w:p>
    <w:p>
      <w:pPr>
        <w:pStyle w:val="ListParagraph"/>
        <w:numPr>
          <w:ilvl w:val="0"/>
          <w:numId w:val="2"/>
        </w:numPr>
        <w:spacing w:after="40" w:before="40"/>
      </w:pPr>
      <w:r>
        <w:rPr>
          <w:rFonts w:ascii="Arial" w:cs="Arial" w:eastAsia="Arial" w:hAnsi="Arial"/>
          <w:sz w:val="22"/>
          <w:szCs w:val="22"/>
        </w:rPr>
        <w:t xml:space="preserve">PAW policy changes require approval from both the EUC Engineering Lead and the Cyber Security team</w:t>
      </w:r>
    </w:p>
    <w:p>
      <w:pPr>
        <w:pStyle w:val="ListParagraph"/>
        <w:numPr>
          <w:ilvl w:val="0"/>
          <w:numId w:val="2"/>
        </w:numPr>
        <w:spacing w:after="40" w:before="40"/>
      </w:pPr>
      <w:r>
        <w:rPr>
          <w:rFonts w:ascii="Arial" w:cs="Arial" w:eastAsia="Arial" w:hAnsi="Arial"/>
          <w:sz w:val="22"/>
          <w:szCs w:val="22"/>
        </w:rPr>
        <w:t xml:space="preserve">Changes must be validated in a PAW lab environment before production deployment</w:t>
      </w:r>
    </w:p>
    <w:p>
      <w:pPr>
        <w:pStyle w:val="ListParagraph"/>
        <w:numPr>
          <w:ilvl w:val="0"/>
          <w:numId w:val="2"/>
        </w:numPr>
        <w:spacing w:after="40" w:before="40"/>
      </w:pPr>
      <w:r>
        <w:rPr>
          <w:rFonts w:ascii="Arial" w:cs="Arial" w:eastAsia="Arial" w:hAnsi="Arial"/>
          <w:sz w:val="22"/>
          <w:szCs w:val="22"/>
        </w:rPr>
        <w:t xml:space="preserve">Emergency PAW policy changes require documented approval from the CISO or delegate</w:t>
      </w:r>
    </w:p>
    <w:p>
      <w:pPr>
        <w:spacing w:after="60" w:before="6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7. Console RBAC Design</w:t>
      </w:r>
    </w:p>
    <w:p>
      <w:pPr>
        <w:pStyle w:val="Heading2"/>
        <w:spacing w:after="80" w:before="240"/>
      </w:pPr>
      <w:r>
        <w:rPr>
          <w:rFonts w:ascii="Arial" w:cs="Arial" w:eastAsia="Arial" w:hAnsi="Arial"/>
          <w:b/>
          <w:bCs/>
          <w:color w:val="2E75B6"/>
          <w:sz w:val="28"/>
          <w:szCs w:val="28"/>
        </w:rPr>
        <w:t xml:space="preserve">7.1 RBAC Principles</w:t>
      </w:r>
    </w:p>
    <w:p>
      <w:pPr>
        <w:spacing w:after="80" w:before="80"/>
      </w:pPr>
      <w:r>
        <w:rPr>
          <w:rFonts w:ascii="Arial" w:cs="Arial" w:eastAsia="Arial" w:hAnsi="Arial"/>
          <w:sz w:val="22"/>
          <w:szCs w:val="22"/>
        </w:rPr>
        <w:t xml:space="preserve">Access to the Airlock Digital management console is governed by role-based access control. Console access is provisioned via Entra ID group membership where Airlock supports SAML or OIDC SSO integration with Entra ID. If SSO integration is not available in the selected deployment model, local console accounts are used with Entra PIM-equivalent manual access reviews.</w:t>
      </w:r>
    </w:p>
    <w:p>
      <w:pPr>
        <w:spacing w:after="80" w:before="80"/>
      </w:pPr>
      <w:r>
        <w:rPr>
          <w:rFonts w:ascii="Arial" w:cs="Arial" w:eastAsia="Arial" w:hAnsi="Arial"/>
          <w:sz w:val="22"/>
          <w:szCs w:val="22"/>
        </w:rPr>
        <w:t xml:space="preserve">The following RBAC principles apply:</w:t>
      </w:r>
    </w:p>
    <w:p>
      <w:pPr>
        <w:pStyle w:val="ListParagraph"/>
        <w:numPr>
          <w:ilvl w:val="0"/>
          <w:numId w:val="2"/>
        </w:numPr>
        <w:spacing w:after="40" w:before="40"/>
      </w:pPr>
      <w:r>
        <w:rPr>
          <w:rFonts w:ascii="Arial" w:cs="Arial" w:eastAsia="Arial" w:hAnsi="Arial"/>
          <w:sz w:val="22"/>
          <w:szCs w:val="22"/>
        </w:rPr>
        <w:t xml:space="preserve">Least privilege — console roles grant only the access required for the defined function</w:t>
      </w:r>
    </w:p>
    <w:p>
      <w:pPr>
        <w:pStyle w:val="ListParagraph"/>
        <w:numPr>
          <w:ilvl w:val="0"/>
          <w:numId w:val="2"/>
        </w:numPr>
        <w:spacing w:after="40" w:before="40"/>
      </w:pPr>
      <w:r>
        <w:rPr>
          <w:rFonts w:ascii="Arial" w:cs="Arial" w:eastAsia="Arial" w:hAnsi="Arial"/>
          <w:sz w:val="22"/>
          <w:szCs w:val="22"/>
        </w:rPr>
        <w:t xml:space="preserve">Separation of duties — policy authoring, policy approval, and policy publication are separated across roles</w:t>
      </w:r>
    </w:p>
    <w:p>
      <w:pPr>
        <w:pStyle w:val="ListParagraph"/>
        <w:numPr>
          <w:ilvl w:val="0"/>
          <w:numId w:val="2"/>
        </w:numPr>
        <w:spacing w:after="40" w:before="40"/>
      </w:pPr>
      <w:r>
        <w:rPr>
          <w:rFonts w:ascii="Arial" w:cs="Arial" w:eastAsia="Arial" w:hAnsi="Arial"/>
          <w:sz w:val="22"/>
          <w:szCs w:val="22"/>
        </w:rPr>
        <w:t xml:space="preserve">No standing administrative access — full administrative access to the Airlock console requires just-in-time (JIT) elevation, consistent with the department's Entra PIM posture for other M365 admin roles</w:t>
      </w:r>
    </w:p>
    <w:p>
      <w:pPr>
        <w:pStyle w:val="ListParagraph"/>
        <w:numPr>
          <w:ilvl w:val="0"/>
          <w:numId w:val="2"/>
        </w:numPr>
        <w:spacing w:after="40" w:before="40"/>
      </w:pPr>
      <w:r>
        <w:rPr>
          <w:rFonts w:ascii="Arial" w:cs="Arial" w:eastAsia="Arial" w:hAnsi="Arial"/>
          <w:sz w:val="22"/>
          <w:szCs w:val="22"/>
        </w:rPr>
        <w:t xml:space="preserve">Audit log access is read-only and available to security operations without policy modification rights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7.2 Console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000"/>
        <w:gridCol w:w="20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Role Name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Permissions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Assigned To</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Entra Group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Administrator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Full console access including policy creation, publication, agent management, RBAC administration, and configuration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 Platform Engineers (JIT — PIM equivalent)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EUC-Airlock-Admins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Policy Author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Create and edit allowlist policies in draft/staging. Cannot publish to production. Cannot modify RBAC or agent configuration.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 Engineers responsible for policy development</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EUC-Airlock-PolicyAuthors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Policy Approver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Review and publish staged policies to production. Cannot create or edit policies. Read access to audit 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Senior EUC Engineer or Security Architect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EUC-Airlock-PolicyApprovers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Security Analyst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Read-only access to audit events, block events, and compliance reports. No policy modification. No agent management.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Cyber Security Operations team (Google SecOps analysts)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EUC-Airlock-SecurityAnalysts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Read Only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Read-only access to policy view and device registration list. No event log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Audit and assurance reviewers (periodic access)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EUC-Airlock-ReadOnly</w:t>
            </w:r>
          </w:p>
        </w:tc>
      </w:tr>
    </w:tbl>
    <w:p>
      <w:pPr>
        <w:spacing w:after="60" w:before="60"/>
      </w:pPr>
      <w:r>
        <w:t xml:space="preserve"/>
      </w:r>
    </w:p>
    <w:p>
      <w:pPr>
        <w:spacing w:after="60" w:before="60"/>
      </w:pPr>
      <w:r>
        <w:rPr>
          <w:rFonts w:ascii="Arial" w:cs="Arial" w:eastAsia="Arial" w:hAnsi="Arial"/>
          <w:i/>
          <w:iCs/>
          <w:color w:val="595959"/>
          <w:sz w:val="20"/>
          <w:szCs w:val="20"/>
        </w:rPr>
        <w:t xml:space="preserve">NOTE: Airlock Digital role names and permission granularity should be confirmed against the Airlock console documentation for the selected deployment model. The role definitions above represent the intended access design; mapping to Airlock's built-in role model occurs during implementation.</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7.3 Access Provisioning and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Design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Provisioning method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Entra ID group membership-driven SSO (preferred). Local account with strong password + MFA if SSO unavailable.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Privileged access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Administrator role provisioned via JIT request consistent with Entra PIM process. Standing Airlock Admin access is not permitted.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Access review frequency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Quarterly access review for all console roles. Annual review for Read Only role.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Offboarding</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Console access removed within 24 hours of staff offboarding. Automated via Entra ID group membership revocation if SSO-integrated.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Break-glass account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One emergency local administrator account stored in departmental privileged credential vault (CyberArk or equivalent). Access audited.</w:t>
            </w:r>
          </w:p>
        </w:tc>
      </w:tr>
    </w:tbl>
    <w:p>
      <w:pPr>
        <w:spacing w:after="60" w:before="6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8. SIEM Integration — Google SecOps (Chronicle)</w:t>
      </w:r>
    </w:p>
    <w:p>
      <w:pPr>
        <w:pStyle w:val="Heading2"/>
        <w:spacing w:after="80" w:before="240"/>
      </w:pPr>
      <w:r>
        <w:rPr>
          <w:rFonts w:ascii="Arial" w:cs="Arial" w:eastAsia="Arial" w:hAnsi="Arial"/>
          <w:b/>
          <w:bCs/>
          <w:color w:val="2E75B6"/>
          <w:sz w:val="28"/>
          <w:szCs w:val="28"/>
        </w:rPr>
        <w:t xml:space="preserve">8.1 Integration Architecture</w:t>
      </w:r>
    </w:p>
    <w:p>
      <w:pPr>
        <w:spacing w:after="80" w:before="80"/>
      </w:pPr>
      <w:r>
        <w:rPr>
          <w:rFonts w:ascii="Arial" w:cs="Arial" w:eastAsia="Arial" w:hAnsi="Arial"/>
          <w:sz w:val="22"/>
          <w:szCs w:val="22"/>
        </w:rPr>
        <w:t xml:space="preserve">All Airlock Digital events are forwarded to Google SecOps (Chronicle) as the departmental SIEM. This provides unified visibility across endpoint security telemetry, enabling correlation of Airlock block events with MDE alerts, Entra ID sign-in signals, and other EUC security event sources.</w:t>
      </w:r>
    </w:p>
    <w:p>
      <w:pPr>
        <w:spacing w:after="80" w:before="80"/>
      </w:pPr>
      <w:r>
        <w:rPr>
          <w:rFonts w:ascii="Arial" w:cs="Arial" w:eastAsia="Arial" w:hAnsi="Arial"/>
          <w:sz w:val="22"/>
          <w:szCs w:val="22"/>
        </w:rPr>
        <w:t xml:space="preserve">Two forwarding architectures are available and are evaluated below.</w:t>
      </w:r>
    </w:p>
    <w:p>
      <w:pPr>
        <w:spacing w:after="60" w:before="60"/>
      </w:pPr>
      <w:r>
        <w:t xml:space="preserve"/>
      </w:r>
    </w:p>
    <w:p>
      <w:pPr>
        <w:pStyle w:val="Heading3"/>
        <w:spacing w:after="60" w:before="160"/>
      </w:pPr>
      <w:r>
        <w:rPr>
          <w:rFonts w:ascii="Arial" w:cs="Arial" w:eastAsia="Arial" w:hAnsi="Arial"/>
          <w:b/>
          <w:bCs/>
          <w:color w:val="595959"/>
          <w:sz w:val="24"/>
          <w:szCs w:val="24"/>
        </w:rPr>
        <w:t xml:space="preserve">DD-AIRLOCK-002: SIEM Event Forwarding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100"/>
        <w:gridCol w:w="42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ID</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Option</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Consideration</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Detail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DD-AIRLOCK-002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000000"/>
                <w:sz w:val="20"/>
                <w:szCs w:val="20"/>
              </w:rPr>
              <w:t xml:space="preserve">Option A — Airlock native Syslog forwarding to Chronicle Forwarder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Architecture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console forwards events via Syslog (UDP/TCP 514 or TLS Syslog) to a Chronicle Forwarder agent running on a departmental server or Windows endpoint. Chronicle Forwarder normalises and forwards to Chronicle.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Option A — Airlock native Syslog forwarding to Chronicle Forwarder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Parser availability</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Digital Syslog format may require a custom Chronicle parser if no native Airlock log type exists in Chronicle's parser library. Confirm with Google SecOps team.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Option B — Airlock webhook / API push to Chronicle ingestion API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Architecture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console pushes events to the Chronicle ingestion REST API directly (if supported by Airlock). Eliminates forwarder agent dependency.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Option B — Airlock webhook / API push to Chronicle ingestion API</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Vendor support</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Dependent on Airlock Digital supporting a native Chronicle / Google SecOps integration. Confirm at procurement whether this integration exists.</w:t>
            </w:r>
          </w:p>
        </w:tc>
      </w:tr>
    </w:tbl>
    <w:p>
      <w:pPr>
        <w:spacing w:after="60" w:before="60"/>
      </w:pPr>
      <w:r>
        <w:t xml:space="preserve"/>
      </w:r>
    </w:p>
    <w:p>
      <w:pPr>
        <w:spacing w:after="80" w:before="80"/>
      </w:pPr>
      <w:r>
        <w:rPr>
          <w:rFonts w:ascii="Arial" w:cs="Arial" w:eastAsia="Arial" w:hAnsi="Arial"/>
          <w:b/>
          <w:bCs/>
          <w:sz w:val="22"/>
          <w:szCs w:val="22"/>
        </w:rPr>
        <w:t xml:space="preserve">Recommended: </w:t>
      </w:r>
      <w:r>
        <w:rPr>
          <w:rFonts w:ascii="Arial" w:cs="Arial" w:eastAsia="Arial" w:hAnsi="Arial"/>
          <w:sz w:val="22"/>
          <w:szCs w:val="22"/>
        </w:rPr>
        <w:t xml:space="preserve">Option A — Syslog forwarding via Chronicle Forwarder.</w:t>
      </w:r>
    </w:p>
    <w:p>
      <w:pPr>
        <w:spacing w:after="80" w:before="80"/>
      </w:pPr>
      <w:r>
        <w:rPr>
          <w:rFonts w:ascii="Arial" w:cs="Arial" w:eastAsia="Arial" w:hAnsi="Arial"/>
          <w:b/>
          <w:bCs/>
          <w:sz w:val="22"/>
          <w:szCs w:val="22"/>
        </w:rPr>
        <w:t xml:space="preserve">Rationale: </w:t>
      </w:r>
      <w:r>
        <w:rPr>
          <w:rFonts w:ascii="Arial" w:cs="Arial" w:eastAsia="Arial" w:hAnsi="Arial"/>
          <w:sz w:val="22"/>
          <w:szCs w:val="22"/>
        </w:rPr>
        <w:t xml:space="preserve">Syslog forwarding is a standard, vendor-agnostic integration pattern that is well-supported and does not require specific Airlock-to-Chronicle integration development. The Chronicle Forwarder can be deployed on an existing Windows server or dedicated log collection host.</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8.2 Event Types Forwarded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Event Category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Event Type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SIEM 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Enforcement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Execution blocked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Primary security alert — unknown or unapproved executable blocked. Correlate with MDE and user identity.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Enforcement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Execution allowed (audit log)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Baseline visibility. Used during baselining phase and for ongoing allowlist coverage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Policy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Policy published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Change audit trail — policy changes visible in SIEM for assurance and compliance.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Agent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Agent offline / not reporting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Operational alert — device may have been tampered with or agent uninstalled.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Agent policy version mismatch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Device running an outdated policy. Operational and security relevance.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Admin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Console logon / logoff</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Administrator access audit trail.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RBAC role change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Privileged access change audit.</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8.3 Detection Use Cases</w:t>
      </w:r>
    </w:p>
    <w:p>
      <w:pPr>
        <w:spacing w:after="80" w:before="80"/>
      </w:pPr>
      <w:r>
        <w:rPr>
          <w:rFonts w:ascii="Arial" w:cs="Arial" w:eastAsia="Arial" w:hAnsi="Arial"/>
          <w:sz w:val="22"/>
          <w:szCs w:val="22"/>
        </w:rPr>
        <w:t xml:space="preserve">The following detection use cases should be implemented in Google SecOps using Airlock event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Detection Name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Logic</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Severity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Repeated block — same host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More than 5 block events from a single device within 15 minutes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Blocked execution from user profile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Block event where execution path contains C:\Users\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High — lateral movement or user-space malware indicator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Block on PAW device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Any block event originating from a PAW device group</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Critical — PAWs should only execute known-good tooling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agent offline</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Device not reporting to console for &gt;4 hours during business hours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Policy change outside change window</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Policy publication event occurring outside approved change window hours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Console admin logon</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Administrator role logon event</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Informational — logged for audit</w:t>
            </w:r>
          </w:p>
        </w:tc>
      </w:tr>
    </w:tbl>
    <w:p>
      <w:pPr>
        <w:spacing w:after="60" w:before="6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9. Essential Eight Maturity Level 2 Compliance</w:t>
      </w:r>
    </w:p>
    <w:p>
      <w:pPr>
        <w:pStyle w:val="Heading2"/>
        <w:spacing w:after="80" w:before="240"/>
      </w:pPr>
      <w:r>
        <w:rPr>
          <w:rFonts w:ascii="Arial" w:cs="Arial" w:eastAsia="Arial" w:hAnsi="Arial"/>
          <w:b/>
          <w:bCs/>
          <w:color w:val="2E75B6"/>
          <w:sz w:val="28"/>
          <w:szCs w:val="28"/>
        </w:rPr>
        <w:t xml:space="preserve">9.1 Application Control — ML2 Requirements</w:t>
      </w:r>
    </w:p>
    <w:p>
      <w:pPr>
        <w:spacing w:after="80" w:before="80"/>
      </w:pPr>
      <w:r>
        <w:rPr>
          <w:rFonts w:ascii="Arial" w:cs="Arial" w:eastAsia="Arial" w:hAnsi="Arial"/>
          <w:sz w:val="22"/>
          <w:szCs w:val="22"/>
        </w:rPr>
        <w:t xml:space="preserve">The Essential Eight Maturity Level 2 requirements for Application Control (Control 1) are as follows. This table maps each requirement to the Airlock Digital configuration implemented in this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20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ML2 Requirement</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Design Implementation</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Document Reference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Application control is implemented on all workstations to restrict the execution of executables, software libraries, scripts, installers, compiled HTML, HTML applications and control panel applets to an approved set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Digital agent enforces allowlist policy covering EXE, DLL, and script types on all standard endpoints and PAWs. Block mode from go-live.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Section 5.1, 5.2</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Application control is implemented on all internet-facing servers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Out of scope for this LLD — server application control is a separate workstream.</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Allowed and blocked execution events are logged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All block and allow events forwarded to Google SecOps (Chronicle). Retained per departmental log retention policy.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Section 8.2</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Event logs are protected from unauthorised modification and deletion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Events forwarded to Google SecOps. Airlock console event logs access-controlled via RBAC (no analyst write access).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Section 7.2, 8.1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Application control rulesets are validated at least annually or following significant changes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Annual policy review scheduled. Policy change management process documented.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Section 5.2.3</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Microsoft's recommended application blocklist is implemented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explicit block rules to include Microsoft's recommended blocklist hashes. Populated at implementation.</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Section 5.1</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9.2 ASD Blueprint Traceability</w:t>
      </w:r>
    </w:p>
    <w:p>
      <w:pPr>
        <w:spacing w:after="80" w:before="80"/>
      </w:pPr>
      <w:r>
        <w:rPr>
          <w:rFonts w:ascii="Arial" w:cs="Arial" w:eastAsia="Arial" w:hAnsi="Arial"/>
          <w:sz w:val="22"/>
          <w:szCs w:val="22"/>
        </w:rPr>
        <w:t xml:space="preserve">The following table maps key Airlock Digital design decisions to ASD Blueprint for Secure Cloud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Blueprint Control Reference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Control Description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Airlock 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Application Control — Allowlisting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Restrict execution to approved applications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Publisher + hash allowlist policy, default-deny enforcement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Application Control — Logging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Log allowed and blocked executions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All events forwarded to Google SecOps Chronicle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Application Control — Integrity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Protect control from tampering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kernel driver, RBAC console access, agent tamper protection (confirm with vendor)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Privileged Access — PAW Controls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Enforce tighter controls on privileged workstations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Separate PAW policy, no user-initiated installs, minimal publisher trust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SIEM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Forward security events to centralised SIEM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Syslog → Chronicle Forwarder → Google SecOps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Change Management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Formal change approval for security control changes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Policy change management workflow (Section 5.2.3)</w:t>
            </w:r>
          </w:p>
        </w:tc>
      </w:tr>
    </w:tbl>
    <w:p>
      <w:pPr>
        <w:spacing w:after="60" w:before="6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10. Operational Considerations</w:t>
      </w:r>
    </w:p>
    <w:p>
      <w:pPr>
        <w:pStyle w:val="Heading2"/>
        <w:spacing w:after="80" w:before="240"/>
      </w:pPr>
      <w:r>
        <w:rPr>
          <w:rFonts w:ascii="Arial" w:cs="Arial" w:eastAsia="Arial" w:hAnsi="Arial"/>
          <w:b/>
          <w:bCs/>
          <w:color w:val="2E75B6"/>
          <w:sz w:val="28"/>
          <w:szCs w:val="28"/>
        </w:rPr>
        <w:t xml:space="preserve">10.1 Policy Lifecycle Management</w:t>
      </w:r>
    </w:p>
    <w:p>
      <w:pPr>
        <w:spacing w:after="80" w:before="80"/>
      </w:pPr>
      <w:r>
        <w:rPr>
          <w:rFonts w:ascii="Arial" w:cs="Arial" w:eastAsia="Arial" w:hAnsi="Arial"/>
          <w:sz w:val="22"/>
          <w:szCs w:val="22"/>
        </w:rPr>
        <w:t xml:space="preserve">Airlock Digital policy is a living configuration that must be maintained across the lifecycle of the managed endpoint fleet. The following operational processes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Process</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Responsible Team</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Frequency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 application allowlisting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New software approved for deployment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 Engineering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As required (per change)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Software update hash review</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Software version update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 Engineering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Per software release cycle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Policy compliance review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Scheduled review / audit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Security + EUC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Quarterly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Annual policy validation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Essential Eight ML2 requirement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Security team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Annually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Incident response — block event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Block event alert in Google SecOps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Cyber Security Ops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As required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Agent health monitoring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Device not reporting alert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 Engineering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Ongoing</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10.2 Exclusion and Exception Management</w:t>
      </w:r>
    </w:p>
    <w:p>
      <w:pPr>
        <w:spacing w:after="80" w:before="80"/>
      </w:pPr>
      <w:r>
        <w:rPr>
          <w:rFonts w:ascii="Arial" w:cs="Arial" w:eastAsia="Arial" w:hAnsi="Arial"/>
          <w:sz w:val="22"/>
          <w:szCs w:val="22"/>
        </w:rPr>
        <w:t xml:space="preserve">Legitimate applications that are blocked by policy must follow the formal exception process documented in Section 5.2.3. Emergency exceptions (where a business-critical application is blocked in production) follow an expedited process:</w:t>
      </w:r>
    </w:p>
    <w:p>
      <w:pPr>
        <w:pStyle w:val="ListParagraph"/>
        <w:numPr>
          <w:ilvl w:val="0"/>
          <w:numId w:val="2"/>
        </w:numPr>
        <w:spacing w:after="40" w:before="40"/>
      </w:pPr>
      <w:r>
        <w:rPr>
          <w:rFonts w:ascii="Arial" w:cs="Arial" w:eastAsia="Arial" w:hAnsi="Arial"/>
          <w:sz w:val="22"/>
          <w:szCs w:val="22"/>
        </w:rPr>
        <w:t xml:space="preserve">1. Incident raised in ITSM tool by service desk or user</w:t>
      </w:r>
    </w:p>
    <w:p>
      <w:pPr>
        <w:pStyle w:val="ListParagraph"/>
        <w:numPr>
          <w:ilvl w:val="0"/>
          <w:numId w:val="2"/>
        </w:numPr>
        <w:spacing w:after="40" w:before="40"/>
      </w:pPr>
      <w:r>
        <w:rPr>
          <w:rFonts w:ascii="Arial" w:cs="Arial" w:eastAsia="Arial" w:hAnsi="Arial"/>
          <w:sz w:val="22"/>
          <w:szCs w:val="22"/>
        </w:rPr>
        <w:t xml:space="preserve">2. EUC Engineering on-call triages — confirms legitimacy of blocked executable</w:t>
      </w:r>
    </w:p>
    <w:p>
      <w:pPr>
        <w:pStyle w:val="ListParagraph"/>
        <w:numPr>
          <w:ilvl w:val="0"/>
          <w:numId w:val="2"/>
        </w:numPr>
        <w:spacing w:after="40" w:before="40"/>
      </w:pPr>
      <w:r>
        <w:rPr>
          <w:rFonts w:ascii="Arial" w:cs="Arial" w:eastAsia="Arial" w:hAnsi="Arial"/>
          <w:sz w:val="22"/>
          <w:szCs w:val="22"/>
        </w:rPr>
        <w:t xml:space="preserve">3. Emergency change raised with security team verbal approval</w:t>
      </w:r>
    </w:p>
    <w:p>
      <w:pPr>
        <w:pStyle w:val="ListParagraph"/>
        <w:numPr>
          <w:ilvl w:val="0"/>
          <w:numId w:val="2"/>
        </w:numPr>
        <w:spacing w:after="40" w:before="40"/>
      </w:pPr>
      <w:r>
        <w:rPr>
          <w:rFonts w:ascii="Arial" w:cs="Arial" w:eastAsia="Arial" w:hAnsi="Arial"/>
          <w:sz w:val="22"/>
          <w:szCs w:val="22"/>
        </w:rPr>
        <w:t xml:space="preserve">4. Temporary hash rule added to Airlock staging and promoted to production</w:t>
      </w:r>
    </w:p>
    <w:p>
      <w:pPr>
        <w:pStyle w:val="ListParagraph"/>
        <w:numPr>
          <w:ilvl w:val="0"/>
          <w:numId w:val="2"/>
        </w:numPr>
        <w:spacing w:after="40" w:before="40"/>
      </w:pPr>
      <w:r>
        <w:rPr>
          <w:rFonts w:ascii="Arial" w:cs="Arial" w:eastAsia="Arial" w:hAnsi="Arial"/>
          <w:sz w:val="22"/>
          <w:szCs w:val="22"/>
        </w:rPr>
        <w:t xml:space="preserve">5. Full change record retrospectively completed within 1 business day</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10.3 Procurement and Licensing Considerations</w:t>
      </w:r>
    </w:p>
    <w:p>
      <w:pPr>
        <w:spacing w:after="80" w:before="80"/>
      </w:pPr>
      <w:r>
        <w:rPr>
          <w:rFonts w:ascii="Arial" w:cs="Arial" w:eastAsia="Arial" w:hAnsi="Arial"/>
          <w:sz w:val="22"/>
          <w:szCs w:val="22"/>
        </w:rPr>
        <w:t xml:space="preserve">As this is a design-ahead document, the following procurement considerations should be addressed prior to implementation:</w:t>
      </w:r>
    </w:p>
    <w:p>
      <w:pPr>
        <w:pStyle w:val="ListParagraph"/>
        <w:numPr>
          <w:ilvl w:val="0"/>
          <w:numId w:val="2"/>
        </w:numPr>
        <w:spacing w:after="40" w:before="40"/>
      </w:pPr>
      <w:r>
        <w:rPr>
          <w:rFonts w:ascii="Arial" w:cs="Arial" w:eastAsia="Arial" w:hAnsi="Arial"/>
          <w:sz w:val="22"/>
          <w:szCs w:val="22"/>
        </w:rPr>
        <w:t xml:space="preserve">Confirm Airlock Digital licensing model — per-agent/per-device or enterprise licence. Confirm coverage for ~2,500 endpoints and PAW count.</w:t>
      </w:r>
    </w:p>
    <w:p>
      <w:pPr>
        <w:pStyle w:val="ListParagraph"/>
        <w:numPr>
          <w:ilvl w:val="0"/>
          <w:numId w:val="2"/>
        </w:numPr>
        <w:spacing w:after="40" w:before="40"/>
      </w:pPr>
      <w:r>
        <w:rPr>
          <w:rFonts w:ascii="Arial" w:cs="Arial" w:eastAsia="Arial" w:hAnsi="Arial"/>
          <w:sz w:val="22"/>
          <w:szCs w:val="22"/>
        </w:rPr>
        <w:t xml:space="preserve">Confirm data residency for Airlock Cloud (SaaS) — Australian region hosting required for OFFICIAL: Sensitive data.</w:t>
      </w:r>
    </w:p>
    <w:p>
      <w:pPr>
        <w:pStyle w:val="ListParagraph"/>
        <w:numPr>
          <w:ilvl w:val="0"/>
          <w:numId w:val="2"/>
        </w:numPr>
        <w:spacing w:after="40" w:before="40"/>
      </w:pPr>
      <w:r>
        <w:rPr>
          <w:rFonts w:ascii="Arial" w:cs="Arial" w:eastAsia="Arial" w:hAnsi="Arial"/>
          <w:sz w:val="22"/>
          <w:szCs w:val="22"/>
        </w:rPr>
        <w:t xml:space="preserve">Confirm Chronicle/Google SecOps parser support for Airlock Digital log format, or budget for custom parser development.</w:t>
      </w:r>
    </w:p>
    <w:p>
      <w:pPr>
        <w:pStyle w:val="ListParagraph"/>
        <w:numPr>
          <w:ilvl w:val="0"/>
          <w:numId w:val="2"/>
        </w:numPr>
        <w:spacing w:after="40" w:before="40"/>
      </w:pPr>
      <w:r>
        <w:rPr>
          <w:rFonts w:ascii="Arial" w:cs="Arial" w:eastAsia="Arial" w:hAnsi="Arial"/>
          <w:sz w:val="22"/>
          <w:szCs w:val="22"/>
        </w:rPr>
        <w:t xml:space="preserve">Confirm Airlock Digital support for Entra ID SSO (SAML/OIDC) for console access.</w:t>
      </w:r>
    </w:p>
    <w:p>
      <w:pPr>
        <w:pStyle w:val="ListParagraph"/>
        <w:numPr>
          <w:ilvl w:val="0"/>
          <w:numId w:val="2"/>
        </w:numPr>
        <w:spacing w:after="40" w:before="40"/>
      </w:pPr>
      <w:r>
        <w:rPr>
          <w:rFonts w:ascii="Arial" w:cs="Arial" w:eastAsia="Arial" w:hAnsi="Arial"/>
          <w:sz w:val="22"/>
          <w:szCs w:val="22"/>
        </w:rPr>
        <w:t xml:space="preserve">Confirm agent tamper protection capabilities — whether the agent can prevent user-mode uninstallation.</w:t>
      </w:r>
    </w:p>
    <w:p>
      <w:pPr>
        <w:pStyle w:val="ListParagraph"/>
        <w:numPr>
          <w:ilvl w:val="0"/>
          <w:numId w:val="2"/>
        </w:numPr>
        <w:spacing w:after="40" w:before="40"/>
      </w:pPr>
      <w:r>
        <w:rPr>
          <w:rFonts w:ascii="Arial" w:cs="Arial" w:eastAsia="Arial" w:hAnsi="Arial"/>
          <w:sz w:val="22"/>
          <w:szCs w:val="22"/>
        </w:rPr>
        <w:t xml:space="preserve">Obtain sandbox/lab access for baselining and policy development prior to production deployment.</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10.4 Open Design Decisions Summary</w:t>
      </w:r>
    </w:p>
    <w:p>
      <w:pPr>
        <w:spacing w:after="80" w:before="80"/>
      </w:pPr>
      <w:r>
        <w:rPr>
          <w:rFonts w:ascii="Arial" w:cs="Arial" w:eastAsia="Arial" w:hAnsi="Arial"/>
          <w:sz w:val="22"/>
          <w:szCs w:val="22"/>
        </w:rPr>
        <w:t xml:space="preserve">The following design decisions remain open and must be resolved prior to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000"/>
        <w:gridCol w:w="1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Decision ID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Owner</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Target Resolution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DD-AIRLOCK-001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management console deployment model (Cloud SaaS vs On-Premises)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 Architect + Security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Procurement phase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DD-AIRLOCK-002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SIEM forwarding method (Syslog/Chronicle Forwarder vs API push)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 Engineering + SecOps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Implementation design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DD-AIRLOCK-003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Entra ID SSO integration availability for selected deployment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EUC Engineering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Vendor confirmation at procurement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DD-AIRLOCK-004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Chronicle parser availability for Airlock log format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SecOps / Google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Implementation design</w:t>
            </w:r>
          </w:p>
        </w:tc>
      </w:tr>
    </w:tbl>
    <w:p>
      <w:pPr>
        <w:spacing w:after="60" w:before="6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6"/>
          <w:szCs w:val="36"/>
        </w:rPr>
        <w:t xml:space="preserve">Appendix A — Initial Publisher Allowlist (Template)</w:t>
      </w:r>
    </w:p>
    <w:p>
      <w:pPr>
        <w:spacing w:after="80" w:before="80"/>
      </w:pPr>
      <w:r>
        <w:rPr>
          <w:rFonts w:ascii="Arial" w:cs="Arial" w:eastAsia="Arial" w:hAnsi="Arial"/>
          <w:sz w:val="22"/>
          <w:szCs w:val="22"/>
        </w:rPr>
        <w:t xml:space="preserve">The following table is a template for the initial publisher allowlist. It is to be populated with the output of the discovery baselining exercise (Section 5.3). Values below are representative examples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500"/>
        <w:gridCol w:w="16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Publisher Common Name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Certificate Issuer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Products Covered</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Rule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Microsoft Corporation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Microsoft Code Signing PCA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Windows OS components, M365, Defender</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Approved — standard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Microsoft Corporation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Microsoft Code Signing PCA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PowerShell, .NET runtime</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Approved — 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Digital Pty Ltd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DigiCert / sectigo (confirm)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Airlock agent and components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Approved — standard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Google LLC</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Google Trust Services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Chronicle Forwarder, Chrome (if used)</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Approved — 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[Vendor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[Issuer]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[Product]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Pending — baselining</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6"/>
          <w:szCs w:val="36"/>
        </w:rPr>
        <w:t xml:space="preserve">Appendix B — Trusted Path Exemptions Reference</w:t>
      </w:r>
    </w:p>
    <w:p>
      <w:pPr>
        <w:spacing w:after="80" w:before="80"/>
      </w:pPr>
      <w:r>
        <w:rPr>
          <w:rFonts w:ascii="Arial" w:cs="Arial" w:eastAsia="Arial" w:hAnsi="Arial"/>
          <w:sz w:val="22"/>
          <w:szCs w:val="22"/>
        </w:rPr>
        <w:t xml:space="preserve">Full reference table of all trusted path exemptions configured in standard endpoint and PAW policies. To be finalised at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500"/>
        <w:gridCol w:w="28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Path</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Context Restriction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Policy</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0" w:before="0"/>
            </w:pPr>
            <w:r>
              <w:rPr>
                <w:rFonts w:ascii="Arial" w:cs="Arial" w:eastAsia="Arial" w:hAnsi="Arial"/>
                <w:b/>
                <w:bCs/>
                <w:color w:val="FFFFFF"/>
                <w:sz w:val="20"/>
                <w:szCs w:val="20"/>
              </w:rPr>
              <w:t xml:space="preserve">Justification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C:\Windows\SoftwareDistribution\Download\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SYSTEM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Both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Windows Update staging path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C:\Windows\Installer\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SYSTEM only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Both</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Windows Installer (MSI) transaction path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C:\Program Files (x86)\Microsoft Intune Management Extension\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SYSTEM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Both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Intune Win32 app deployment engine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C:\ProgramData\Microsoft\Windows Defender\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SYSTEM only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Both</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Defender platform and signature updates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C:\Windows\Temp\ (SYSTEM context)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SYSTEM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Standard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20"/>
                <w:szCs w:val="20"/>
              </w:rPr>
              <w:t xml:space="preserve">Managed deployment staging (monitor for abuse)</w:t>
            </w:r>
          </w:p>
        </w:tc>
      </w:tr>
    </w:tbl>
    <w:p>
      <w:pPr>
        <w:spacing w:after="60" w:before="6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center"/>
    </w:pPr>
    <w:r>
      <w:rPr>
        <w:rFonts w:ascii="Arial" w:cs="Arial" w:eastAsia="Arial" w:hAnsi="Arial"/>
        <w:color w:val="595959"/>
        <w:sz w:val="18"/>
        <w:szCs w:val="18"/>
      </w:rPr>
      <w:t xml:space="preserve">Page </w:t>
    </w:r>
    <w:r>
      <w:rPr>
        <w:rFonts w:ascii="Arial" w:cs="Arial" w:eastAsia="Arial" w:hAnsi="Arial"/>
        <w:color w:val="595959"/>
        <w:sz w:val="18"/>
        <w:szCs w:val="18"/>
      </w:rPr>
      <w:t xml:space="preserve">PAGE</w:t>
    </w:r>
    <w:r>
      <w:rPr>
        <w:rFonts w:ascii="Arial" w:cs="Arial" w:eastAsia="Arial" w:hAnsi="Arial"/>
        <w:color w:val="595959"/>
        <w:sz w:val="18"/>
        <w:szCs w:val="18"/>
      </w:rPr>
      <w:t xml:space="preserve">  |  OFFICIAL: Sensitive  |  Not for general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before="0"/>
    </w:pPr>
    <w:r>
      <w:rPr>
        <w:rFonts w:ascii="Arial" w:cs="Arial" w:eastAsia="Arial" w:hAnsi="Arial"/>
        <w:color w:val="595959"/>
        <w:sz w:val="18"/>
        <w:szCs w:val="18"/>
      </w:rPr>
      <w:t xml:space="preserve">OFFICIAL: Sensitive  |  LOW LEVEL DESIGN — Airlock Digital Application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2026-06-28T21:32:15.556Z</dcterms:created>
  <dcterms:modified xsi:type="dcterms:W3CDTF">2026-06-28T21:32:15.556Z</dcterms:modified>
</cp:coreProperties>
</file>

<file path=docProps/custom.xml><?xml version="1.0" encoding="utf-8"?>
<Properties xmlns="http://schemas.openxmlformats.org/officeDocument/2006/custom-properties" xmlns:vt="http://schemas.openxmlformats.org/officeDocument/2006/docPropsVTypes"/>
</file>