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F4E79" w:sz="18" w:space="6"/>
        </w:pBdr>
        <w:spacing w:after="0" w:before="1800"/>
      </w:pPr>
      <w:r>
        <w:rPr>
          <w:b/>
          <w:bCs/>
          <w:color w:val="1F3864"/>
          <w:sz w:val="56"/>
          <w:szCs w:val="56"/>
        </w:rPr>
        <w:t xml:space="preserve">Low Level Design</w:t>
      </w:r>
    </w:p>
    <w:p>
      <w:pPr>
        <w:spacing w:after="0" w:before="240"/>
      </w:pPr>
      <w:r>
        <w:rPr>
          <w:b/>
          <w:bCs/>
          <w:color w:val="404040"/>
          <w:sz w:val="40"/>
          <w:szCs w:val="40"/>
        </w:rPr>
        <w:t xml:space="preserve">Airlock Digital Application Control</w:t>
      </w:r>
    </w:p>
    <w:p>
      <w:pPr>
        <w:spacing w:after="600" w:before="120"/>
      </w:pPr>
      <w:r>
        <w:rPr>
          <w:color w:val="595959"/>
          <w:sz w:val="26"/>
          <w:szCs w:val="26"/>
        </w:rPr>
        <w:t xml:space="preserve">End User Computing Transformation Program</w:t>
      </w:r>
    </w:p>
    <w:p>
      <w:pPr>
        <w:spacing w:after="60" w:before="0"/>
      </w:pPr>
      <w:r>
        <w:rPr>
          <w:b/>
          <w:bCs/>
          <w:sz w:val="22"/>
          <w:szCs w:val="22"/>
        </w:rPr>
        <w:t xml:space="preserve">Document ID:  EUC-LLD-AIRLOCK-001</w:t>
      </w:r>
    </w:p>
    <w:p>
      <w:pPr>
        <w:spacing w:after="60"/>
      </w:pPr>
      <w:r>
        <w:rPr>
          <w:sz w:val="22"/>
          <w:szCs w:val="22"/>
        </w:rPr>
        <w:t xml:space="preserve">Version:  0.1 (Draft for Review)</w:t>
      </w:r>
    </w:p>
    <w:p>
      <w:pPr>
        <w:spacing w:after="60"/>
      </w:pPr>
      <w:r>
        <w:rPr>
          <w:sz w:val="22"/>
          <w:szCs w:val="22"/>
        </w:rPr>
        <w:t xml:space="preserve">Status:  Draft</w:t>
      </w:r>
    </w:p>
    <w:p>
      <w:pPr>
        <w:spacing w:after="60"/>
      </w:pPr>
      <w:r>
        <w:rPr>
          <w:b/>
          <w:bCs/>
          <w:color w:val="C00000"/>
          <w:sz w:val="22"/>
          <w:szCs w:val="22"/>
        </w:rPr>
        <w:t xml:space="preserve">Classification:  OFFICIAL: Sensitive</w:t>
      </w:r>
    </w:p>
    <w:p>
      <w:pPr>
        <w:spacing w:after="60"/>
      </w:pPr>
      <w:r>
        <w:rPr>
          <w:sz w:val="22"/>
          <w:szCs w:val="22"/>
        </w:rPr>
        <w:t xml:space="preserve">Maturity Target:  Essential Eight Maturity Level 2 (Application Control)</w:t>
      </w:r>
    </w:p>
    <w:p>
      <w:pPr>
        <w:pBdr>
          <w:top w:val="single" w:color="BFBFBF" w:sz="6" w:space="6"/>
        </w:pBdr>
        <w:spacing w:after="0" w:before="1200"/>
      </w:pPr>
      <w:r>
        <w:rPr>
          <w:i/>
          <w:iCs/>
          <w:color w:val="595959"/>
          <w:sz w:val="18"/>
          <w:szCs w:val="18"/>
        </w:rPr>
        <w:t xml:space="preserve">This document is a design-ahead artefact. It establishes the target-state low level design for Airlock Digital application control across the managed Windows 11 fleet and privileged access workstations prior to product procurement.</w:t>
      </w:r>
    </w:p>
    <w:p>
      <w:r>
        <w:br w:type="page"/>
      </w:r>
    </w:p>
    <w:p>
      <w:pPr>
        <w:pStyle w:val="Heading1"/>
      </w:pPr>
      <w:r>
        <w:t xml:space="preserve">1.  Document Control</w:t>
      </w:r>
    </w:p>
    <w:p>
      <w:pPr>
        <w:pStyle w:val="Heading2"/>
      </w:pPr>
      <w:r>
        <w:t xml:space="preserve">1.1  Document Metadata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pPr>
            <w:r>
              <w:rPr>
                <w:b/>
                <w:bCs/>
                <w:color w:val="FFFFFF"/>
                <w:sz w:val="19"/>
                <w:szCs w:val="19"/>
              </w:rPr>
              <w:t xml:space="preserve">Attribute</w:t>
            </w:r>
          </w:p>
        </w:tc>
        <w:tc>
          <w:tcPr>
            <w:tcW w:type="dxa" w:w="6426"/>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pPr>
            <w:r>
              <w:rPr>
                <w:b/>
                <w:bCs/>
                <w:color w:val="FFFFFF"/>
                <w:sz w:val="19"/>
                <w:szCs w:val="19"/>
              </w:rPr>
              <w:t xml:space="preserve">Value</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Document title</w:t>
            </w:r>
          </w:p>
        </w:tc>
        <w:tc>
          <w:tcPr>
            <w:tcW w:type="dxa" w:w="6426"/>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Airlock Digital Application Control — Low Level Design</w:t>
            </w:r>
          </w:p>
        </w:tc>
      </w:tr>
      <w:tr>
        <w:tc>
          <w:tcPr>
            <w:tcW w:type="dxa" w:w="2600"/>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Document ID</w:t>
            </w:r>
          </w:p>
        </w:tc>
        <w:tc>
          <w:tcPr>
            <w:tcW w:type="dxa" w:w="6426"/>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EUC-LLD-AIRLOCK-001</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Version</w:t>
            </w:r>
          </w:p>
        </w:tc>
        <w:tc>
          <w:tcPr>
            <w:tcW w:type="dxa" w:w="6426"/>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0.1 (Draft for Review)</w:t>
            </w:r>
          </w:p>
        </w:tc>
      </w:tr>
      <w:tr>
        <w:tc>
          <w:tcPr>
            <w:tcW w:type="dxa" w:w="2600"/>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Status</w:t>
            </w:r>
          </w:p>
        </w:tc>
        <w:tc>
          <w:tcPr>
            <w:tcW w:type="dxa" w:w="6426"/>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Draft</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Classification</w:t>
            </w:r>
          </w:p>
        </w:tc>
        <w:tc>
          <w:tcPr>
            <w:tcW w:type="dxa" w:w="6426"/>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b/>
                <w:bCs/>
                <w:sz w:val="19"/>
                <w:szCs w:val="19"/>
              </w:rPr>
              <w:t xml:space="preserve">OFFICIAL: Sensitive</w:t>
            </w:r>
          </w:p>
        </w:tc>
      </w:tr>
      <w:tr>
        <w:tc>
          <w:tcPr>
            <w:tcW w:type="dxa" w:w="2600"/>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Programme</w:t>
            </w:r>
          </w:p>
        </w:tc>
        <w:tc>
          <w:tcPr>
            <w:tcW w:type="dxa" w:w="6426"/>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End User Computing (EUC) Transformation</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Author</w:t>
            </w:r>
          </w:p>
        </w:tc>
        <w:tc>
          <w:tcPr>
            <w:tcW w:type="dxa" w:w="6426"/>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Enterprise Architecture</w:t>
            </w:r>
          </w:p>
        </w:tc>
      </w:tr>
      <w:tr>
        <w:tc>
          <w:tcPr>
            <w:tcW w:type="dxa" w:w="2600"/>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Document owner</w:t>
            </w:r>
          </w:p>
        </w:tc>
        <w:tc>
          <w:tcPr>
            <w:tcW w:type="dxa" w:w="6426"/>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EUC Solution Architect</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Approver</w:t>
            </w:r>
          </w:p>
        </w:tc>
        <w:tc>
          <w:tcPr>
            <w:tcW w:type="dxa" w:w="6426"/>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Design Authority / Cyber Security</w:t>
            </w:r>
          </w:p>
        </w:tc>
      </w:tr>
      <w:tr>
        <w:tc>
          <w:tcPr>
            <w:tcW w:type="dxa" w:w="2600"/>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Review cycle</w:t>
            </w:r>
          </w:p>
        </w:tc>
        <w:tc>
          <w:tcPr>
            <w:tcW w:type="dxa" w:w="6426"/>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Per release, or on material change to environment or product</w:t>
            </w:r>
          </w:p>
        </w:tc>
      </w:tr>
    </w:tbl>
    <w:p>
      <w:pPr>
        <w:spacing w:after="60"/>
      </w:pPr>
      <w:r>
        <w:t xml:space="preserve"/>
      </w:r>
    </w:p>
    <w:p>
      <w:pPr>
        <w:pStyle w:val="Heading2"/>
      </w:pPr>
      <w:r>
        <w:t xml:space="preserve">1.2  Version History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2400"/>
        <w:gridCol w:w="4026"/>
      </w:tblGrid>
      <w:tr>
        <w:trPr>
          <w:tblHeader/>
        </w:trPr>
        <w:tc>
          <w:tcPr>
            <w:tcW w:type="dxa" w:w="110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pPr>
            <w:r>
              <w:rPr>
                <w:b/>
                <w:bCs/>
                <w:color w:val="FFFFFF"/>
                <w:sz w:val="19"/>
                <w:szCs w:val="19"/>
              </w:rPr>
              <w:t xml:space="preserve">Version</w:t>
            </w:r>
          </w:p>
        </w:tc>
        <w:tc>
          <w:tcPr>
            <w:tcW w:type="dxa" w:w="150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pPr>
            <w:r>
              <w:rPr>
                <w:b/>
                <w:bCs/>
                <w:color w:val="FFFFFF"/>
                <w:sz w:val="19"/>
                <w:szCs w:val="19"/>
              </w:rPr>
              <w:t xml:space="preserve">Date</w:t>
            </w:r>
          </w:p>
        </w:tc>
        <w:tc>
          <w:tcPr>
            <w:tcW w:type="dxa" w:w="240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pPr>
            <w:r>
              <w:rPr>
                <w:b/>
                <w:bCs/>
                <w:color w:val="FFFFFF"/>
                <w:sz w:val="19"/>
                <w:szCs w:val="19"/>
              </w:rPr>
              <w:t xml:space="preserve">Author</w:t>
            </w:r>
          </w:p>
        </w:tc>
        <w:tc>
          <w:tcPr>
            <w:tcW w:type="dxa" w:w="4026"/>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pPr>
            <w:r>
              <w:rPr>
                <w:b/>
                <w:bCs/>
                <w:color w:val="FFFFFF"/>
                <w:sz w:val="19"/>
                <w:szCs w:val="19"/>
              </w:rPr>
              <w:t xml:space="preserve">Summary of change</w:t>
            </w:r>
          </w:p>
        </w:tc>
      </w:tr>
      <w:tr>
        <w:tc>
          <w:tcPr>
            <w:tcW w:type="dxa" w:w="1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0.1</w:t>
            </w:r>
          </w:p>
        </w:tc>
        <w:tc>
          <w:tcPr>
            <w:tcW w:type="dxa" w:w="1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TBA</w:t>
            </w:r>
          </w:p>
        </w:tc>
        <w:tc>
          <w:tcPr>
            <w:tcW w:type="dxa" w:w="2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Enterprise Architecture</w:t>
            </w:r>
          </w:p>
        </w:tc>
        <w:tc>
          <w:tcPr>
            <w:tcW w:type="dxa" w:w="4026"/>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Initial draft for internal review. Establishes target-state design ahead of procurement.</w:t>
            </w:r>
          </w:p>
        </w:tc>
      </w:tr>
    </w:tbl>
    <w:p>
      <w:pPr>
        <w:spacing w:after="60"/>
      </w:pPr>
      <w:r>
        <w:t xml:space="preserve"/>
      </w:r>
    </w:p>
    <w:p>
      <w:pPr>
        <w:pStyle w:val="Heading2"/>
      </w:pPr>
      <w:r>
        <w:t xml:space="preserve">1.3  Distribution 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pPr>
            <w:r>
              <w:rPr>
                <w:b/>
                <w:bCs/>
                <w:color w:val="FFFFFF"/>
                <w:sz w:val="19"/>
                <w:szCs w:val="19"/>
              </w:rPr>
              <w:t xml:space="preserve">Role</w:t>
            </w:r>
          </w:p>
        </w:tc>
        <w:tc>
          <w:tcPr>
            <w:tcW w:type="dxa" w:w="6026"/>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pPr>
            <w:r>
              <w:rPr>
                <w:b/>
                <w:bCs/>
                <w:color w:val="FFFFFF"/>
                <w:sz w:val="19"/>
                <w:szCs w:val="19"/>
              </w:rPr>
              <w:t xml:space="preserve">Purpose</w:t>
            </w:r>
          </w:p>
        </w:tc>
      </w:tr>
      <w:tr>
        <w:tc>
          <w:tcPr>
            <w:tcW w:type="dxa" w:w="30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Design Authority</w:t>
            </w:r>
          </w:p>
        </w:tc>
        <w:tc>
          <w:tcPr>
            <w:tcW w:type="dxa" w:w="6026"/>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Design endorsement and architectural governance</w:t>
            </w:r>
          </w:p>
        </w:tc>
      </w:tr>
      <w:tr>
        <w:tc>
          <w:tcPr>
            <w:tcW w:type="dxa" w:w="3000"/>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Cyber Security / ITSA</w:t>
            </w:r>
          </w:p>
        </w:tc>
        <w:tc>
          <w:tcPr>
            <w:tcW w:type="dxa" w:w="6026"/>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Security assurance and Essential Eight assessment alignment</w:t>
            </w:r>
          </w:p>
        </w:tc>
      </w:tr>
      <w:tr>
        <w:tc>
          <w:tcPr>
            <w:tcW w:type="dxa" w:w="30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EUC Platform Engineering</w:t>
            </w:r>
          </w:p>
        </w:tc>
        <w:tc>
          <w:tcPr>
            <w:tcW w:type="dxa" w:w="6026"/>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Implementation and build</w:t>
            </w:r>
          </w:p>
        </w:tc>
      </w:tr>
      <w:tr>
        <w:tc>
          <w:tcPr>
            <w:tcW w:type="dxa" w:w="3000"/>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Service Operations</w:t>
            </w:r>
          </w:p>
        </w:tc>
        <w:tc>
          <w:tcPr>
            <w:tcW w:type="dxa" w:w="6026"/>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Operational acceptance and BAU readiness</w:t>
            </w:r>
          </w:p>
        </w:tc>
      </w:tr>
      <w:tr>
        <w:tc>
          <w:tcPr>
            <w:tcW w:type="dxa" w:w="30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SOC / Detection Engineering</w:t>
            </w:r>
          </w:p>
        </w:tc>
        <w:tc>
          <w:tcPr>
            <w:tcW w:type="dxa" w:w="6026"/>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SIEM integration and monitoring use cases</w:t>
            </w:r>
          </w:p>
        </w:tc>
      </w:tr>
    </w:tbl>
    <w:p>
      <w:pPr>
        <w:spacing w:after="60"/>
      </w:pPr>
      <w:r>
        <w:t xml:space="preserve"/>
      </w:r>
    </w:p>
    <w:p>
      <w:pPr>
        <w:pStyle w:val="Heading2"/>
      </w:pPr>
      <w:r>
        <w:t xml:space="preserve">1.4  Related Documents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pPr>
            <w:r>
              <w:rPr>
                <w:b/>
                <w:bCs/>
                <w:color w:val="FFFFFF"/>
                <w:sz w:val="19"/>
                <w:szCs w:val="19"/>
              </w:rPr>
              <w:t xml:space="preserve">Reference</w:t>
            </w:r>
          </w:p>
        </w:tc>
        <w:tc>
          <w:tcPr>
            <w:tcW w:type="dxa" w:w="6626"/>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pPr>
            <w:r>
              <w:rPr>
                <w:b/>
                <w:bCs/>
                <w:color w:val="FFFFFF"/>
                <w:sz w:val="19"/>
                <w:szCs w:val="19"/>
              </w:rPr>
              <w:t xml:space="preserve">Document</w:t>
            </w:r>
          </w:p>
        </w:tc>
      </w:tr>
      <w:tr>
        <w:tc>
          <w:tcPr>
            <w:tcW w:type="dxa" w:w="2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EUC-HLD-001</w:t>
            </w:r>
          </w:p>
        </w:tc>
        <w:tc>
          <w:tcPr>
            <w:tcW w:type="dxa" w:w="6626"/>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EUC High Level Design — cloud-native end user computing environment</w:t>
            </w:r>
          </w:p>
        </w:tc>
      </w:tr>
      <w:tr>
        <w:tc>
          <w:tcPr>
            <w:tcW w:type="dxa" w:w="2400"/>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EUC-LLD-INTUNE-001</w:t>
            </w:r>
          </w:p>
        </w:tc>
        <w:tc>
          <w:tcPr>
            <w:tcW w:type="dxa" w:w="6626"/>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Microsoft Intune Platform Low Level Design</w:t>
            </w:r>
          </w:p>
        </w:tc>
      </w:tr>
      <w:tr>
        <w:tc>
          <w:tcPr>
            <w:tcW w:type="dxa" w:w="2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EUC-RBAC-001</w:t>
            </w:r>
          </w:p>
        </w:tc>
        <w:tc>
          <w:tcPr>
            <w:tcW w:type="dxa" w:w="6626"/>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Intune RBAC As-Built</w:t>
            </w:r>
          </w:p>
        </w:tc>
      </w:tr>
      <w:tr>
        <w:tc>
          <w:tcPr>
            <w:tcW w:type="dxa" w:w="2400"/>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EUC-OP-APPCTRL-001</w:t>
            </w:r>
          </w:p>
        </w:tc>
        <w:tc>
          <w:tcPr>
            <w:tcW w:type="dxa" w:w="6626"/>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Application Control Options Paper (ACfB/WDAC vs Airlock Digital)</w:t>
            </w:r>
          </w:p>
        </w:tc>
      </w:tr>
      <w:tr>
        <w:tc>
          <w:tcPr>
            <w:tcW w:type="dxa" w:w="2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ASD-BP</w:t>
            </w:r>
          </w:p>
        </w:tc>
        <w:tc>
          <w:tcPr>
            <w:tcW w:type="dxa" w:w="6626"/>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ASD Blueprint for Secure Cloud — Application Control guidance</w:t>
            </w:r>
          </w:p>
        </w:tc>
      </w:tr>
      <w:tr>
        <w:tc>
          <w:tcPr>
            <w:tcW w:type="dxa" w:w="2400"/>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ISM / E8</w:t>
            </w:r>
          </w:p>
        </w:tc>
        <w:tc>
          <w:tcPr>
            <w:tcW w:type="dxa" w:w="6626"/>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ISM and Essential Eight Maturity Model (Application Control mitigation strategy)</w:t>
            </w:r>
          </w:p>
        </w:tc>
      </w:tr>
    </w:tbl>
    <w:p>
      <w:pPr>
        <w:spacing w:after="60"/>
      </w:pPr>
      <w:r>
        <w:t xml:space="preserve"/>
      </w:r>
    </w:p>
    <w:p>
      <w:pPr>
        <w:spacing w:after="140" w:line="276"/>
      </w:pPr>
      <w:r>
        <w:rPr>
          <w:b/>
          <w:bCs/>
        </w:rPr>
        <w:t xml:space="preserve">Note on document scope boundaries.  </w:t>
      </w:r>
      <w:r>
        <w:t xml:space="preserve">Console role-based access control is designed within this document (Section 8) because the Airlock console is a discrete management plane not covered by </w:t>
      </w:r>
      <w:r>
        <w:rPr>
          <w:i/>
          <w:iCs/>
        </w:rPr>
        <w:t xml:space="preserve">EUC-RBAC-001</w:t>
      </w:r>
      <w:r>
        <w:t xml:space="preserve">, which addresses Intune RBAC. Where this document references identity, device enrolment, or fleet segmentation, the authoritative source remains the Intune platform LLD and HLD.</w:t>
      </w:r>
    </w:p>
    <w:p>
      <w:r>
        <w:br w:type="page"/>
      </w:r>
    </w:p>
    <w:p>
      <w:pPr>
        <w:spacing w:after="160"/>
      </w:pPr>
      <w:r>
        <w:rPr>
          <w:b/>
          <w:bCs/>
          <w:color w:val="1F3864"/>
          <w:sz w:val="32"/>
          <w:szCs w:val="32"/>
        </w:rP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2.  Introduction</w:t>
      </w:r>
    </w:p>
    <w:p>
      <w:pPr>
        <w:pStyle w:val="Heading2"/>
      </w:pPr>
      <w:r>
        <w:t xml:space="preserve">2.1  Purpose</w:t>
      </w:r>
    </w:p>
    <w:p>
      <w:pPr>
        <w:spacing w:after="140" w:line="276"/>
      </w:pPr>
      <w:r>
        <w:t xml:space="preserve">This Low Level Design (LLD) defines the target-state implementation of </w:t>
      </w:r>
      <w:r>
        <w:rPr>
          <w:b/>
          <w:bCs/>
        </w:rPr>
        <w:t xml:space="preserve">Airlock Digital application control</w:t>
      </w:r>
      <w:r>
        <w:t xml:space="preserve"> across the managed end user computing fleet. It is the authoritative design reference for the engineering, deployment, configuration, operation and monitoring of application control as an enforced security control, and it provides the level of detail required to build the solution without further design decisions.</w:t>
      </w:r>
    </w:p>
    <w:p>
      <w:pPr>
        <w:spacing w:after="140" w:line="276"/>
      </w:pPr>
      <w:r>
        <w:t xml:space="preserve">Application control is one of the eight mitigation strategies in the ASD Essential Eight. This design targets </w:t>
      </w:r>
      <w:r>
        <w:rPr>
          <w:b/>
          <w:bCs/>
        </w:rPr>
        <w:t xml:space="preserve">Maturity Level 2 (ML2)</w:t>
      </w:r>
      <w:r>
        <w:t xml:space="preserve"> for the application control control area and is structured to permit a later uplift to ML3 without re-architecture. The design is deliberately produced </w:t>
      </w:r>
      <w:r>
        <w:rPr>
          <w:b/>
          <w:bCs/>
        </w:rPr>
        <w:t xml:space="preserve">ahead of procurement</w:t>
      </w:r>
      <w:r>
        <w:t xml:space="preserve">: it documents the decisions and configuration that will be committed once the product is licensed, and it captures the small number of items requiring vendor confirmation (Appendix E).</w:t>
      </w:r>
    </w:p>
    <w:p>
      <w:pPr>
        <w:pStyle w:val="Heading2"/>
      </w:pPr>
      <w:r>
        <w:t xml:space="preserve">2.2  Scope</w:t>
      </w:r>
    </w:p>
    <w:p>
      <w:pPr>
        <w:spacing w:after="140" w:line="276"/>
      </w:pPr>
      <w:r>
        <w:rPr>
          <w:b/>
          <w:bCs/>
        </w:rPr>
        <w:t xml:space="preserve">In scope</w:t>
      </w:r>
    </w:p>
    <w:p>
      <w:pPr>
        <w:pStyle w:val="ListParagraph"/>
        <w:numPr>
          <w:ilvl w:val="0"/>
          <w:numId w:val="2"/>
        </w:numPr>
        <w:spacing w:after="60" w:line="276"/>
      </w:pPr>
      <w:r>
        <w:t xml:space="preserve">Standard user devices, both physical Windows 11 endpoints and Windows 365 Cloud PCs (approximately 2,500 users).</w:t>
      </w:r>
    </w:p>
    <w:p>
      <w:pPr>
        <w:pStyle w:val="ListParagraph"/>
        <w:numPr>
          <w:ilvl w:val="0"/>
          <w:numId w:val="2"/>
        </w:numPr>
        <w:spacing w:after="60" w:line="276"/>
      </w:pPr>
      <w:r>
        <w:t xml:space="preserve">Physical Privileged Access Workstations (PAWs) used for administration of the cloud-native environment.</w:t>
      </w:r>
    </w:p>
    <w:p>
      <w:pPr>
        <w:pStyle w:val="ListParagraph"/>
        <w:numPr>
          <w:ilvl w:val="0"/>
          <w:numId w:val="2"/>
        </w:numPr>
        <w:spacing w:after="60" w:line="276"/>
      </w:pPr>
      <w:r>
        <w:t xml:space="preserve">Developer devices delivered as Windows 365 Cloud PCs (Secure Developer Environment), which receive a loosened but still-enforced control posture.</w:t>
      </w:r>
    </w:p>
    <w:p>
      <w:pPr>
        <w:pStyle w:val="ListParagraph"/>
        <w:numPr>
          <w:ilvl w:val="0"/>
          <w:numId w:val="2"/>
        </w:numPr>
        <w:spacing w:after="60" w:line="276"/>
      </w:pPr>
      <w:r>
        <w:t xml:space="preserve">Airlock Digital server/console deployment topology (cloud and on-premises options assessed).</w:t>
      </w:r>
    </w:p>
    <w:p>
      <w:pPr>
        <w:pStyle w:val="ListParagraph"/>
        <w:numPr>
          <w:ilvl w:val="0"/>
          <w:numId w:val="2"/>
        </w:numPr>
        <w:spacing w:after="60" w:line="276"/>
      </w:pPr>
      <w:r>
        <w:t xml:space="preserve">Enforcement Agent packaging and deployment via Microsoft Intune as a Win32 application, across physical and Windows 365 devices.</w:t>
      </w:r>
    </w:p>
    <w:p>
      <w:pPr>
        <w:pStyle w:val="ListParagraph"/>
        <w:numPr>
          <w:ilvl w:val="0"/>
          <w:numId w:val="2"/>
        </w:numPr>
        <w:spacing w:after="60" w:line="276"/>
      </w:pPr>
      <w:r>
        <w:t xml:space="preserve">Allowlisting policy design (publisher-primary with hash fallback), trusted-path and installer exemptions, and blocklist overlay, differentiated per device population.</w:t>
      </w:r>
    </w:p>
    <w:p>
      <w:pPr>
        <w:pStyle w:val="ListParagraph"/>
        <w:numPr>
          <w:ilvl w:val="0"/>
          <w:numId w:val="2"/>
        </w:numPr>
        <w:spacing w:after="60" w:line="276"/>
      </w:pPr>
      <w:r>
        <w:t xml:space="preserve">Console role-based access control and administrative authentication.</w:t>
      </w:r>
    </w:p>
    <w:p>
      <w:pPr>
        <w:pStyle w:val="ListParagraph"/>
        <w:numPr>
          <w:ilvl w:val="0"/>
          <w:numId w:val="2"/>
        </w:numPr>
        <w:spacing w:after="60" w:line="276"/>
      </w:pPr>
      <w:r>
        <w:t xml:space="preserve">Event logging and integration with Google Security Operations (SecOps / Chronicle) as the SIEM of record.</w:t>
      </w:r>
    </w:p>
    <w:p>
      <w:pPr>
        <w:pStyle w:val="ListParagraph"/>
        <w:numPr>
          <w:ilvl w:val="0"/>
          <w:numId w:val="2"/>
        </w:numPr>
        <w:spacing w:after="60" w:line="276"/>
      </w:pPr>
      <w:r>
        <w:t xml:space="preserve">Operational workflows: One Time Password (OTP) including developer self-service authorisation, exception handling, application onboarding and break-glass.</w:t>
      </w:r>
    </w:p>
    <w:p>
      <w:pPr>
        <w:spacing w:after="140" w:line="276"/>
      </w:pPr>
      <w:r>
        <w:rPr>
          <w:b/>
          <w:bCs/>
        </w:rPr>
        <w:t xml:space="preserve">Out of scope</w:t>
      </w:r>
    </w:p>
    <w:p>
      <w:pPr>
        <w:pStyle w:val="ListParagraph"/>
        <w:numPr>
          <w:ilvl w:val="0"/>
          <w:numId w:val="2"/>
        </w:numPr>
        <w:spacing w:after="60" w:line="276"/>
      </w:pPr>
      <w:r>
        <w:t xml:space="preserve">Server operating systems and server application control (no in-scope server estate in this programme phase).</w:t>
      </w:r>
    </w:p>
    <w:p>
      <w:pPr>
        <w:pStyle w:val="ListParagraph"/>
        <w:numPr>
          <w:ilvl w:val="0"/>
          <w:numId w:val="2"/>
        </w:numPr>
        <w:spacing w:after="60" w:line="276"/>
      </w:pPr>
      <w:r>
        <w:t xml:space="preserve">macOS and Linux endpoints (not present in the managed fleet).</w:t>
      </w:r>
    </w:p>
    <w:p>
      <w:pPr>
        <w:pStyle w:val="ListParagraph"/>
        <w:numPr>
          <w:ilvl w:val="0"/>
          <w:numId w:val="2"/>
        </w:numPr>
        <w:spacing w:after="60" w:line="276"/>
      </w:pPr>
      <w:r>
        <w:t xml:space="preserve">iOS / mobile devices — application management for mobile is delivered through Intune mobile application management and is documented separately.</w:t>
      </w:r>
    </w:p>
    <w:p>
      <w:pPr>
        <w:pStyle w:val="ListParagraph"/>
        <w:numPr>
          <w:ilvl w:val="0"/>
          <w:numId w:val="2"/>
        </w:numPr>
        <w:spacing w:after="60" w:line="276"/>
      </w:pPr>
      <w:r>
        <w:t xml:space="preserve">Microsoft App Control for Business (WDAC) configuration. WDAC is referenced only where it provides complementary defence-in-depth (Section 6.6); the product selection rationale is held in </w:t>
      </w:r>
      <w:r>
        <w:rPr>
          <w:i/>
          <w:iCs/>
        </w:rPr>
        <w:t xml:space="preserve">EUC-OP-APPCTRL-001</w:t>
      </w:r>
      <w:r>
        <w:t xml:space="preserve">.</w:t>
      </w:r>
    </w:p>
    <w:p>
      <w:pPr>
        <w:pStyle w:val="ListParagraph"/>
        <w:numPr>
          <w:ilvl w:val="0"/>
          <w:numId w:val="2"/>
        </w:numPr>
        <w:spacing w:after="60" w:line="276"/>
      </w:pPr>
      <w:r>
        <w:t xml:space="preserve">Procurement, commercial and licensing activities.</w:t>
      </w:r>
    </w:p>
    <w:p>
      <w:pPr>
        <w:pStyle w:val="Heading2"/>
      </w:pPr>
      <w:r>
        <w:t xml:space="preserve">2.3  Intended Audience</w:t>
      </w:r>
    </w:p>
    <w:p>
      <w:pPr>
        <w:spacing w:after="140" w:line="276"/>
      </w:pPr>
      <w:r>
        <w:t xml:space="preserve">This document is written for a technical implementation and assurance audience: EUC platform engineers building and deploying the solution, cyber security and ITSA personnel assessing Essential Eight alignment, SOC and detection engineering teams consuming Airlock telemetry, and the Design Authority providing architectural governance. Readers are assumed to be familiar with Microsoft Intune, Entra ID, the Essential Eight Maturity Model and the ASD Blueprint.</w:t>
      </w:r>
    </w:p>
    <w:p>
      <w:pPr>
        <w:pStyle w:val="Heading2"/>
      </w:pPr>
      <w:r>
        <w:t xml:space="preserve">2.4  Assumptions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rPr>
          <w:tblHeader/>
        </w:trPr>
        <w:tc>
          <w:tcPr>
            <w:tcW w:type="dxa" w:w="70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pPr>
            <w:r>
              <w:rPr>
                <w:b/>
                <w:bCs/>
                <w:color w:val="FFFFFF"/>
                <w:sz w:val="19"/>
                <w:szCs w:val="19"/>
              </w:rPr>
              <w:t xml:space="preserve">#</w:t>
            </w:r>
          </w:p>
        </w:tc>
        <w:tc>
          <w:tcPr>
            <w:tcW w:type="dxa" w:w="8326"/>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pPr>
            <w:r>
              <w:rPr>
                <w:b/>
                <w:bCs/>
                <w:color w:val="FFFFFF"/>
                <w:sz w:val="19"/>
                <w:szCs w:val="19"/>
              </w:rPr>
              <w:t xml:space="preserve">Assumption</w:t>
            </w:r>
          </w:p>
        </w:tc>
      </w:tr>
      <w:tr>
        <w:tc>
          <w:tcPr>
            <w:tcW w:type="dxa" w:w="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A1</w:t>
            </w:r>
          </w:p>
        </w:tc>
        <w:tc>
          <w:tcPr>
            <w:tcW w:type="dxa" w:w="8326"/>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Endpoints (physical Windows 11 and Windows 365 Cloud PCs) are Entra ID joined (cloud-only) and managed exclusively through Microsoft Intune. No on-premises Active Directory or Group Policy is present.</w:t>
            </w:r>
          </w:p>
        </w:tc>
      </w:tr>
      <w:tr>
        <w:tc>
          <w:tcPr>
            <w:tcW w:type="dxa" w:w="700"/>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A2</w:t>
            </w:r>
          </w:p>
        </w:tc>
        <w:tc>
          <w:tcPr>
            <w:tcW w:type="dxa" w:w="8326"/>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A current, controlled Standard Operating Environment (SOE) build process and a Windows 365 provisioning (gold) image exist and can be instrumented to produce the application control baseline (Section 6.3).</w:t>
            </w:r>
          </w:p>
        </w:tc>
      </w:tr>
      <w:tr>
        <w:tc>
          <w:tcPr>
            <w:tcW w:type="dxa" w:w="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A3</w:t>
            </w:r>
          </w:p>
        </w:tc>
        <w:tc>
          <w:tcPr>
            <w:tcW w:type="dxa" w:w="8326"/>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Google SecOps (Chronicle) is the enterprise SIEM and is available to receive Airlock telemetry.</w:t>
            </w:r>
          </w:p>
        </w:tc>
      </w:tr>
      <w:tr>
        <w:tc>
          <w:tcPr>
            <w:tcW w:type="dxa" w:w="700"/>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A4</w:t>
            </w:r>
          </w:p>
        </w:tc>
        <w:tc>
          <w:tcPr>
            <w:tcW w:type="dxa" w:w="8326"/>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Microsoft Defender for Endpoint is deployed fleet-wide and operates alongside application control as a complementary detection-and-response control.</w:t>
            </w:r>
          </w:p>
        </w:tc>
      </w:tr>
      <w:tr>
        <w:tc>
          <w:tcPr>
            <w:tcW w:type="dxa" w:w="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A5</w:t>
            </w:r>
          </w:p>
        </w:tc>
        <w:tc>
          <w:tcPr>
            <w:tcW w:type="dxa" w:w="8326"/>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Entra ID provides enterprise SSO and MFA and can federate administrative access to the Airlock console (SAML / OIDC).</w:t>
            </w:r>
          </w:p>
        </w:tc>
      </w:tr>
      <w:tr>
        <w:tc>
          <w:tcPr>
            <w:tcW w:type="dxa" w:w="700"/>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A6</w:t>
            </w:r>
          </w:p>
        </w:tc>
        <w:tc>
          <w:tcPr>
            <w:tcW w:type="dxa" w:w="8326"/>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Data residency obligations require Australian-region hosting and storage of telemetry and configuration for OFFICIAL: Sensitive data.</w:t>
            </w:r>
          </w:p>
        </w:tc>
      </w:tr>
      <w:tr>
        <w:tc>
          <w:tcPr>
            <w:tcW w:type="dxa" w:w="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A7</w:t>
            </w:r>
          </w:p>
        </w:tc>
        <w:tc>
          <w:tcPr>
            <w:tcW w:type="dxa" w:w="8326"/>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Windows 365 Cloud PCs are persistent, single-user dedicated Windows 11 Enterprise virtual machines on which the Enforcement Agent runs as on any physical Windows 11 endpoint.</w:t>
            </w:r>
          </w:p>
        </w:tc>
      </w:tr>
    </w:tbl>
    <w:p>
      <w:pPr>
        <w:spacing w:after="60"/>
      </w:pPr>
      <w:r>
        <w:t xml:space="preserve"/>
      </w:r>
    </w:p>
    <w:p>
      <w:pPr>
        <w:pStyle w:val="Heading2"/>
      </w:pPr>
      <w:r>
        <w:t xml:space="preserve">2.5  Constraints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rPr>
          <w:tblHeader/>
        </w:trPr>
        <w:tc>
          <w:tcPr>
            <w:tcW w:type="dxa" w:w="70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pPr>
            <w:r>
              <w:rPr>
                <w:b/>
                <w:bCs/>
                <w:color w:val="FFFFFF"/>
                <w:sz w:val="19"/>
                <w:szCs w:val="19"/>
              </w:rPr>
              <w:t xml:space="preserve">#</w:t>
            </w:r>
          </w:p>
        </w:tc>
        <w:tc>
          <w:tcPr>
            <w:tcW w:type="dxa" w:w="8326"/>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pPr>
            <w:r>
              <w:rPr>
                <w:b/>
                <w:bCs/>
                <w:color w:val="FFFFFF"/>
                <w:sz w:val="19"/>
                <w:szCs w:val="19"/>
              </w:rPr>
              <w:t xml:space="preserve">Constraint</w:t>
            </w:r>
          </w:p>
        </w:tc>
      </w:tr>
      <w:tr>
        <w:tc>
          <w:tcPr>
            <w:tcW w:type="dxa" w:w="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C1</w:t>
            </w:r>
          </w:p>
        </w:tc>
        <w:tc>
          <w:tcPr>
            <w:tcW w:type="dxa" w:w="8326"/>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The solution must support an enforced (block) posture from production go-live; a permissive learning period on production devices is not acceptable to the security stakeholder (see Section 3.6 for how this is achieved safely).</w:t>
            </w:r>
          </w:p>
        </w:tc>
      </w:tr>
      <w:tr>
        <w:tc>
          <w:tcPr>
            <w:tcW w:type="dxa" w:w="700"/>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C2</w:t>
            </w:r>
          </w:p>
        </w:tc>
        <w:tc>
          <w:tcPr>
            <w:tcW w:type="dxa" w:w="8326"/>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Agent deployment must use Intune Win32 app delivery; no third-party software distribution platform is available.</w:t>
            </w:r>
          </w:p>
        </w:tc>
      </w:tr>
      <w:tr>
        <w:tc>
          <w:tcPr>
            <w:tcW w:type="dxa" w:w="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C3</w:t>
            </w:r>
          </w:p>
        </w:tc>
        <w:tc>
          <w:tcPr>
            <w:tcW w:type="dxa" w:w="8326"/>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PAWs must not permit user-initiated software installation or self-service execution bypass.</w:t>
            </w:r>
          </w:p>
        </w:tc>
      </w:tr>
      <w:tr>
        <w:tc>
          <w:tcPr>
            <w:tcW w:type="dxa" w:w="700"/>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C4</w:t>
            </w:r>
          </w:p>
        </w:tc>
        <w:tc>
          <w:tcPr>
            <w:tcW w:type="dxa" w:w="8326"/>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Telemetry must remain within Australian sovereign boundaries at OFFICIAL: Sensitive.</w:t>
            </w:r>
          </w:p>
        </w:tc>
      </w:tr>
      <w:tr>
        <w:tc>
          <w:tcPr>
            <w:tcW w:type="dxa" w:w="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C5</w:t>
            </w:r>
          </w:p>
        </w:tc>
        <w:tc>
          <w:tcPr>
            <w:tcW w:type="dxa" w:w="8326"/>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Design must align to the ASD Blueprint and be capable of supporting Essential Eight ML2 assessment evidence.</w:t>
            </w:r>
          </w:p>
        </w:tc>
      </w:tr>
      <w:tr>
        <w:tc>
          <w:tcPr>
            <w:tcW w:type="dxa" w:w="700"/>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C6</w:t>
            </w:r>
          </w:p>
        </w:tc>
        <w:tc>
          <w:tcPr>
            <w:tcW w:type="dxa" w:w="8326"/>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Developer devices require a loosened control posture (including developer self-service authorisation) to support software development workflows, while remaining enforced and fully logged. Controls must not be reduced to audit-only or removed on developer devices.</w:t>
            </w:r>
          </w:p>
        </w:tc>
      </w:tr>
    </w:tbl>
    <w:p>
      <w:pPr>
        <w:spacing w:after="60"/>
      </w:pPr>
      <w:r>
        <w:t xml:space="preserve"/>
      </w:r>
    </w:p>
    <w:p>
      <w:pPr>
        <w:pStyle w:val="Heading2"/>
      </w:pPr>
      <w:r>
        <w:t xml:space="preserve">2.6  Dependencies</w:t>
      </w:r>
    </w:p>
    <w:p>
      <w:pPr>
        <w:pStyle w:val="ListParagraph"/>
        <w:numPr>
          <w:ilvl w:val="0"/>
          <w:numId w:val="2"/>
        </w:numPr>
        <w:spacing w:after="60" w:line="276"/>
      </w:pPr>
      <w:r>
        <w:rPr>
          <w:b/>
          <w:bCs/>
        </w:rPr>
        <w:t xml:space="preserve">Microsoft Intune — </w:t>
      </w:r>
      <w:r>
        <w:t xml:space="preserve">agent packaging, assignment, device targeting via groups and filters, and detection.</w:t>
      </w:r>
    </w:p>
    <w:p>
      <w:pPr>
        <w:pStyle w:val="ListParagraph"/>
        <w:numPr>
          <w:ilvl w:val="0"/>
          <w:numId w:val="2"/>
        </w:numPr>
        <w:spacing w:after="60" w:line="276"/>
      </w:pPr>
      <w:r>
        <w:rPr>
          <w:b/>
          <w:bCs/>
        </w:rPr>
        <w:t xml:space="preserve">Entra ID — </w:t>
      </w:r>
      <w:r>
        <w:t xml:space="preserve">administrative SSO/MFA to the console, and device/group constructs used for policy targeting.</w:t>
      </w:r>
    </w:p>
    <w:p>
      <w:pPr>
        <w:pStyle w:val="ListParagraph"/>
        <w:numPr>
          <w:ilvl w:val="0"/>
          <w:numId w:val="2"/>
        </w:numPr>
        <w:spacing w:after="60" w:line="276"/>
      </w:pPr>
      <w:r>
        <w:rPr>
          <w:b/>
          <w:bCs/>
        </w:rPr>
        <w:t xml:space="preserve">Google SecOps (Chronicle) — </w:t>
      </w:r>
      <w:r>
        <w:t xml:space="preserve">log ingestion endpoint, parser/normalisation and detection content.</w:t>
      </w:r>
    </w:p>
    <w:p>
      <w:pPr>
        <w:pStyle w:val="ListParagraph"/>
        <w:numPr>
          <w:ilvl w:val="0"/>
          <w:numId w:val="2"/>
        </w:numPr>
        <w:spacing w:after="60" w:line="276"/>
      </w:pPr>
      <w:r>
        <w:rPr>
          <w:b/>
          <w:bCs/>
        </w:rPr>
        <w:t xml:space="preserve">SOE build pipeline — </w:t>
      </w:r>
      <w:r>
        <w:t xml:space="preserve">source of the initial allowlist baseline.</w:t>
      </w:r>
    </w:p>
    <w:p>
      <w:pPr>
        <w:pStyle w:val="ListParagraph"/>
        <w:numPr>
          <w:ilvl w:val="0"/>
          <w:numId w:val="2"/>
        </w:numPr>
        <w:spacing w:after="60" w:line="276"/>
      </w:pPr>
      <w:r>
        <w:rPr>
          <w:b/>
          <w:bCs/>
        </w:rPr>
        <w:t xml:space="preserve">Service Management (ITSM) — </w:t>
      </w:r>
      <w:r>
        <w:t xml:space="preserve">exception request and application onboarding workflows; optional native integration (ServiceNow / Teams).</w:t>
      </w:r>
    </w:p>
    <w:p>
      <w:pPr>
        <w:pStyle w:val="Heading2"/>
      </w:pPr>
      <w:r>
        <w:t xml:space="preserve">2.7  ASD Blueprint Alignment</w:t>
      </w:r>
    </w:p>
    <w:p>
      <w:pPr>
        <w:spacing w:after="140" w:line="276"/>
      </w:pPr>
      <w:r>
        <w:t xml:space="preserve">Airlock Digital is the selected control for the Essential Eight </w:t>
      </w:r>
      <w:r>
        <w:rPr>
          <w:b/>
          <w:bCs/>
        </w:rPr>
        <w:t xml:space="preserve">Application Control</w:t>
      </w:r>
      <w:r>
        <w:t xml:space="preserve"> mitigation strategy. The ASD Blueprint and the Essential Eight Maturity Model require that the execution of executables, software libraries, scripts, installers, compiled HTML, HTML applications and control panel applets be controlled to an organisation-approved set on workstations, and that Microsoft's recommended application blocklist is implemented. The traceability of this design to those requirements is consolidated in Section 11. Design rationale is provided in prose throughout; the traceability table is a summary, not a substitute for the body of the design.</w:t>
      </w:r>
    </w:p>
    <w:p>
      <w:r>
        <w:br w:type="page"/>
      </w:r>
    </w:p>
    <w:p>
      <w:pPr>
        <w:pStyle w:val="Heading1"/>
      </w:pPr>
      <w:r>
        <w:t xml:space="preserve">3.  Solution Overview</w:t>
      </w:r>
    </w:p>
    <w:p>
      <w:pPr>
        <w:pStyle w:val="Heading2"/>
      </w:pPr>
      <w:r>
        <w:t xml:space="preserve">3.1  Product Overview</w:t>
      </w:r>
    </w:p>
    <w:p>
      <w:pPr>
        <w:spacing w:after="140" w:line="276"/>
      </w:pPr>
      <w:r>
        <w:t xml:space="preserve">Airlock Digital is a dedicated application control (allowlisting) and execution control product built around a </w:t>
      </w:r>
      <w:r>
        <w:rPr>
          <w:b/>
          <w:bCs/>
        </w:rPr>
        <w:t xml:space="preserve">Deny by Default</w:t>
      </w:r>
      <w:r>
        <w:t xml:space="preserve"> model: only files the organisation has explicitly trusted are permitted to execute, and everything else is blocked. This is the inverse of signature-based anti-malware, which permits execution unless a file is known-bad. Deny by Default is the posture the Essential Eight application control strategy is designed to achieve, because it neutralises unknown and novel executable threats — including ransomware and living-off-the-land tooling — before they run.</w:t>
      </w:r>
    </w:p>
    <w:p>
      <w:pPr>
        <w:spacing w:after="140" w:line="276"/>
      </w:pPr>
      <w:r>
        <w:t xml:space="preserve">Airlock applies trust using file attributes, publishers, installers, paths and execution relationships, and controls the execution of executables, libraries, installers and scripts. The product is Australian-developed and explicitly aligned to the ASD Essential Eight, which is material to data sovereignty and to assessment evidence in an Australian Government context.</w:t>
      </w:r>
    </w:p>
    <w:p>
      <w:pPr>
        <w:pStyle w:val="Heading2"/>
      </w:pPr>
      <w:r>
        <w:t xml:space="preserve">3.2  Core Components</w:t>
      </w:r>
    </w:p>
    <w:p>
      <w:pPr>
        <w:spacing w:after="140" w:line="276"/>
      </w:pPr>
      <w:r>
        <w:t xml:space="preserve">The solution comprises three logical components. The first two are mandatory; the third is an optional administrative aid used during baseline construction and maintenance.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4426"/>
        <w:gridCol w:w="2300"/>
      </w:tblGrid>
      <w:tr>
        <w:trPr>
          <w:tblHeader/>
        </w:trPr>
        <w:tc>
          <w:tcPr>
            <w:tcW w:type="dxa" w:w="230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pPr>
            <w:r>
              <w:rPr>
                <w:b/>
                <w:bCs/>
                <w:color w:val="FFFFFF"/>
                <w:sz w:val="19"/>
                <w:szCs w:val="19"/>
              </w:rPr>
              <w:t xml:space="preserve">Component</w:t>
            </w:r>
          </w:p>
        </w:tc>
        <w:tc>
          <w:tcPr>
            <w:tcW w:type="dxa" w:w="4426"/>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pPr>
            <w:r>
              <w:rPr>
                <w:b/>
                <w:bCs/>
                <w:color w:val="FFFFFF"/>
                <w:sz w:val="19"/>
                <w:szCs w:val="19"/>
              </w:rPr>
              <w:t xml:space="preserve">Role</w:t>
            </w:r>
          </w:p>
        </w:tc>
        <w:tc>
          <w:tcPr>
            <w:tcW w:type="dxa" w:w="230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pPr>
            <w:r>
              <w:rPr>
                <w:b/>
                <w:bCs/>
                <w:color w:val="FFFFFF"/>
                <w:sz w:val="19"/>
                <w:szCs w:val="19"/>
              </w:rPr>
              <w:t xml:space="preserve">Placement</w:t>
            </w:r>
          </w:p>
        </w:tc>
      </w:tr>
      <w:tr>
        <w:tc>
          <w:tcPr>
            <w:tcW w:type="dxa" w:w="23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b/>
                <w:bCs/>
              </w:rPr>
              <w:t xml:space="preserve">Airlock Server (console)</w:t>
            </w:r>
          </w:p>
        </w:tc>
        <w:tc>
          <w:tcPr>
            <w:tcW w:type="dxa" w:w="4426"/>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Central management plane. Holds policy (allowlists, blocklists, metarules), issues policy to agents, receives execution telemetry, brokers OTP and exception workflows, and exposes the administrative UI and REST API.</w:t>
            </w:r>
          </w:p>
        </w:tc>
        <w:tc>
          <w:tcPr>
            <w:tcW w:type="dxa" w:w="23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Cloud (SaaS) or on-premises virtual server — see Section 4.</w:t>
            </w:r>
          </w:p>
        </w:tc>
      </w:tr>
      <w:tr>
        <w:tc>
          <w:tcPr>
            <w:tcW w:type="dxa" w:w="2300"/>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b/>
                <w:bCs/>
              </w:rPr>
              <w:t xml:space="preserve">Enforcement Agent</w:t>
            </w:r>
          </w:p>
        </w:tc>
        <w:tc>
          <w:tcPr>
            <w:tcW w:type="dxa" w:w="4426"/>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Installed on every in-scope endpoint. Enforces the policy locally at the point of execution, allows or blocks files, captures execution events, and applies OTP sessions. Operates independently of console connectivity once policy is cached.</w:t>
            </w:r>
          </w:p>
        </w:tc>
        <w:tc>
          <w:tcPr>
            <w:tcW w:type="dxa" w:w="2300"/>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All in-scope Windows 11 endpoints and PAWs.</w:t>
            </w:r>
          </w:p>
        </w:tc>
      </w:tr>
      <w:tr>
        <w:tc>
          <w:tcPr>
            <w:tcW w:type="dxa" w:w="23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b/>
                <w:bCs/>
              </w:rPr>
              <w:t xml:space="preserve">Application Capture</w:t>
            </w:r>
          </w:p>
        </w:tc>
        <w:tc>
          <w:tcPr>
            <w:tcW w:type="dxa" w:w="4426"/>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Optional tooling installed on a known-clean reference/build host to assist in producing and maintaining allowlists. Used during SOE baselining rather than on production user devices.</w:t>
            </w:r>
          </w:p>
        </w:tc>
        <w:tc>
          <w:tcPr>
            <w:tcW w:type="dxa" w:w="23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SOE build / reference workstation only.</w:t>
            </w:r>
          </w:p>
        </w:tc>
      </w:tr>
    </w:tbl>
    <w:p>
      <w:pPr>
        <w:spacing w:after="60"/>
      </w:pPr>
      <w:r>
        <w:t xml:space="preserve"/>
      </w:r>
    </w:p>
    <w:p>
      <w:pPr>
        <w:pStyle w:val="Heading2"/>
      </w:pPr>
      <w:r>
        <w:t xml:space="preserve">3.3  Trust Models</w:t>
      </w:r>
    </w:p>
    <w:p>
      <w:pPr>
        <w:spacing w:after="140" w:line="276"/>
      </w:pPr>
      <w:r>
        <w:t xml:space="preserve">Airlock supports several mechanisms for expressing trust. This design uses a layered combination rather than a single mechanism, so that day-to-day operating-system and application updates do not generate a flood of blocks while the policy remains tightly bound to known-good software. The mechanisms are:</w:t>
      </w:r>
    </w:p>
    <w:p>
      <w:pPr>
        <w:pStyle w:val="ListParagraph"/>
        <w:numPr>
          <w:ilvl w:val="0"/>
          <w:numId w:val="2"/>
        </w:numPr>
        <w:spacing w:after="60" w:line="276"/>
      </w:pPr>
      <w:r>
        <w:rPr>
          <w:b/>
          <w:bCs/>
        </w:rPr>
        <w:t xml:space="preserve">Publisher (code-signing certificate) — </w:t>
      </w:r>
      <w:r>
        <w:t xml:space="preserve">trust files signed by an approved software publisher. This is the primary mechanism: it survives routine vendor updates (a new signed build of an approved product is trusted without a new rule), which dramatically reduces ongoing rule churn.</w:t>
      </w:r>
    </w:p>
    <w:p>
      <w:pPr>
        <w:pStyle w:val="ListParagraph"/>
        <w:numPr>
          <w:ilvl w:val="0"/>
          <w:numId w:val="2"/>
        </w:numPr>
        <w:spacing w:after="60" w:line="276"/>
      </w:pPr>
      <w:r>
        <w:rPr>
          <w:b/>
          <w:bCs/>
        </w:rPr>
        <w:t xml:space="preserve">Hash (file attribute) — </w:t>
      </w:r>
      <w:r>
        <w:t xml:space="preserve">trust a specific file by its cryptographic hash. This is the fallback for unsigned or internally produced binaries and for cases where publisher trust is too broad. Hashes are exact and high-assurance but must be re-baselined when the file changes.</w:t>
      </w:r>
    </w:p>
    <w:p>
      <w:pPr>
        <w:pStyle w:val="ListParagraph"/>
        <w:numPr>
          <w:ilvl w:val="0"/>
          <w:numId w:val="2"/>
        </w:numPr>
        <w:spacing w:after="60" w:line="276"/>
      </w:pPr>
      <w:r>
        <w:rPr>
          <w:b/>
          <w:bCs/>
        </w:rPr>
        <w:t xml:space="preserve">Path — </w:t>
      </w:r>
      <w:r>
        <w:t xml:space="preserve">trust files in a defined location, optionally constrained by parent process and wildcards. Used sparingly and only for locations users cannot write to, principally for trusted installer and update flows (Section 6.4).</w:t>
      </w:r>
    </w:p>
    <w:p>
      <w:pPr>
        <w:pStyle w:val="ListParagraph"/>
        <w:numPr>
          <w:ilvl w:val="0"/>
          <w:numId w:val="2"/>
        </w:numPr>
        <w:spacing w:after="60" w:line="276"/>
      </w:pPr>
      <w:r>
        <w:rPr>
          <w:b/>
          <w:bCs/>
        </w:rPr>
        <w:t xml:space="preserve">Parent process / execution relationship — </w:t>
      </w:r>
      <w:r>
        <w:t xml:space="preserve">trust a file only when launched by a specific parent (for example, files in a vendor support directory only when launched by that vendor's updater). This narrows otherwise broad path rules.</w:t>
      </w:r>
    </w:p>
    <w:p>
      <w:pPr>
        <w:pStyle w:val="ListParagraph"/>
        <w:numPr>
          <w:ilvl w:val="0"/>
          <w:numId w:val="2"/>
        </w:numPr>
        <w:spacing w:after="60" w:line="276"/>
      </w:pPr>
      <w:r>
        <w:rPr>
          <w:b/>
          <w:bCs/>
        </w:rPr>
        <w:t xml:space="preserve">Metadata rules / metarules — </w:t>
      </w:r>
      <w:r>
        <w:t xml:space="preserve">conditional rules combining the above criteria, with wildcard support for path and hostname, used to express real-world update and interoperability patterns precisely.</w:t>
      </w:r>
    </w:p>
    <w:p>
      <w:pPr>
        <w:spacing w:after="140" w:line="276"/>
      </w:pPr>
      <w:r>
        <w:rPr>
          <w:b/>
          <w:bCs/>
        </w:rPr>
        <w:t xml:space="preserve">Design position.  </w:t>
      </w:r>
      <w:r>
        <w:t xml:space="preserve">Publisher trust is primary; hash trust is the fallback; path and parent-process rules are the exception, confined to non-user-writable locations. This ordering is the single most important policy decision in the design because it determines the balance between security assurance and operational sustainability.</w:t>
      </w:r>
    </w:p>
    <w:p>
      <w:pPr>
        <w:pStyle w:val="Heading2"/>
      </w:pPr>
      <w:r>
        <w:t xml:space="preserve">3.4  Deny by Default and Essential Eight Alignment</w:t>
      </w:r>
    </w:p>
    <w:p>
      <w:pPr>
        <w:spacing w:after="140" w:line="276"/>
      </w:pPr>
      <w:r>
        <w:t xml:space="preserve">Under enforcement, any executable, library, installer or script not matched by an allow rule is blocked and the attempt is logged. This satisfies the core ML2 application control requirement on workstations across the required file types, and provides the audit trail required as assessment evidence. The product additionally supports Microsoft's recommended block rules and MITRE ATT&amp;CK-aligned blocklisting to deny known abusable binaries even where a broad publisher rule might otherwise permit them (Section 6.5). The combination of Deny by Default allowlisting with a curated blocklist overlay is what the Essential Eight expects at ML2 and above.</w:t>
      </w:r>
    </w:p>
    <w:p>
      <w:pPr>
        <w:pStyle w:val="Heading2"/>
      </w:pPr>
      <w:r>
        <w:t xml:space="preserve">3.5  Logical Architecture and Data Flows</w:t>
      </w:r>
    </w:p>
    <w:p>
      <w:pPr>
        <w:spacing w:after="140" w:line="276"/>
      </w:pPr>
      <w:r>
        <w:t xml:space="preserve">The logical architecture has three planes: the management plane (console), the enforcement plane (agents on endpoints) and the monitoring plane (telemetry into the SIEM). The principal data flows are summarised below.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0"/>
        <w:gridCol w:w="2100"/>
        <w:gridCol w:w="3200"/>
        <w:gridCol w:w="3176"/>
      </w:tblGrid>
      <w:tr>
        <w:trPr>
          <w:tblHeader/>
        </w:trPr>
        <w:tc>
          <w:tcPr>
            <w:tcW w:type="dxa" w:w="55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pPr>
            <w:r>
              <w:rPr>
                <w:b/>
                <w:bCs/>
                <w:color w:val="FFFFFF"/>
                <w:sz w:val="19"/>
                <w:szCs w:val="19"/>
              </w:rPr>
              <w:t xml:space="preserve">#</w:t>
            </w:r>
          </w:p>
        </w:tc>
        <w:tc>
          <w:tcPr>
            <w:tcW w:type="dxa" w:w="210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pPr>
            <w:r>
              <w:rPr>
                <w:b/>
                <w:bCs/>
                <w:color w:val="FFFFFF"/>
                <w:sz w:val="19"/>
                <w:szCs w:val="19"/>
              </w:rPr>
              <w:t xml:space="preserve">Flow</w:t>
            </w:r>
          </w:p>
        </w:tc>
        <w:tc>
          <w:tcPr>
            <w:tcW w:type="dxa" w:w="320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pPr>
            <w:r>
              <w:rPr>
                <w:b/>
                <w:bCs/>
                <w:color w:val="FFFFFF"/>
                <w:sz w:val="19"/>
                <w:szCs w:val="19"/>
              </w:rPr>
              <w:t xml:space="preserve">Source → Destination</w:t>
            </w:r>
          </w:p>
        </w:tc>
        <w:tc>
          <w:tcPr>
            <w:tcW w:type="dxa" w:w="3176"/>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pPr>
            <w:r>
              <w:rPr>
                <w:b/>
                <w:bCs/>
                <w:color w:val="FFFFFF"/>
                <w:sz w:val="19"/>
                <w:szCs w:val="19"/>
              </w:rPr>
              <w:t xml:space="preserve">Transport</w:t>
            </w:r>
          </w:p>
        </w:tc>
      </w:tr>
      <w:tr>
        <w:tc>
          <w:tcPr>
            <w:tcW w:type="dxa" w:w="5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1</w:t>
            </w:r>
          </w:p>
        </w:tc>
        <w:tc>
          <w:tcPr>
            <w:tcW w:type="dxa" w:w="2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Policy distribution</w:t>
            </w:r>
          </w:p>
        </w:tc>
        <w:tc>
          <w:tcPr>
            <w:tcW w:type="dxa" w:w="3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Console → Enforcement Agent</w:t>
            </w:r>
          </w:p>
        </w:tc>
        <w:tc>
          <w:tcPr>
            <w:tcW w:type="dxa" w:w="3176"/>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Agent-initiated HTTPS poll; policy cached locally for offline enforcement.</w:t>
            </w:r>
          </w:p>
        </w:tc>
      </w:tr>
      <w:tr>
        <w:tc>
          <w:tcPr>
            <w:tcW w:type="dxa" w:w="550"/>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2</w:t>
            </w:r>
          </w:p>
        </w:tc>
        <w:tc>
          <w:tcPr>
            <w:tcW w:type="dxa" w:w="2100"/>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Execution telemetry</w:t>
            </w:r>
          </w:p>
        </w:tc>
        <w:tc>
          <w:tcPr>
            <w:tcW w:type="dxa" w:w="3200"/>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Enforcement Agent → Console</w:t>
            </w:r>
          </w:p>
        </w:tc>
        <w:tc>
          <w:tcPr>
            <w:tcW w:type="dxa" w:w="3176"/>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Agent-initiated HTTPS; execution allow/block events and agent health.</w:t>
            </w:r>
          </w:p>
        </w:tc>
      </w:tr>
      <w:tr>
        <w:tc>
          <w:tcPr>
            <w:tcW w:type="dxa" w:w="5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3</w:t>
            </w:r>
          </w:p>
        </w:tc>
        <w:tc>
          <w:tcPr>
            <w:tcW w:type="dxa" w:w="2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SIEM export</w:t>
            </w:r>
          </w:p>
        </w:tc>
        <w:tc>
          <w:tcPr>
            <w:tcW w:type="dxa" w:w="3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Console → Google SecOps (Chronicle)</w:t>
            </w:r>
          </w:p>
        </w:tc>
        <w:tc>
          <w:tcPr>
            <w:tcW w:type="dxa" w:w="3176"/>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Syslog to a SecOps forwarder, and/or REST API poll on TCP 3129 (Section 9).</w:t>
            </w:r>
          </w:p>
        </w:tc>
      </w:tr>
      <w:tr>
        <w:tc>
          <w:tcPr>
            <w:tcW w:type="dxa" w:w="550"/>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4</w:t>
            </w:r>
          </w:p>
        </w:tc>
        <w:tc>
          <w:tcPr>
            <w:tcW w:type="dxa" w:w="2100"/>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Administration</w:t>
            </w:r>
          </w:p>
        </w:tc>
        <w:tc>
          <w:tcPr>
            <w:tcW w:type="dxa" w:w="3200"/>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Admin browser → Console</w:t>
            </w:r>
          </w:p>
        </w:tc>
        <w:tc>
          <w:tcPr>
            <w:tcW w:type="dxa" w:w="3176"/>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HTTPS; authenticated via Entra ID SSO/MFA (Section 8).</w:t>
            </w:r>
          </w:p>
        </w:tc>
      </w:tr>
      <w:tr>
        <w:tc>
          <w:tcPr>
            <w:tcW w:type="dxa" w:w="5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5</w:t>
            </w:r>
          </w:p>
        </w:tc>
        <w:tc>
          <w:tcPr>
            <w:tcW w:type="dxa" w:w="2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Agent deployment</w:t>
            </w:r>
          </w:p>
        </w:tc>
        <w:tc>
          <w:tcPr>
            <w:tcW w:type="dxa" w:w="3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Intune → Endpoint</w:t>
            </w:r>
          </w:p>
        </w:tc>
        <w:tc>
          <w:tcPr>
            <w:tcW w:type="dxa" w:w="3176"/>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Win32 app delivery over the Intune management channel (Section 5).</w:t>
            </w:r>
          </w:p>
        </w:tc>
      </w:tr>
      <w:tr>
        <w:tc>
          <w:tcPr>
            <w:tcW w:type="dxa" w:w="550"/>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6</w:t>
            </w:r>
          </w:p>
        </w:tc>
        <w:tc>
          <w:tcPr>
            <w:tcW w:type="dxa" w:w="2100"/>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OTP / exception</w:t>
            </w:r>
          </w:p>
        </w:tc>
        <w:tc>
          <w:tcPr>
            <w:tcW w:type="dxa" w:w="3200"/>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Endpoint ↔ Console (± ITSM)</w:t>
            </w:r>
          </w:p>
        </w:tc>
        <w:tc>
          <w:tcPr>
            <w:tcW w:type="dxa" w:w="3176"/>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Challenge-response OTP code; exception requests optionally routed to ITSM.</w:t>
            </w:r>
          </w:p>
        </w:tc>
      </w:tr>
    </w:tbl>
    <w:p>
      <w:pPr>
        <w:spacing w:after="60"/>
      </w:pPr>
      <w:r>
        <w:t xml:space="preserve"/>
      </w:r>
    </w:p>
    <w:p>
      <w:pPr>
        <w:spacing w:after="140" w:line="276"/>
      </w:pPr>
      <w:r>
        <w:rPr>
          <w:b/>
          <w:bCs/>
        </w:rPr>
        <w:t xml:space="preserve">Resilience characteristic.  </w:t>
      </w:r>
      <w:r>
        <w:t xml:space="preserve">Because the Enforcement Agent caches and enforces policy locally, endpoints remain protected and operational if the console is temporarily unreachable. Loss of console connectivity affects management actions (new policy, OTP issuance, telemetry delivery) but not the enforcement of already-distributed policy. This property is central to the availability case for both deployment options.</w:t>
      </w:r>
    </w:p>
    <w:p>
      <w:pPr>
        <w:pStyle w:val="Heading2"/>
      </w:pPr>
      <w:r>
        <w:t xml:space="preserve">3.6  Enforcement Posture — Block From Day One</w:t>
      </w:r>
    </w:p>
    <w:p>
      <w:pPr>
        <w:spacing w:after="140" w:line="276"/>
      </w:pPr>
      <w:r>
        <w:t xml:space="preserve">The security stakeholder requires that production devices are enforced (blocking) from go-live, with no permissive learning period running on production endpoints (Constraint C1). Airlock's standard methodology is to deploy in audit, tune the policy against observed execution, and then enforce. Reconciling these two positions is a key design decision, and it is resolved by </w:t>
      </w:r>
      <w:r>
        <w:rPr>
          <w:b/>
          <w:bCs/>
        </w:rPr>
        <w:t xml:space="preserve">moving the audit-and-tune activity off the production fleet and into the build pipeline</w:t>
      </w:r>
      <w:r>
        <w:t xml:space="preserve">:</w:t>
      </w:r>
    </w:p>
    <w:p>
      <w:pPr>
        <w:pStyle w:val="ListParagraph"/>
        <w:numPr>
          <w:ilvl w:val="0"/>
          <w:numId w:val="3"/>
        </w:numPr>
        <w:spacing w:after="60" w:line="276"/>
      </w:pPr>
      <w:r>
        <w:rPr>
          <w:b/>
          <w:bCs/>
        </w:rPr>
        <w:t xml:space="preserve">Baseline at build time. </w:t>
      </w:r>
      <w:r>
        <w:t xml:space="preserve">The allowlist baseline is constructed and tuned on the controlled SOE/reference build and on the Windows 365 gold image using Application Capture and audit telemetry (Section 6.3), not on live user devices. Because Cloud PCs are image-provisioned, the W365 populations lend themselves naturally to this approach.</w:t>
      </w:r>
    </w:p>
    <w:p>
      <w:pPr>
        <w:pStyle w:val="ListParagraph"/>
        <w:numPr>
          <w:ilvl w:val="0"/>
          <w:numId w:val="3"/>
        </w:numPr>
        <w:spacing w:after="60" w:line="276"/>
      </w:pPr>
      <w:r>
        <w:rPr>
          <w:b/>
          <w:bCs/>
        </w:rPr>
        <w:t xml:space="preserve">Validate in a pilot ring. </w:t>
      </w:r>
      <w:r>
        <w:t xml:space="preserve">The enforced policy is proven on a representative pilot ring (including PAW and developer pilots) before broad release, so blocking behaviour is characterised against real usage in advance.</w:t>
      </w:r>
    </w:p>
    <w:p>
      <w:pPr>
        <w:pStyle w:val="ListParagraph"/>
        <w:numPr>
          <w:ilvl w:val="0"/>
          <w:numId w:val="3"/>
        </w:numPr>
        <w:spacing w:after="60" w:line="276"/>
      </w:pPr>
      <w:r>
        <w:rPr>
          <w:b/>
          <w:bCs/>
        </w:rPr>
        <w:t xml:space="preserve">Ship enforced. </w:t>
      </w:r>
      <w:r>
        <w:t xml:space="preserve">Production devices receive the policy already in enforcement mode and are therefore “born enforced” on first boot into the managed state. This applies equally to physical devices and to Cloud PCs provisioned from a baselined image.</w:t>
      </w:r>
    </w:p>
    <w:p>
      <w:pPr>
        <w:pStyle w:val="ListParagraph"/>
        <w:numPr>
          <w:ilvl w:val="0"/>
          <w:numId w:val="3"/>
        </w:numPr>
        <w:spacing w:after="60" w:line="276"/>
      </w:pPr>
      <w:r>
        <w:rPr>
          <w:b/>
          <w:bCs/>
        </w:rPr>
        <w:t xml:space="preserve">Catch the long tail with OTP. </w:t>
      </w:r>
      <w:r>
        <w:t xml:space="preserve">Legitimate software not covered by the baseline is handled through the OTP and exception workflows (Section 7) rather than by relaxing enforcement. On developer devices this long-tail handling is shifted to the developer through self-service authorisation (Section 6.9), which is the intended loosening for that population — not a removal of enforcement.</w:t>
      </w:r>
    </w:p>
    <w:p>
      <w:pPr>
        <w:spacing w:after="140" w:line="276"/>
      </w:pPr>
      <w:r>
        <w:rPr>
          <w:b/>
          <w:bCs/>
        </w:rPr>
        <w:t xml:space="preserve">Residual risk (accepted).  </w:t>
      </w:r>
      <w:r>
        <w:t xml:space="preserve">Any line-of-business application not represented in the build-time baseline or pilot will block on first use until trusted. This is the intended trade-off of an enforce-from-day-one posture. It is mitigated by maximising baseline and pilot coverage, by a responsive exception SLA, and by the OTP self-service/service-desk path. The risk and its mitigations should be recorded on the programme risk register and explicitly accepted by the security stakeholder.</w:t>
      </w:r>
    </w:p>
    <w:p>
      <w:r>
        <w:br w:type="page"/>
      </w:r>
    </w:p>
    <w:p>
      <w:pPr>
        <w:pStyle w:val="Heading1"/>
      </w:pPr>
      <w:r>
        <w:t xml:space="preserve">4.  Deployment Architecture</w:t>
      </w:r>
    </w:p>
    <w:p>
      <w:pPr>
        <w:pStyle w:val="Heading2"/>
      </w:pPr>
      <w:r>
        <w:t xml:space="preserve">4.1  Deployment Options</w:t>
      </w:r>
    </w:p>
    <w:p>
      <w:pPr>
        <w:spacing w:after="140" w:line="276"/>
      </w:pPr>
      <w:r>
        <w:t xml:space="preserve">Airlock Server is available as a vendor-hosted SaaS console (Airlock Cloud) or as a customer-operated on-premises virtual server. Both are assessed below against the requirements of a cloud-native, Intune-managed, OFFICIAL: Sensitive environment, followed by a recommendation. Agent design, policy design and SIEM integration are identical for both options; only the management plane differs.</w:t>
      </w:r>
    </w:p>
    <w:p>
      <w:pPr>
        <w:pStyle w:val="Heading2"/>
      </w:pPr>
      <w:r>
        <w:t xml:space="preserve">4.2  Option A — Airlock Cloud (SaaS)</w:t>
      </w:r>
    </w:p>
    <w:p>
      <w:pPr>
        <w:spacing w:after="140" w:line="276"/>
      </w:pPr>
      <w:r>
        <w:t xml:space="preserve">The console is delivered as a managed service by the vendor. The customer operates agents and policy; the vendor operates the server platform, patching, availability and scaling.</w:t>
      </w:r>
    </w:p>
    <w:p>
      <w:pPr>
        <w:spacing w:after="140" w:line="276"/>
      </w:pPr>
      <w:r>
        <w:rPr>
          <w:b/>
          <w:bCs/>
        </w:rPr>
        <w:t xml:space="preserve">Advantages</w:t>
      </w:r>
    </w:p>
    <w:p>
      <w:pPr>
        <w:pStyle w:val="ListParagraph"/>
        <w:numPr>
          <w:ilvl w:val="0"/>
          <w:numId w:val="2"/>
        </w:numPr>
        <w:spacing w:after="60" w:line="276"/>
      </w:pPr>
      <w:r>
        <w:t xml:space="preserve">No server infrastructure to build, harden, patch or run; lowest operational overhead and fastest path to deployment.</w:t>
      </w:r>
    </w:p>
    <w:p>
      <w:pPr>
        <w:pStyle w:val="ListParagraph"/>
        <w:numPr>
          <w:ilvl w:val="0"/>
          <w:numId w:val="2"/>
        </w:numPr>
        <w:spacing w:after="60" w:line="276"/>
      </w:pPr>
      <w:r>
        <w:t xml:space="preserve">Vendor-managed availability and capacity; aligns with the programme's cloud-native, low-infrastructure direction.</w:t>
      </w:r>
    </w:p>
    <w:p>
      <w:pPr>
        <w:pStyle w:val="ListParagraph"/>
        <w:numPr>
          <w:ilvl w:val="0"/>
          <w:numId w:val="2"/>
        </w:numPr>
        <w:spacing w:after="60" w:line="276"/>
      </w:pPr>
      <w:r>
        <w:t xml:space="preserve">Console authentication integrates with Entra ID SSO/MFA in the same way as the on-premises option.</w:t>
      </w:r>
    </w:p>
    <w:p>
      <w:pPr>
        <w:spacing w:after="140" w:line="276"/>
      </w:pPr>
      <w:r>
        <w:rPr>
          <w:b/>
          <w:bCs/>
        </w:rPr>
        <w:t xml:space="preserve">Considerations</w:t>
      </w:r>
    </w:p>
    <w:p>
      <w:pPr>
        <w:pStyle w:val="ListParagraph"/>
        <w:numPr>
          <w:ilvl w:val="0"/>
          <w:numId w:val="2"/>
        </w:numPr>
        <w:spacing w:after="60" w:line="276"/>
      </w:pPr>
      <w:r>
        <w:rPr>
          <w:b/>
          <w:bCs/>
        </w:rPr>
        <w:t xml:space="preserve">Data residency. </w:t>
      </w:r>
      <w:r>
        <w:t xml:space="preserve">Hosting region and the storage location of configuration and execution telemetry must be confirmed to be Australian-region to satisfy Constraint C4. This is the single gating item for SaaS at OFFICIAL: Sensitive (Appendix E).</w:t>
      </w:r>
    </w:p>
    <w:p>
      <w:pPr>
        <w:pStyle w:val="ListParagraph"/>
        <w:numPr>
          <w:ilvl w:val="0"/>
          <w:numId w:val="2"/>
        </w:numPr>
        <w:spacing w:after="60" w:line="276"/>
      </w:pPr>
      <w:r>
        <w:rPr>
          <w:b/>
          <w:bCs/>
        </w:rPr>
        <w:t xml:space="preserve">Connectivity. </w:t>
      </w:r>
      <w:r>
        <w:t xml:space="preserve">Agents and administrators require outbound HTTPS egress to the vendor service; this is straightforward given Global Secure Access but must be reflected in egress policy.</w:t>
      </w:r>
    </w:p>
    <w:p>
      <w:pPr>
        <w:pStyle w:val="ListParagraph"/>
        <w:numPr>
          <w:ilvl w:val="0"/>
          <w:numId w:val="2"/>
        </w:numPr>
        <w:spacing w:after="60" w:line="276"/>
      </w:pPr>
      <w:r>
        <w:rPr>
          <w:b/>
          <w:bCs/>
        </w:rPr>
        <w:t xml:space="preserve">Assurance posture. </w:t>
      </w:r>
      <w:r>
        <w:t xml:space="preserve">Vendor security certifications and any IRAP assessment status should be obtained and reviewed as part of supply-chain assurance.</w:t>
      </w:r>
    </w:p>
    <w:p>
      <w:pPr>
        <w:pStyle w:val="Heading2"/>
      </w:pPr>
      <w:r>
        <w:t xml:space="preserve">4.3  Option B — Airlock On-Premises</w:t>
      </w:r>
    </w:p>
    <w:p>
      <w:pPr>
        <w:spacing w:after="140" w:line="276"/>
      </w:pPr>
      <w:r>
        <w:t xml:space="preserve">The console runs as a customer-operated virtual server (physical or virtual infrastructure is supported). The customer is responsible for sizing, hardening, patching, backup, availability and the supporting database and network placement.</w:t>
      </w:r>
    </w:p>
    <w:p>
      <w:pPr>
        <w:spacing w:after="140" w:line="276"/>
      </w:pPr>
      <w:r>
        <w:rPr>
          <w:b/>
          <w:bCs/>
        </w:rPr>
        <w:t xml:space="preserve">Advantages</w:t>
      </w:r>
    </w:p>
    <w:p>
      <w:pPr>
        <w:pStyle w:val="ListParagraph"/>
        <w:numPr>
          <w:ilvl w:val="0"/>
          <w:numId w:val="2"/>
        </w:numPr>
        <w:spacing w:after="60" w:line="276"/>
      </w:pPr>
      <w:r>
        <w:t xml:space="preserve">Full control over data location, retention and platform configuration; the most direct answer to sovereignty requirements.</w:t>
      </w:r>
    </w:p>
    <w:p>
      <w:pPr>
        <w:pStyle w:val="ListParagraph"/>
        <w:numPr>
          <w:ilvl w:val="0"/>
          <w:numId w:val="2"/>
        </w:numPr>
        <w:spacing w:after="60" w:line="276"/>
      </w:pPr>
      <w:r>
        <w:t xml:space="preserve">Management traffic can be kept within controlled network boundaries.</w:t>
      </w:r>
    </w:p>
    <w:p>
      <w:pPr>
        <w:spacing w:after="140" w:line="276"/>
      </w:pPr>
      <w:r>
        <w:rPr>
          <w:b/>
          <w:bCs/>
        </w:rPr>
        <w:t xml:space="preserve">Considerations</w:t>
      </w:r>
    </w:p>
    <w:p>
      <w:pPr>
        <w:pStyle w:val="ListParagraph"/>
        <w:numPr>
          <w:ilvl w:val="0"/>
          <w:numId w:val="2"/>
        </w:numPr>
        <w:spacing w:after="60" w:line="276"/>
      </w:pPr>
      <w:r>
        <w:t xml:space="preserve">Introduces server infrastructure that must be built, hardened to ISM, patched, monitored, backed up and made resilient — counter to the programme's low-infrastructure direction.</w:t>
      </w:r>
    </w:p>
    <w:p>
      <w:pPr>
        <w:pStyle w:val="ListParagraph"/>
        <w:numPr>
          <w:ilvl w:val="0"/>
          <w:numId w:val="2"/>
        </w:numPr>
        <w:spacing w:after="60" w:line="276"/>
      </w:pPr>
      <w:r>
        <w:t xml:space="preserve">Requires sizing for the full agent population (physical endpoints, Windows 365 Cloud PCs and PAWs) plus headroom, a supporting database, and a resilience design (Section 4.7).</w:t>
      </w:r>
    </w:p>
    <w:p>
      <w:pPr>
        <w:pStyle w:val="ListParagraph"/>
        <w:numPr>
          <w:ilvl w:val="0"/>
          <w:numId w:val="2"/>
        </w:numPr>
        <w:spacing w:after="60" w:line="276"/>
      </w:pPr>
      <w:r>
        <w:t xml:space="preserve">Greater operational cost and a slower path to go-live than SaaS.</w:t>
      </w:r>
    </w:p>
    <w:p>
      <w:pPr>
        <w:pStyle w:val="Heading2"/>
      </w:pPr>
      <w:r>
        <w:t xml:space="preserve">4.4  Comparison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3100"/>
        <w:gridCol w:w="3026"/>
      </w:tblGrid>
      <w:tr>
        <w:trPr>
          <w:tblHeader/>
        </w:trPr>
        <w:tc>
          <w:tcPr>
            <w:tcW w:type="dxa" w:w="290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pPr>
            <w:r>
              <w:rPr>
                <w:b/>
                <w:bCs/>
                <w:color w:val="FFFFFF"/>
                <w:sz w:val="19"/>
                <w:szCs w:val="19"/>
              </w:rPr>
              <w:t xml:space="preserve">Criterion</w:t>
            </w:r>
          </w:p>
        </w:tc>
        <w:tc>
          <w:tcPr>
            <w:tcW w:type="dxa" w:w="310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pPr>
            <w:r>
              <w:rPr>
                <w:b/>
                <w:bCs/>
                <w:color w:val="FFFFFF"/>
                <w:sz w:val="19"/>
                <w:szCs w:val="19"/>
              </w:rPr>
              <w:t xml:space="preserve">Airlock Cloud (SaaS)</w:t>
            </w:r>
          </w:p>
        </w:tc>
        <w:tc>
          <w:tcPr>
            <w:tcW w:type="dxa" w:w="3026"/>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pPr>
            <w:r>
              <w:rPr>
                <w:b/>
                <w:bCs/>
                <w:color w:val="FFFFFF"/>
                <w:sz w:val="19"/>
                <w:szCs w:val="19"/>
              </w:rPr>
              <w:t xml:space="preserve">On-Premises</w:t>
            </w:r>
          </w:p>
        </w:tc>
      </w:tr>
      <w:tr>
        <w:tc>
          <w:tcPr>
            <w:tcW w:type="dxa" w:w="2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Time to deploy</w:t>
            </w:r>
          </w:p>
        </w:tc>
        <w:tc>
          <w:tcPr>
            <w:tcW w:type="dxa" w:w="3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Fast — no infrastructure build</w:t>
            </w:r>
          </w:p>
        </w:tc>
        <w:tc>
          <w:tcPr>
            <w:tcW w:type="dxa" w:w="3026"/>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Slower — server build, harden, test</w:t>
            </w:r>
          </w:p>
        </w:tc>
      </w:tr>
      <w:tr>
        <w:tc>
          <w:tcPr>
            <w:tcW w:type="dxa" w:w="2900"/>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Operational overhead</w:t>
            </w:r>
          </w:p>
        </w:tc>
        <w:tc>
          <w:tcPr>
            <w:tcW w:type="dxa" w:w="3100"/>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Low (vendor-operated)</w:t>
            </w:r>
          </w:p>
        </w:tc>
        <w:tc>
          <w:tcPr>
            <w:tcW w:type="dxa" w:w="3026"/>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Higher (customer-operated)</w:t>
            </w:r>
          </w:p>
        </w:tc>
      </w:tr>
      <w:tr>
        <w:tc>
          <w:tcPr>
            <w:tcW w:type="dxa" w:w="2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Availability / scaling</w:t>
            </w:r>
          </w:p>
        </w:tc>
        <w:tc>
          <w:tcPr>
            <w:tcW w:type="dxa" w:w="3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Vendor-managed</w:t>
            </w:r>
          </w:p>
        </w:tc>
        <w:tc>
          <w:tcPr>
            <w:tcW w:type="dxa" w:w="3026"/>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Customer-designed (Section 4.7)</w:t>
            </w:r>
          </w:p>
        </w:tc>
      </w:tr>
      <w:tr>
        <w:tc>
          <w:tcPr>
            <w:tcW w:type="dxa" w:w="2900"/>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Data residency control</w:t>
            </w:r>
          </w:p>
        </w:tc>
        <w:tc>
          <w:tcPr>
            <w:tcW w:type="dxa" w:w="3100"/>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Dependent on vendor region (confirm)</w:t>
            </w:r>
          </w:p>
        </w:tc>
        <w:tc>
          <w:tcPr>
            <w:tcW w:type="dxa" w:w="3026"/>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Full customer control</w:t>
            </w:r>
          </w:p>
        </w:tc>
      </w:tr>
      <w:tr>
        <w:tc>
          <w:tcPr>
            <w:tcW w:type="dxa" w:w="2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Patching of server</w:t>
            </w:r>
          </w:p>
        </w:tc>
        <w:tc>
          <w:tcPr>
            <w:tcW w:type="dxa" w:w="3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Vendor responsibility</w:t>
            </w:r>
          </w:p>
        </w:tc>
        <w:tc>
          <w:tcPr>
            <w:tcW w:type="dxa" w:w="3026"/>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Customer responsibility</w:t>
            </w:r>
          </w:p>
        </w:tc>
      </w:tr>
      <w:tr>
        <w:tc>
          <w:tcPr>
            <w:tcW w:type="dxa" w:w="2900"/>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Alignment to cloud-native strategy</w:t>
            </w:r>
          </w:p>
        </w:tc>
        <w:tc>
          <w:tcPr>
            <w:tcW w:type="dxa" w:w="3100"/>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Strong</w:t>
            </w:r>
          </w:p>
        </w:tc>
        <w:tc>
          <w:tcPr>
            <w:tcW w:type="dxa" w:w="3026"/>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Weaker (re-introduces infrastructure)</w:t>
            </w:r>
          </w:p>
        </w:tc>
      </w:tr>
      <w:tr>
        <w:tc>
          <w:tcPr>
            <w:tcW w:type="dxa" w:w="2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Sovereignty assurance at OFFICIAL: Sensitive</w:t>
            </w:r>
          </w:p>
        </w:tc>
        <w:tc>
          <w:tcPr>
            <w:tcW w:type="dxa" w:w="3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Requires confirmation of AU region + assurance</w:t>
            </w:r>
          </w:p>
        </w:tc>
        <w:tc>
          <w:tcPr>
            <w:tcW w:type="dxa" w:w="3026"/>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Inherent</w:t>
            </w:r>
          </w:p>
        </w:tc>
      </w:tr>
    </w:tbl>
    <w:p>
      <w:pPr>
        <w:spacing w:after="60"/>
      </w:pPr>
      <w:r>
        <w:t xml:space="preserve"/>
      </w:r>
    </w:p>
    <w:p>
      <w:pPr>
        <w:pStyle w:val="Heading2"/>
      </w:pPr>
      <w:r>
        <w:t xml:space="preserve">4.5  Recommendation</w:t>
      </w:r>
    </w:p>
    <w:p>
      <w:pPr>
        <w:spacing w:after="140" w:line="276"/>
      </w:pPr>
      <w:r>
        <w:rPr>
          <w:b/>
          <w:bCs/>
        </w:rPr>
        <w:t xml:space="preserve">Airlock Cloud (SaaS) is recommended, conditional on written confirmation of Australian-region data residency and acceptable assurance posture (Appendix E, item V1). </w:t>
      </w:r>
      <w:r>
        <w:t xml:space="preserve">The SaaS option aligns with the cloud-native, Intune-managed, low-infrastructure direction of the programme and removes the burden of building and operating a hardened server estate. The recommendation is conditional rather than absolute because residency is a hard constraint at OFFICIAL: Sensitive: if Australian-region hosting and storage cannot be confirmed, the design falls back to the on-premises option, which is otherwise identical from the agent, policy and SIEM perspective. Because the two options differ only in the management plane, this decision can be deferred until residency is confirmed without affecting the remainder of the build.</w:t>
      </w:r>
    </w:p>
    <w:p>
      <w:pPr>
        <w:pStyle w:val="Heading2"/>
      </w:pPr>
      <w:r>
        <w:t xml:space="preserve">4.6  Network Connectivity and Firewall Requirements</w:t>
      </w:r>
    </w:p>
    <w:p>
      <w:pPr>
        <w:spacing w:after="140" w:line="276"/>
      </w:pPr>
      <w:r>
        <w:t xml:space="preserve">The following connectivity is required. Endpoint-to-console communication is agent-initiated and outbound; there is no inbound requirement to endpoints. A consolidated list is provided in Appendix 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2600"/>
        <w:gridCol w:w="2426"/>
      </w:tblGrid>
      <w:tr>
        <w:trPr>
          <w:tblHeader/>
        </w:trPr>
        <w:tc>
          <w:tcPr>
            <w:tcW w:type="dxa" w:w="210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pPr>
            <w:r>
              <w:rPr>
                <w:b/>
                <w:bCs/>
                <w:color w:val="FFFFFF"/>
                <w:sz w:val="19"/>
                <w:szCs w:val="19"/>
              </w:rPr>
              <w:t xml:space="preserve">Flow</w:t>
            </w:r>
          </w:p>
        </w:tc>
        <w:tc>
          <w:tcPr>
            <w:tcW w:type="dxa" w:w="190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pPr>
            <w:r>
              <w:rPr>
                <w:b/>
                <w:bCs/>
                <w:color w:val="FFFFFF"/>
                <w:sz w:val="19"/>
                <w:szCs w:val="19"/>
              </w:rPr>
              <w:t xml:space="preserve">Source</w:t>
            </w:r>
          </w:p>
        </w:tc>
        <w:tc>
          <w:tcPr>
            <w:tcW w:type="dxa" w:w="260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pPr>
            <w:r>
              <w:rPr>
                <w:b/>
                <w:bCs/>
                <w:color w:val="FFFFFF"/>
                <w:sz w:val="19"/>
                <w:szCs w:val="19"/>
              </w:rPr>
              <w:t xml:space="preserve">Destination</w:t>
            </w:r>
          </w:p>
        </w:tc>
        <w:tc>
          <w:tcPr>
            <w:tcW w:type="dxa" w:w="2426"/>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pPr>
            <w:r>
              <w:rPr>
                <w:b/>
                <w:bCs/>
                <w:color w:val="FFFFFF"/>
                <w:sz w:val="19"/>
                <w:szCs w:val="19"/>
              </w:rPr>
              <w:t xml:space="preserve">Port / Protocol</w:t>
            </w:r>
          </w:p>
        </w:tc>
      </w:tr>
      <w:tr>
        <w:tc>
          <w:tcPr>
            <w:tcW w:type="dxa" w:w="2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Agent ↔ console</w:t>
            </w:r>
          </w:p>
        </w:tc>
        <w:tc>
          <w:tcPr>
            <w:tcW w:type="dxa" w:w="1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Endpoints / PAWs</w:t>
            </w:r>
          </w:p>
        </w:tc>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Airlock Server (SaaS endpoint or on-prem VIP)</w:t>
            </w:r>
          </w:p>
        </w:tc>
        <w:tc>
          <w:tcPr>
            <w:tcW w:type="dxa" w:w="2426"/>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TCP 443 (HTTPS), agent-initiated outbound</w:t>
            </w:r>
          </w:p>
        </w:tc>
      </w:tr>
      <w:tr>
        <w:tc>
          <w:tcPr>
            <w:tcW w:type="dxa" w:w="2100"/>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Admin UI</w:t>
            </w:r>
          </w:p>
        </w:tc>
        <w:tc>
          <w:tcPr>
            <w:tcW w:type="dxa" w:w="1900"/>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Admin workstations (PAW)</w:t>
            </w:r>
          </w:p>
        </w:tc>
        <w:tc>
          <w:tcPr>
            <w:tcW w:type="dxa" w:w="2600"/>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Airlock Server</w:t>
            </w:r>
          </w:p>
        </w:tc>
        <w:tc>
          <w:tcPr>
            <w:tcW w:type="dxa" w:w="2426"/>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TCP 443 (HTTPS)</w:t>
            </w:r>
          </w:p>
        </w:tc>
      </w:tr>
      <w:tr>
        <w:tc>
          <w:tcPr>
            <w:tcW w:type="dxa" w:w="2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REST API (SIEM/automation)</w:t>
            </w:r>
          </w:p>
        </w:tc>
        <w:tc>
          <w:tcPr>
            <w:tcW w:type="dxa" w:w="1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SecOps collector / automation host</w:t>
            </w:r>
          </w:p>
        </w:tc>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Airlock Server</w:t>
            </w:r>
          </w:p>
        </w:tc>
        <w:tc>
          <w:tcPr>
            <w:tcW w:type="dxa" w:w="2426"/>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TCP 3129 (HTTPS REST)</w:t>
            </w:r>
          </w:p>
        </w:tc>
      </w:tr>
      <w:tr>
        <w:tc>
          <w:tcPr>
            <w:tcW w:type="dxa" w:w="2100"/>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Syslog export</w:t>
            </w:r>
          </w:p>
        </w:tc>
        <w:tc>
          <w:tcPr>
            <w:tcW w:type="dxa" w:w="1900"/>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Airlock Server (on-prem) or collector</w:t>
            </w:r>
          </w:p>
        </w:tc>
        <w:tc>
          <w:tcPr>
            <w:tcW w:type="dxa" w:w="2600"/>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SecOps forwarder</w:t>
            </w:r>
          </w:p>
        </w:tc>
        <w:tc>
          <w:tcPr>
            <w:tcW w:type="dxa" w:w="2426"/>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TCP 514/6514 (syslog/TLS) — see Section 9</w:t>
            </w:r>
          </w:p>
        </w:tc>
      </w:tr>
      <w:tr>
        <w:tc>
          <w:tcPr>
            <w:tcW w:type="dxa" w:w="2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SSO</w:t>
            </w:r>
          </w:p>
        </w:tc>
        <w:tc>
          <w:tcPr>
            <w:tcW w:type="dxa" w:w="1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Admin browser</w:t>
            </w:r>
          </w:p>
        </w:tc>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Entra ID</w:t>
            </w:r>
          </w:p>
        </w:tc>
        <w:tc>
          <w:tcPr>
            <w:tcW w:type="dxa" w:w="2426"/>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TCP 443 (HTTPS)</w:t>
            </w:r>
          </w:p>
        </w:tc>
      </w:tr>
    </w:tbl>
    <w:p>
      <w:pPr>
        <w:spacing w:after="60"/>
      </w:pPr>
      <w:r>
        <w:t xml:space="preserve"/>
      </w:r>
    </w:p>
    <w:p>
      <w:pPr>
        <w:spacing w:after="140" w:line="276"/>
      </w:pPr>
      <w:r>
        <w:rPr>
          <w:b/>
          <w:bCs/>
        </w:rPr>
        <w:t xml:space="preserve">Note.  </w:t>
      </w:r>
      <w:r>
        <w:t xml:space="preserve">TCP 3129 is the documented Airlock REST API port and is the path used both for programmatic SIEM collection and for administrative automation. Egress to the SaaS console and to the SIEM forwarder must be permitted in Global Secure Access / egress policy. Exact destination FQDNs and IP ranges for the SaaS service are a vendor-confirmation item (Appendix E).</w:t>
      </w:r>
    </w:p>
    <w:p>
      <w:pPr>
        <w:pStyle w:val="Heading2"/>
      </w:pPr>
      <w:r>
        <w:t xml:space="preserve">4.7  High Availability and Resilience</w:t>
      </w:r>
    </w:p>
    <w:p>
      <w:pPr>
        <w:spacing w:after="140" w:line="276"/>
      </w:pPr>
      <w:r>
        <w:t xml:space="preserve">For </w:t>
      </w:r>
      <w:r>
        <w:rPr>
          <w:b/>
          <w:bCs/>
        </w:rPr>
        <w:t xml:space="preserve">SaaS</w:t>
      </w:r>
      <w:r>
        <w:t xml:space="preserve">, availability of the console is a vendor responsibility under the service SLA and should be captured in the service schedule. For </w:t>
      </w:r>
      <w:r>
        <w:rPr>
          <w:b/>
          <w:bCs/>
        </w:rPr>
        <w:t xml:space="preserve">on-premises</w:t>
      </w:r>
      <w:r>
        <w:t xml:space="preserve">, a resilience design is required: at minimum a recoverable single server with tested backup and a documented recovery time objective, and preferably a resilient pair behind a load balancer with a highly available database. In both cases, the local-cache enforcement property (Section 3.5) means endpoints continue to enforce policy during a console outage, so the availability design protects management and telemetry continuity rather than the enforcement control itself.</w:t>
      </w:r>
    </w:p>
    <w:p>
      <w:pPr>
        <w:pStyle w:val="Heading2"/>
      </w:pPr>
      <w:r>
        <w:t xml:space="preserve">4.8  Data Residency and Sovereignty</w:t>
      </w:r>
    </w:p>
    <w:p>
      <w:pPr>
        <w:spacing w:after="140" w:line="276"/>
      </w:pPr>
      <w:r>
        <w:t xml:space="preserve">All configuration and execution telemetry are treated as OFFICIAL: Sensitive and must remain within Australian sovereign boundaries (Constraint C4). For on-premises this is inherent. For SaaS it is the gating condition on the recommendation and must be confirmed in writing, covering both the hosting region of the service and the storage location of telemetry and backups. SIEM telemetry residency is addressed by the Google SecOps tenancy region (Section 9) and is independent of the Airlock hosting decision.</w:t>
      </w:r>
    </w:p>
    <w:p>
      <w:r>
        <w:br w:type="page"/>
      </w:r>
    </w:p>
    <w:p>
      <w:pPr>
        <w:pStyle w:val="Heading1"/>
      </w:pPr>
      <w:r>
        <w:t xml:space="preserve">5.  Agent Architecture and Deployment</w:t>
      </w:r>
    </w:p>
    <w:p>
      <w:pPr>
        <w:pStyle w:val="Heading2"/>
      </w:pPr>
      <w:r>
        <w:t xml:space="preserve">5.1  Enforcement Agent and Platform Support</w:t>
      </w:r>
    </w:p>
    <w:p>
      <w:pPr>
        <w:spacing w:after="140" w:line="276"/>
      </w:pPr>
      <w:r>
        <w:t xml:space="preserve">The Airlock Enforcement Agent runs on each in-scope endpoint and enforces policy locally at execution time. It supports the full Windows family including </w:t>
      </w:r>
      <w:r>
        <w:rPr>
          <w:b/>
          <w:bCs/>
        </w:rPr>
        <w:t xml:space="preserve">Windows 11 (x64 and ARM64)</w:t>
      </w:r>
      <w:r>
        <w:t xml:space="preserve">, which covers the managed fleet. The agent enforces on executables, software libraries (DLLs), installers and scripts, providing the file-type coverage the Essential Eight requires at ML2.</w:t>
      </w:r>
    </w:p>
    <w:p>
      <w:pPr>
        <w:spacing w:after="140" w:line="276"/>
      </w:pPr>
      <w:r>
        <w:rPr>
          <w:b/>
          <w:bCs/>
        </w:rPr>
        <w:t xml:space="preserve">Windows 11 servicing note.  </w:t>
      </w:r>
      <w:r>
        <w:t xml:space="preserve">Application control agents interact closely with OS execution paths, and feature-update servicing (for example new Windows 11 feature releases such as 24H2) can introduce new system binaries. Two design responses follow from this: agent compatibility with the target Windows 11 release must be confirmed against the vendor support matrix before each feature-update wave (Appendix E), and the trusted-update handling in Section 6.4 must accommodate OS servicing so that Windows Update-delivered binaries do not generate blocks.</w:t>
      </w:r>
    </w:p>
    <w:p>
      <w:pPr>
        <w:spacing w:after="140" w:line="276"/>
      </w:pPr>
      <w:r>
        <w:rPr>
          <w:b/>
          <w:bCs/>
        </w:rPr>
        <w:t xml:space="preserve">Windows 365 Cloud PCs.  </w:t>
      </w:r>
      <w:r>
        <w:t xml:space="preserve">The Enforcement Agent runs on a Windows 365 Cloud PC exactly as it does on a physical endpoint: a Cloud PC is a persistent, single-user dedicated Windows 11 Enterprise virtual machine, Entra joined and Intune managed. The agent is delivered either through the same Intune Win32 assignment used for physical devices, or baked into the Windows 365 provisioning (gold) image, with the allowlist baseline captured from that image (Section 6.3). Because Cloud PCs are image-provisioned and reprovisionable, they suit the build-time baselining approach, the “born enforced” posture, and — for developer devices — rapid recovery if a device is compromised (Section 6.9).</w:t>
      </w:r>
    </w:p>
    <w:p>
      <w:pPr>
        <w:pStyle w:val="Heading2"/>
      </w:pPr>
      <w:r>
        <w:t xml:space="preserve">5.2  Agent Communication Model</w:t>
      </w:r>
    </w:p>
    <w:p>
      <w:pPr>
        <w:spacing w:after="140" w:line="276"/>
      </w:pPr>
      <w:r>
        <w:t xml:space="preserve">Agent-to-console communication is agent-initiated and outbound over HTTPS. The agent polls the console for policy, caches it locally, and enforces from cache. It returns execution telemetry and health information to the console. There is no inbound connection to endpoints, which simplifies network policy and is consistent with a zero-trust egress model under Global Secure Access. If the console is unreachable, the agent continues to enforce the last-known-good policy.</w:t>
      </w:r>
    </w:p>
    <w:p>
      <w:pPr>
        <w:pStyle w:val="Heading2"/>
      </w:pPr>
      <w:r>
        <w:t xml:space="preserve">5.3  Intune Win32 Packaging</w:t>
      </w:r>
    </w:p>
    <w:p>
      <w:pPr>
        <w:spacing w:after="140" w:line="276"/>
      </w:pPr>
      <w:r>
        <w:t xml:space="preserve">The agent is delivered as an Intune </w:t>
      </w:r>
      <w:r>
        <w:rPr>
          <w:b/>
          <w:bCs/>
        </w:rPr>
        <w:t xml:space="preserve">Win32 app</w:t>
      </w:r>
      <w:r>
        <w:t xml:space="preserve"> (.intunewin), which is the required delivery mechanism (Constraint C2) and provides robust detection, requirement rules, dependency handling and assignment. The installer is the vendor-provided MSI, wrapped with the Microsoft Win32 Content Prep Tool. The console binding (which server and policy group the agent enrols to) is supplied at install time (Section 5.8).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pPr>
            <w:r>
              <w:rPr>
                <w:b/>
                <w:bCs/>
                <w:color w:val="FFFFFF"/>
                <w:sz w:val="19"/>
                <w:szCs w:val="19"/>
              </w:rPr>
              <w:t xml:space="preserve">Parameter</w:t>
            </w:r>
          </w:p>
        </w:tc>
        <w:tc>
          <w:tcPr>
            <w:tcW w:type="dxa" w:w="6626"/>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pPr>
            <w:r>
              <w:rPr>
                <w:b/>
                <w:bCs/>
                <w:color w:val="FFFFFF"/>
                <w:sz w:val="19"/>
                <w:szCs w:val="19"/>
              </w:rPr>
              <w:t xml:space="preserve">Value / approach</w:t>
            </w:r>
          </w:p>
        </w:tc>
      </w:tr>
      <w:tr>
        <w:tc>
          <w:tcPr>
            <w:tcW w:type="dxa" w:w="2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Package format</w:t>
            </w:r>
          </w:p>
        </w:tc>
        <w:tc>
          <w:tcPr>
            <w:tcW w:type="dxa" w:w="6626"/>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.intunewin produced from the vendor MSI via the Win32 Content Prep Tool</w:t>
            </w:r>
          </w:p>
        </w:tc>
      </w:tr>
      <w:tr>
        <w:tc>
          <w:tcPr>
            <w:tcW w:type="dxa" w:w="2400"/>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b/>
                <w:bCs/>
              </w:rPr>
              <w:t xml:space="preserve">Install command</w:t>
            </w:r>
          </w:p>
        </w:tc>
        <w:tc>
          <w:tcPr>
            <w:tcW w:type="dxa" w:w="6626"/>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rFonts w:ascii="Consolas" w:cs="Consolas" w:eastAsia="Consolas" w:hAnsi="Consolas"/>
                <w:sz w:val="18"/>
                <w:szCs w:val="18"/>
              </w:rPr>
              <w:t xml:space="preserve">msiexec /i AirlockAgent.msi /qn SERVER=&lt;fqdn&gt; GROUP=&lt;policyGroupRef&gt; [enrolment params]  (exact properties per vendor docs)</w:t>
            </w:r>
          </w:p>
        </w:tc>
      </w:tr>
      <w:tr>
        <w:tc>
          <w:tcPr>
            <w:tcW w:type="dxa" w:w="2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b/>
                <w:bCs/>
              </w:rPr>
              <w:t xml:space="preserve">Uninstall command</w:t>
            </w:r>
          </w:p>
        </w:tc>
        <w:tc>
          <w:tcPr>
            <w:tcW w:type="dxa" w:w="6626"/>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rFonts w:ascii="Consolas" w:cs="Consolas" w:eastAsia="Consolas" w:hAnsi="Consolas"/>
                <w:sz w:val="18"/>
                <w:szCs w:val="18"/>
              </w:rPr>
              <w:t xml:space="preserve">msiexec /x {ProductCode} /qn  (uninstall protection / password applies — Section 5.11)</w:t>
            </w:r>
          </w:p>
        </w:tc>
      </w:tr>
      <w:tr>
        <w:tc>
          <w:tcPr>
            <w:tcW w:type="dxa" w:w="2400"/>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Install behaviour</w:t>
            </w:r>
          </w:p>
        </w:tc>
        <w:tc>
          <w:tcPr>
            <w:tcW w:type="dxa" w:w="6626"/>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System context</w:t>
            </w:r>
          </w:p>
        </w:tc>
      </w:tr>
      <w:tr>
        <w:tc>
          <w:tcPr>
            <w:tcW w:type="dxa" w:w="2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Device restart</w:t>
            </w:r>
          </w:p>
        </w:tc>
        <w:tc>
          <w:tcPr>
            <w:tcW w:type="dxa" w:w="6626"/>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No forced restart; suppress reboot</w:t>
            </w:r>
          </w:p>
        </w:tc>
      </w:tr>
      <w:tr>
        <w:tc>
          <w:tcPr>
            <w:tcW w:type="dxa" w:w="2400"/>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Return codes</w:t>
            </w:r>
          </w:p>
        </w:tc>
        <w:tc>
          <w:tcPr>
            <w:tcW w:type="dxa" w:w="6626"/>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Standard MSI success/soft-reboot codes mapped (0, 1707, 3010, 1641)</w:t>
            </w:r>
          </w:p>
        </w:tc>
      </w:tr>
    </w:tbl>
    <w:p>
      <w:pPr>
        <w:spacing w:after="60"/>
      </w:pPr>
      <w:r>
        <w:t xml:space="preserve"/>
      </w:r>
    </w:p>
    <w:p>
      <w:pPr>
        <w:spacing w:after="140" w:line="276"/>
      </w:pPr>
      <w:r>
        <w:rPr>
          <w:b/>
          <w:bCs/>
        </w:rPr>
        <w:t xml:space="preserve">Note.  </w:t>
      </w:r>
      <w:r>
        <w:t xml:space="preserve">Exact MSI property names and any enrolment token mechanism are vendor-specific and are confirmed against current product documentation at packaging time (Appendix E). Secrets such as enrolment tokens must not be embedded in clear text in the package where avoidable; prefer Intune's handling and per-group enrolment references.</w:t>
      </w:r>
    </w:p>
    <w:p>
      <w:pPr>
        <w:pStyle w:val="Heading2"/>
      </w:pPr>
      <w:r>
        <w:t xml:space="preserve">5.4  Detection Rules</w:t>
      </w:r>
    </w:p>
    <w:p>
      <w:pPr>
        <w:spacing w:after="140" w:line="276"/>
      </w:pPr>
      <w:r>
        <w:t xml:space="preserve">Detection determines whether Intune considers the app installed. Use a robust signal rather than file existence alone:</w:t>
      </w:r>
    </w:p>
    <w:p>
      <w:pPr>
        <w:pStyle w:val="ListParagraph"/>
        <w:numPr>
          <w:ilvl w:val="0"/>
          <w:numId w:val="2"/>
        </w:numPr>
        <w:spacing w:after="60" w:line="276"/>
      </w:pPr>
      <w:r>
        <w:t xml:space="preserve">Primary: presence and version of the agent product (MSI product code / registry uninstall key version) at or above the target version.</w:t>
      </w:r>
    </w:p>
    <w:p>
      <w:pPr>
        <w:pStyle w:val="ListParagraph"/>
        <w:numPr>
          <w:ilvl w:val="0"/>
          <w:numId w:val="2"/>
        </w:numPr>
        <w:spacing w:after="60" w:line="276"/>
      </w:pPr>
      <w:r>
        <w:t xml:space="preserve">Optionally combine with presence of the agent service to confirm a functional install rather than a stale registry entry.</w:t>
      </w:r>
    </w:p>
    <w:p>
      <w:pPr>
        <w:pStyle w:val="Heading2"/>
      </w:pPr>
      <w:r>
        <w:t xml:space="preserve">5.5  Requirements and Dependencies</w:t>
      </w:r>
    </w:p>
    <w:p>
      <w:pPr>
        <w:pStyle w:val="ListParagraph"/>
        <w:numPr>
          <w:ilvl w:val="0"/>
          <w:numId w:val="2"/>
        </w:numPr>
        <w:spacing w:after="60" w:line="276"/>
      </w:pPr>
      <w:r>
        <w:t xml:space="preserve">Requirement rule: Windows 11, 64-bit (or ARM64 where applicable).</w:t>
      </w:r>
    </w:p>
    <w:p>
      <w:pPr>
        <w:pStyle w:val="ListParagraph"/>
        <w:numPr>
          <w:ilvl w:val="0"/>
          <w:numId w:val="2"/>
        </w:numPr>
        <w:spacing w:after="60" w:line="276"/>
      </w:pPr>
      <w:r>
        <w:t xml:space="preserve">Dependency: the Windows Installer service and any agent prerequisites per the vendor matrix.</w:t>
      </w:r>
    </w:p>
    <w:p>
      <w:pPr>
        <w:pStyle w:val="ListParagraph"/>
        <w:numPr>
          <w:ilvl w:val="0"/>
          <w:numId w:val="2"/>
        </w:numPr>
        <w:spacing w:after="60" w:line="276"/>
      </w:pPr>
      <w:r>
        <w:t xml:space="preserve">Applicability is further constrained by Intune assignment and filters (Section 5.7) so that the agent and the correct policy group reach the correct device type.</w:t>
      </w:r>
    </w:p>
    <w:p>
      <w:pPr>
        <w:pStyle w:val="Heading2"/>
      </w:pPr>
      <w:r>
        <w:t xml:space="preserve">5.6  Install / Uninstall Behaviour</w:t>
      </w:r>
    </w:p>
    <w:p>
      <w:pPr>
        <w:spacing w:after="140" w:line="276"/>
      </w:pPr>
      <w:r>
        <w:t xml:space="preserve">Installation runs silently in system context with reboot suppressed; the agent becomes active and pulls policy on first check-in. Uninstall is protected (Section 5.11): the agent should not be removable by a standard user or by a local administrator without the uninstall control, which prevents trivial disabling of the control. Uninstalls are an administrative, audited action.</w:t>
      </w:r>
    </w:p>
    <w:p>
      <w:pPr>
        <w:pStyle w:val="Heading2"/>
      </w:pPr>
      <w:r>
        <w:t xml:space="preserve">5.7  Assignment and Targeting</w:t>
      </w:r>
    </w:p>
    <w:p>
      <w:pPr>
        <w:spacing w:after="140" w:line="276"/>
      </w:pPr>
      <w:r>
        <w:t xml:space="preserve">Four device populations receive their applicable policy group but the same agent binary. Targeting uses Entra ID device groups and Intune filters, consistent with the Intune platform LLD's segmentation model. Standard physical and standard Windows 365 devices share the Standard policy group via separate assignment targets; PAW and Developer are isolated.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900"/>
        <w:gridCol w:w="2300"/>
        <w:gridCol w:w="1526"/>
      </w:tblGrid>
      <w:tr>
        <w:trPr>
          <w:tblHeader/>
        </w:trPr>
        <w:tc>
          <w:tcPr>
            <w:tcW w:type="dxa" w:w="230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pPr>
            <w:r>
              <w:rPr>
                <w:b/>
                <w:bCs/>
                <w:color w:val="FFFFFF"/>
                <w:sz w:val="19"/>
                <w:szCs w:val="19"/>
              </w:rPr>
              <w:t xml:space="preserve">Population</w:t>
            </w:r>
          </w:p>
        </w:tc>
        <w:tc>
          <w:tcPr>
            <w:tcW w:type="dxa" w:w="290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pPr>
            <w:r>
              <w:rPr>
                <w:b/>
                <w:bCs/>
                <w:color w:val="FFFFFF"/>
                <w:sz w:val="19"/>
                <w:szCs w:val="19"/>
              </w:rPr>
              <w:t xml:space="preserve">Targeting</w:t>
            </w:r>
          </w:p>
        </w:tc>
        <w:tc>
          <w:tcPr>
            <w:tcW w:type="dxa" w:w="230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pPr>
            <w:r>
              <w:rPr>
                <w:b/>
                <w:bCs/>
                <w:color w:val="FFFFFF"/>
                <w:sz w:val="19"/>
                <w:szCs w:val="19"/>
              </w:rPr>
              <w:t xml:space="preserve">Policy group</w:t>
            </w:r>
          </w:p>
        </w:tc>
        <w:tc>
          <w:tcPr>
            <w:tcW w:type="dxa" w:w="1526"/>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pPr>
            <w:r>
              <w:rPr>
                <w:b/>
                <w:bCs/>
                <w:color w:val="FFFFFF"/>
                <w:sz w:val="19"/>
                <w:szCs w:val="19"/>
              </w:rPr>
              <w:t xml:space="preserve">Mode at go-live</w:t>
            </w:r>
          </w:p>
        </w:tc>
      </w:tr>
      <w:tr>
        <w:tc>
          <w:tcPr>
            <w:tcW w:type="dxa" w:w="23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b/>
                <w:bCs/>
              </w:rPr>
              <w:t xml:space="preserve">Standard — physical</w:t>
            </w:r>
          </w:p>
        </w:tc>
        <w:tc>
          <w:tcPr>
            <w:tcW w:type="dxa" w:w="2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Group for standard physical Windows 11 devices</w:t>
            </w:r>
          </w:p>
        </w:tc>
        <w:tc>
          <w:tcPr>
            <w:tcW w:type="dxa" w:w="23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Standard policy (Section 6.7)</w:t>
            </w:r>
          </w:p>
        </w:tc>
        <w:tc>
          <w:tcPr>
            <w:tcW w:type="dxa" w:w="1526"/>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Enforced</w:t>
            </w:r>
          </w:p>
        </w:tc>
      </w:tr>
      <w:tr>
        <w:tc>
          <w:tcPr>
            <w:tcW w:type="dxa" w:w="2300"/>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b/>
                <w:bCs/>
              </w:rPr>
              <w:t xml:space="preserve">Standard — Windows 365</w:t>
            </w:r>
          </w:p>
        </w:tc>
        <w:tc>
          <w:tcPr>
            <w:tcW w:type="dxa" w:w="2900"/>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Group for standard Windows 365 Cloud PCs</w:t>
            </w:r>
          </w:p>
        </w:tc>
        <w:tc>
          <w:tcPr>
            <w:tcW w:type="dxa" w:w="2300"/>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Standard policy (Section 6.7)</w:t>
            </w:r>
          </w:p>
        </w:tc>
        <w:tc>
          <w:tcPr>
            <w:tcW w:type="dxa" w:w="1526"/>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Enforced</w:t>
            </w:r>
          </w:p>
        </w:tc>
      </w:tr>
      <w:tr>
        <w:tc>
          <w:tcPr>
            <w:tcW w:type="dxa" w:w="23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b/>
                <w:bCs/>
              </w:rPr>
              <w:t xml:space="preserve">PAW (physical)</w:t>
            </w:r>
          </w:p>
        </w:tc>
        <w:tc>
          <w:tcPr>
            <w:tcW w:type="dxa" w:w="2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PAW device group; isolated assignment</w:t>
            </w:r>
          </w:p>
        </w:tc>
        <w:tc>
          <w:tcPr>
            <w:tcW w:type="dxa" w:w="23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PAW policy (Section 6.8)</w:t>
            </w:r>
          </w:p>
        </w:tc>
        <w:tc>
          <w:tcPr>
            <w:tcW w:type="dxa" w:w="1526"/>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Enforced</w:t>
            </w:r>
          </w:p>
        </w:tc>
      </w:tr>
      <w:tr>
        <w:tc>
          <w:tcPr>
            <w:tcW w:type="dxa" w:w="2300"/>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b/>
                <w:bCs/>
              </w:rPr>
              <w:t xml:space="preserve">Developer (Windows 365)</w:t>
            </w:r>
          </w:p>
        </w:tc>
        <w:tc>
          <w:tcPr>
            <w:tcW w:type="dxa" w:w="2900"/>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Secure Developer Environment Cloud PC group; isolated assignment</w:t>
            </w:r>
          </w:p>
        </w:tc>
        <w:tc>
          <w:tcPr>
            <w:tcW w:type="dxa" w:w="2300"/>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Developer policy (Section 6.9)</w:t>
            </w:r>
          </w:p>
        </w:tc>
        <w:tc>
          <w:tcPr>
            <w:tcW w:type="dxa" w:w="1526"/>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Enforced (loosened; self-auth)</w:t>
            </w:r>
          </w:p>
        </w:tc>
      </w:tr>
      <w:tr>
        <w:tc>
          <w:tcPr>
            <w:tcW w:type="dxa" w:w="23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b/>
                <w:bCs/>
              </w:rPr>
              <w:t xml:space="preserve">Pilot ring</w:t>
            </w:r>
          </w:p>
        </w:tc>
        <w:tc>
          <w:tcPr>
            <w:tcW w:type="dxa" w:w="2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Pilot subset of each population</w:t>
            </w:r>
          </w:p>
        </w:tc>
        <w:tc>
          <w:tcPr>
            <w:tcW w:type="dxa" w:w="23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Same as target population</w:t>
            </w:r>
          </w:p>
        </w:tc>
        <w:tc>
          <w:tcPr>
            <w:tcW w:type="dxa" w:w="1526"/>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Enforced (validated first)</w:t>
            </w:r>
          </w:p>
        </w:tc>
      </w:tr>
    </w:tbl>
    <w:p>
      <w:pPr>
        <w:spacing w:after="60"/>
      </w:pPr>
      <w:r>
        <w:t xml:space="preserve"/>
      </w:r>
    </w:p>
    <w:p>
      <w:pPr>
        <w:spacing w:after="140" w:line="276"/>
      </w:pPr>
      <w:r>
        <w:rPr>
          <w:b/>
          <w:bCs/>
        </w:rPr>
        <w:t xml:space="preserve">Design position.  </w:t>
      </w:r>
      <w:r>
        <w:t xml:space="preserve">PAW and Developer assignments are each kept isolated — from the standard populations and from each other — so that a change to one population cannot inadvertently affect another. This mirrors the scope-tag isolation principle used for Intune RBAC and preserves clean separation of concerns across device types. Standard physical and standard Windows 365 deliberately share one policy so the two form factors present a single, consistent control to standard users.</w:t>
      </w:r>
    </w:p>
    <w:p>
      <w:pPr>
        <w:pStyle w:val="Heading2"/>
      </w:pPr>
      <w:r>
        <w:t xml:space="preserve">5.8  Agent Enrolment and Policy-Group Binding</w:t>
      </w:r>
    </w:p>
    <w:p>
      <w:pPr>
        <w:spacing w:after="140" w:line="276"/>
      </w:pPr>
      <w:r>
        <w:t xml:space="preserve">At install time the agent is bound to the console (server FQDN/endpoint) and to a policy group. The policy group determines which allowlist, blocklist and OTP configuration the device receives. Standard physical and standard Windows 365 devices bind to the Standard group; physical PAWs bind to the PAW group; developer Cloud PCs bind to the Developer group. Binding is supplied through install parameters (or set in the Windows 365 image) so that the correct policy is applied from first check-in, avoiding a window in which a device runs an unintended policy.</w:t>
      </w:r>
    </w:p>
    <w:p>
      <w:pPr>
        <w:pStyle w:val="Heading2"/>
      </w:pPr>
      <w:r>
        <w:t xml:space="preserve">5.9  Agent Versioning and Update Strategy</w:t>
      </w:r>
    </w:p>
    <w:p>
      <w:pPr>
        <w:pStyle w:val="ListParagraph"/>
        <w:numPr>
          <w:ilvl w:val="0"/>
          <w:numId w:val="2"/>
        </w:numPr>
        <w:spacing w:after="60" w:line="276"/>
      </w:pPr>
      <w:r>
        <w:t xml:space="preserve">Agent upgrades are delivered as new Win32 app versions through Intune, using a ring-based rollout (pilot → broad) consistent with fleet update governance.</w:t>
      </w:r>
    </w:p>
    <w:p>
      <w:pPr>
        <w:pStyle w:val="ListParagraph"/>
        <w:numPr>
          <w:ilvl w:val="0"/>
          <w:numId w:val="2"/>
        </w:numPr>
        <w:spacing w:after="60" w:line="276"/>
      </w:pPr>
      <w:r>
        <w:t xml:space="preserve">Agent version compatibility with the in-use Windows 11 release is confirmed before each agent or OS feature-update wave.</w:t>
      </w:r>
    </w:p>
    <w:p>
      <w:pPr>
        <w:pStyle w:val="ListParagraph"/>
        <w:numPr>
          <w:ilvl w:val="0"/>
          <w:numId w:val="2"/>
        </w:numPr>
        <w:spacing w:after="60" w:line="276"/>
      </w:pPr>
      <w:r>
        <w:t xml:space="preserve">A minimum supported agent version is defined and monitored; devices below it are reported as non-compliant (Section 9.7).</w:t>
      </w:r>
    </w:p>
    <w:p>
      <w:pPr>
        <w:pStyle w:val="Heading2"/>
      </w:pPr>
      <w:r>
        <w:t xml:space="preserve">5.10  Agent Health Monitoring</w:t>
      </w:r>
    </w:p>
    <w:p>
      <w:pPr>
        <w:spacing w:after="140" w:line="276"/>
      </w:pPr>
      <w:r>
        <w:t xml:space="preserve">Agent health (presence, version, last check-in, policy version, enforcement state) is monitored from two directions: the Airlock console for application-control-specific health, and the SIEM for absence-of-telemetry detection (a device that stops reporting may indicate a disabled or failed agent — Section 9.5). Intune compliance reflects agent presence and version via the detection signal. The combination ensures a tamper or failure condition is visible rather than silent.</w:t>
      </w:r>
    </w:p>
    <w:p>
      <w:pPr>
        <w:pStyle w:val="Heading2"/>
      </w:pPr>
      <w:r>
        <w:t xml:space="preserve">5.11  Tamper Protection</w:t>
      </w:r>
    </w:p>
    <w:p>
      <w:pPr>
        <w:spacing w:after="140" w:line="276"/>
      </w:pPr>
      <w:r>
        <w:t xml:space="preserve">The agent must resist disabling and removal so that the control cannot be trivially bypassed:</w:t>
      </w:r>
    </w:p>
    <w:p>
      <w:pPr>
        <w:pStyle w:val="ListParagraph"/>
        <w:numPr>
          <w:ilvl w:val="0"/>
          <w:numId w:val="2"/>
        </w:numPr>
        <w:spacing w:after="60" w:line="276"/>
      </w:pPr>
      <w:r>
        <w:t xml:space="preserve">Uninstall protection (uninstall password / protected uninstall) is enabled so removal requires the administrative control and is auditable.</w:t>
      </w:r>
    </w:p>
    <w:p>
      <w:pPr>
        <w:pStyle w:val="ListParagraph"/>
        <w:numPr>
          <w:ilvl w:val="0"/>
          <w:numId w:val="2"/>
        </w:numPr>
        <w:spacing w:after="60" w:line="276"/>
      </w:pPr>
      <w:r>
        <w:t xml:space="preserve">Standard users — and, on standard endpoints, local administrators — must not be able to stop the service, remove the agent, or alter policy.</w:t>
      </w:r>
    </w:p>
    <w:p>
      <w:pPr>
        <w:pStyle w:val="ListParagraph"/>
        <w:numPr>
          <w:ilvl w:val="0"/>
          <w:numId w:val="2"/>
        </w:numPr>
        <w:spacing w:after="60" w:line="276"/>
      </w:pPr>
      <w:r>
        <w:t xml:space="preserve">Tamper and uninstall attempts are logged and forwarded to the SIEM as high-value detection events (Section 9.5).</w:t>
      </w:r>
    </w:p>
    <w:p>
      <w:pPr>
        <w:pStyle w:val="ListParagraph"/>
        <w:numPr>
          <w:ilvl w:val="0"/>
          <w:numId w:val="2"/>
        </w:numPr>
        <w:spacing w:after="60" w:line="276"/>
      </w:pPr>
      <w:r>
        <w:t xml:space="preserve">On PAWs, the absence of user-initiated install/uninstall rights (Section 6.8) further reduces tamper surface.</w:t>
      </w:r>
    </w:p>
    <w:p>
      <w:r>
        <w:br w:type="page"/>
      </w:r>
    </w:p>
    <w:p>
      <w:pPr>
        <w:pStyle w:val="Heading1"/>
      </w:pPr>
      <w:r>
        <w:t xml:space="preserve">6.  Policy Design</w:t>
      </w:r>
    </w:p>
    <w:p>
      <w:pPr>
        <w:pStyle w:val="Heading2"/>
      </w:pPr>
      <w:r>
        <w:t xml:space="preserve">6.1  Policy Architecture</w:t>
      </w:r>
    </w:p>
    <w:p>
      <w:pPr>
        <w:spacing w:after="140" w:line="276"/>
      </w:pPr>
      <w:r>
        <w:t xml:space="preserve">Policy is organised into production policy groups aligned to the device populations — Standard (physical and Windows 365), PAW, and Developer — that share a common allowlist core and diverge in their exception posture and blocklist strictness. A separate non-production build/pilot configuration is used during baselining. Keeping the production groups distinct (rather than one policy with overrides) gives clean separation, independent change control, and the ability to make the PAW policy materially stricter and the Developer policy deliberately looser without risk to the standard fleet.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2400"/>
        <w:gridCol w:w="2426"/>
      </w:tblGrid>
      <w:tr>
        <w:trPr>
          <w:tblHeader/>
        </w:trPr>
        <w:tc>
          <w:tcPr>
            <w:tcW w:type="dxa" w:w="170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pPr>
            <w:r>
              <w:rPr>
                <w:b/>
                <w:bCs/>
                <w:color w:val="FFFFFF"/>
                <w:sz w:val="19"/>
                <w:szCs w:val="19"/>
              </w:rPr>
              <w:t xml:space="preserve">Policy group</w:t>
            </w:r>
          </w:p>
        </w:tc>
        <w:tc>
          <w:tcPr>
            <w:tcW w:type="dxa" w:w="250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pPr>
            <w:r>
              <w:rPr>
                <w:b/>
                <w:bCs/>
                <w:color w:val="FFFFFF"/>
                <w:sz w:val="19"/>
                <w:szCs w:val="19"/>
              </w:rPr>
              <w:t xml:space="preserve">Applies to</w:t>
            </w:r>
          </w:p>
        </w:tc>
        <w:tc>
          <w:tcPr>
            <w:tcW w:type="dxa" w:w="240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pPr>
            <w:r>
              <w:rPr>
                <w:b/>
                <w:bCs/>
                <w:color w:val="FFFFFF"/>
                <w:sz w:val="19"/>
                <w:szCs w:val="19"/>
              </w:rPr>
              <w:t xml:space="preserve">Posture</w:t>
            </w:r>
          </w:p>
        </w:tc>
        <w:tc>
          <w:tcPr>
            <w:tcW w:type="dxa" w:w="2426"/>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pPr>
            <w:r>
              <w:rPr>
                <w:b/>
                <w:bCs/>
                <w:color w:val="FFFFFF"/>
                <w:sz w:val="19"/>
                <w:szCs w:val="19"/>
              </w:rPr>
              <w:t xml:space="preserve">OTP / self-service</w:t>
            </w:r>
          </w:p>
        </w:tc>
      </w:tr>
      <w:tr>
        <w:tc>
          <w:tcPr>
            <w:tcW w:type="dxa" w:w="1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Standard</w:t>
            </w:r>
          </w:p>
        </w:tc>
        <w:tc>
          <w:tcPr>
            <w:tcW w:type="dxa" w:w="2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Physical Windows 11 + standard Windows 365 Cloud PCs (~2,500 users)</w:t>
            </w:r>
          </w:p>
        </w:tc>
        <w:tc>
          <w:tcPr>
            <w:tcW w:type="dxa" w:w="2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Deny by Default, enforced; pragmatic exception handling</w:t>
            </w:r>
          </w:p>
        </w:tc>
        <w:tc>
          <w:tcPr>
            <w:tcW w:type="dxa" w:w="2426"/>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OTP via service-desk and/or self-service; exception requests enabled</w:t>
            </w:r>
          </w:p>
        </w:tc>
      </w:tr>
      <w:tr>
        <w:tc>
          <w:tcPr>
            <w:tcW w:type="dxa" w:w="1700"/>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PAW</w:t>
            </w:r>
          </w:p>
        </w:tc>
        <w:tc>
          <w:tcPr>
            <w:tcW w:type="dxa" w:w="2500"/>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Physical Privileged Access Workstations</w:t>
            </w:r>
          </w:p>
        </w:tc>
        <w:tc>
          <w:tcPr>
            <w:tcW w:type="dxa" w:w="2400"/>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Deny by Default, enforced; strictest; no user-initiated installs</w:t>
            </w:r>
          </w:p>
        </w:tc>
        <w:tc>
          <w:tcPr>
            <w:tcW w:type="dxa" w:w="2426"/>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No self-service OTP; admin-only, fully audited (Section 6.8)</w:t>
            </w:r>
          </w:p>
        </w:tc>
      </w:tr>
      <w:tr>
        <w:tc>
          <w:tcPr>
            <w:tcW w:type="dxa" w:w="1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Developer</w:t>
            </w:r>
          </w:p>
        </w:tc>
        <w:tc>
          <w:tcPr>
            <w:tcW w:type="dxa" w:w="2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Secure Developer Environment Windows 365 Cloud PCs</w:t>
            </w:r>
          </w:p>
        </w:tc>
        <w:tc>
          <w:tcPr>
            <w:tcW w:type="dxa" w:w="2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Deny by Default base, enforced but loosened; developer self-authorisation</w:t>
            </w:r>
          </w:p>
        </w:tc>
        <w:tc>
          <w:tcPr>
            <w:tcW w:type="dxa" w:w="2426"/>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Self-service OTP enabled (self-auth); broader toolchain trust (Section 6.9)</w:t>
            </w:r>
          </w:p>
        </w:tc>
      </w:tr>
      <w:tr>
        <w:tc>
          <w:tcPr>
            <w:tcW w:type="dxa" w:w="1700"/>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Build / Pilot (non-prod)</w:t>
            </w:r>
          </w:p>
        </w:tc>
        <w:tc>
          <w:tcPr>
            <w:tcW w:type="dxa" w:w="2500"/>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SOE reference, W365 gold image, pilot rings</w:t>
            </w:r>
          </w:p>
        </w:tc>
        <w:tc>
          <w:tcPr>
            <w:tcW w:type="dxa" w:w="2400"/>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Audit during capture, then enforced for pilot validation</w:t>
            </w:r>
          </w:p>
        </w:tc>
        <w:tc>
          <w:tcPr>
            <w:tcW w:type="dxa" w:w="2426"/>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Used for baseline construction (Section 6.3)</w:t>
            </w:r>
          </w:p>
        </w:tc>
      </w:tr>
    </w:tbl>
    <w:p>
      <w:pPr>
        <w:spacing w:after="60"/>
      </w:pPr>
      <w:r>
        <w:t xml:space="preserve"/>
      </w:r>
    </w:p>
    <w:p>
      <w:pPr>
        <w:pStyle w:val="Heading2"/>
      </w:pPr>
      <w:r>
        <w:t xml:space="preserve">6.2  Layered Allowlisting Model</w:t>
      </w:r>
    </w:p>
    <w:p>
      <w:pPr>
        <w:spacing w:after="140" w:line="276"/>
      </w:pPr>
      <w:r>
        <w:t xml:space="preserve">The allowlist is constructed in layers, applied in order of preference, so that routine updates do not break execution while trust remains tightly scoped. This is the design realisation of the position stated in Section 3.3.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3100"/>
        <w:gridCol w:w="2926"/>
      </w:tblGrid>
      <w:tr>
        <w:trPr>
          <w:tblHeader/>
        </w:trPr>
        <w:tc>
          <w:tcPr>
            <w:tcW w:type="dxa" w:w="130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pPr>
            <w:r>
              <w:rPr>
                <w:b/>
                <w:bCs/>
                <w:color w:val="FFFFFF"/>
                <w:sz w:val="19"/>
                <w:szCs w:val="19"/>
              </w:rPr>
              <w:t xml:space="preserve">Layer</w:t>
            </w:r>
          </w:p>
        </w:tc>
        <w:tc>
          <w:tcPr>
            <w:tcW w:type="dxa" w:w="170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pPr>
            <w:r>
              <w:rPr>
                <w:b/>
                <w:bCs/>
                <w:color w:val="FFFFFF"/>
                <w:sz w:val="19"/>
                <w:szCs w:val="19"/>
              </w:rPr>
              <w:t xml:space="preserve">Mechanism</w:t>
            </w:r>
          </w:p>
        </w:tc>
        <w:tc>
          <w:tcPr>
            <w:tcW w:type="dxa" w:w="310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pPr>
            <w:r>
              <w:rPr>
                <w:b/>
                <w:bCs/>
                <w:color w:val="FFFFFF"/>
                <w:sz w:val="19"/>
                <w:szCs w:val="19"/>
              </w:rPr>
              <w:t xml:space="preserve">Used for</w:t>
            </w:r>
          </w:p>
        </w:tc>
        <w:tc>
          <w:tcPr>
            <w:tcW w:type="dxa" w:w="2926"/>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pPr>
            <w:r>
              <w:rPr>
                <w:b/>
                <w:bCs/>
                <w:color w:val="FFFFFF"/>
                <w:sz w:val="19"/>
                <w:szCs w:val="19"/>
              </w:rPr>
              <w:t xml:space="preserve">Rationale</w:t>
            </w:r>
          </w:p>
        </w:tc>
      </w:tr>
      <w:tr>
        <w:tc>
          <w:tcPr>
            <w:tcW w:type="dxa" w:w="13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1 (primary)</w:t>
            </w:r>
          </w:p>
        </w:tc>
        <w:tc>
          <w:tcPr>
            <w:tcW w:type="dxa" w:w="1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Publisher</w:t>
            </w:r>
          </w:p>
        </w:tc>
        <w:tc>
          <w:tcPr>
            <w:tcW w:type="dxa" w:w="3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Signed OS and approved application binaries from trusted publishers</w:t>
            </w:r>
          </w:p>
        </w:tc>
        <w:tc>
          <w:tcPr>
            <w:tcW w:type="dxa" w:w="2926"/>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Survives vendor updates; minimises rule churn at scale</w:t>
            </w:r>
          </w:p>
        </w:tc>
      </w:tr>
      <w:tr>
        <w:tc>
          <w:tcPr>
            <w:tcW w:type="dxa" w:w="1300"/>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2 (fallback)</w:t>
            </w:r>
          </w:p>
        </w:tc>
        <w:tc>
          <w:tcPr>
            <w:tcW w:type="dxa" w:w="1700"/>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Hash</w:t>
            </w:r>
          </w:p>
        </w:tc>
        <w:tc>
          <w:tcPr>
            <w:tcW w:type="dxa" w:w="3100"/>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Unsigned binaries, internal/LOB tools, and cases where publisher trust is too broad</w:t>
            </w:r>
          </w:p>
        </w:tc>
        <w:tc>
          <w:tcPr>
            <w:tcW w:type="dxa" w:w="2926"/>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Exact, high-assurance; re-baselined on change</w:t>
            </w:r>
          </w:p>
        </w:tc>
      </w:tr>
      <w:tr>
        <w:tc>
          <w:tcPr>
            <w:tcW w:type="dxa" w:w="13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3 (exception)</w:t>
            </w:r>
          </w:p>
        </w:tc>
        <w:tc>
          <w:tcPr>
            <w:tcW w:type="dxa" w:w="1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Path + parent process</w:t>
            </w:r>
          </w:p>
        </w:tc>
        <w:tc>
          <w:tcPr>
            <w:tcW w:type="dxa" w:w="3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Trusted installer/update flows in non-user-writable locations only</w:t>
            </w:r>
          </w:p>
        </w:tc>
        <w:tc>
          <w:tcPr>
            <w:tcW w:type="dxa" w:w="2926"/>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Enables OS and vendor self-update without broad trust</w:t>
            </w:r>
          </w:p>
        </w:tc>
      </w:tr>
      <w:tr>
        <w:tc>
          <w:tcPr>
            <w:tcW w:type="dxa" w:w="1300"/>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4 (conditional)</w:t>
            </w:r>
          </w:p>
        </w:tc>
        <w:tc>
          <w:tcPr>
            <w:tcW w:type="dxa" w:w="1700"/>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Metarules (wildcards)</w:t>
            </w:r>
          </w:p>
        </w:tc>
        <w:tc>
          <w:tcPr>
            <w:tcW w:type="dxa" w:w="3100"/>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Real-world update/interoperability patterns</w:t>
            </w:r>
          </w:p>
        </w:tc>
        <w:tc>
          <w:tcPr>
            <w:tcW w:type="dxa" w:w="2926"/>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Expresses precise conditions (path + parent + hostname)</w:t>
            </w:r>
          </w:p>
        </w:tc>
      </w:tr>
    </w:tbl>
    <w:p>
      <w:pPr>
        <w:spacing w:after="60"/>
      </w:pPr>
      <w:r>
        <w:t xml:space="preserve"/>
      </w:r>
    </w:p>
    <w:p>
      <w:pPr>
        <w:spacing w:after="140" w:line="276"/>
      </w:pPr>
      <w:r>
        <w:rPr>
          <w:b/>
          <w:bCs/>
        </w:rPr>
        <w:t xml:space="preserve">Path-rule discipline.  </w:t>
      </w:r>
      <w:r>
        <w:t xml:space="preserve">Path rules are the most abusable allow mechanism because anything written to a trusted path executes. They are therefore confined to locations a standard user cannot write to, and are narrowed with parent-process and wildcard conditions wherever possible. No user-writable path (for example, user profile, Temp, Downloads) is ever trusted by path. This discipline is what prevents the layered model from degrading into an effectively permissive policy.</w:t>
      </w:r>
    </w:p>
    <w:p>
      <w:pPr>
        <w:pStyle w:val="Heading2"/>
      </w:pPr>
      <w:r>
        <w:t xml:space="preserve">6.3  Baseline Construction Methodology</w:t>
      </w:r>
    </w:p>
    <w:p>
      <w:pPr>
        <w:spacing w:after="140" w:line="276"/>
      </w:pPr>
      <w:r>
        <w:t xml:space="preserve">The baseline is the initial allowlist that makes enforce-from-day-one viable (Section 3.6). It is built on the controlled SOE/reference image, not on production user devices:</w:t>
      </w:r>
    </w:p>
    <w:p>
      <w:pPr>
        <w:pStyle w:val="ListParagraph"/>
        <w:numPr>
          <w:ilvl w:val="0"/>
          <w:numId w:val="3"/>
        </w:numPr>
        <w:spacing w:after="60" w:line="276"/>
      </w:pPr>
      <w:r>
        <w:rPr>
          <w:b/>
          <w:bCs/>
        </w:rPr>
        <w:t xml:space="preserve">Capture the SOE and W365 image. </w:t>
      </w:r>
      <w:r>
        <w:t xml:space="preserve">Install the agent and Application Capture on a clean SOE reference build and on the Windows 365 gold image, and capture the full set of OS and packaged-application binaries, libraries, installers and scripts as the foundation allowlist, preferring publisher rules and falling back to hash. Where the physical SOE and the Cloud PC image differ, capture each so the shared Standard policy covers both form factors.</w:t>
      </w:r>
    </w:p>
    <w:p>
      <w:pPr>
        <w:pStyle w:val="ListParagraph"/>
        <w:numPr>
          <w:ilvl w:val="0"/>
          <w:numId w:val="3"/>
        </w:numPr>
        <w:spacing w:after="60" w:line="276"/>
      </w:pPr>
      <w:r>
        <w:rPr>
          <w:b/>
          <w:bCs/>
        </w:rPr>
        <w:t xml:space="preserve">Add the managed application set. </w:t>
      </w:r>
      <w:r>
        <w:t xml:space="preserve">Capture the standard application catalogue delivered by Intune so that the approved software set is trusted before users encounter it.</w:t>
      </w:r>
    </w:p>
    <w:p>
      <w:pPr>
        <w:pStyle w:val="ListParagraph"/>
        <w:numPr>
          <w:ilvl w:val="0"/>
          <w:numId w:val="3"/>
        </w:numPr>
        <w:spacing w:after="60" w:line="276"/>
      </w:pPr>
      <w:r>
        <w:rPr>
          <w:b/>
          <w:bCs/>
        </w:rPr>
        <w:t xml:space="preserve">Run a time-boxed audit on pilot. </w:t>
      </w:r>
      <w:r>
        <w:t xml:space="preserve">Deploy in audit to the pilot ring to surface execution the SOE capture missed (interoperability tools, vendor updaters, legitimate LOB software), and convert findings into the appropriate rule type.</w:t>
      </w:r>
    </w:p>
    <w:p>
      <w:pPr>
        <w:pStyle w:val="ListParagraph"/>
        <w:numPr>
          <w:ilvl w:val="0"/>
          <w:numId w:val="3"/>
        </w:numPr>
        <w:spacing w:after="60" w:line="276"/>
      </w:pPr>
      <w:r>
        <w:rPr>
          <w:b/>
          <w:bCs/>
        </w:rPr>
        <w:t xml:space="preserve">Curate the blocklist overlay. </w:t>
      </w:r>
      <w:r>
        <w:t xml:space="preserve">Apply Microsoft's recommended block rules and ATT&amp;CK-aligned denies (Section 6.5).</w:t>
      </w:r>
    </w:p>
    <w:p>
      <w:pPr>
        <w:pStyle w:val="ListParagraph"/>
        <w:numPr>
          <w:ilvl w:val="0"/>
          <w:numId w:val="3"/>
        </w:numPr>
        <w:spacing w:after="60" w:line="276"/>
      </w:pPr>
      <w:r>
        <w:rPr>
          <w:b/>
          <w:bCs/>
        </w:rPr>
        <w:t xml:space="preserve">Promote to enforced. </w:t>
      </w:r>
      <w:r>
        <w:t xml:space="preserve">Validate the enforced policy on pilot, then release to production already enforced.</w:t>
      </w:r>
    </w:p>
    <w:p>
      <w:pPr>
        <w:spacing w:after="140" w:line="276"/>
      </w:pPr>
      <w:r>
        <w:rPr>
          <w:b/>
          <w:bCs/>
        </w:rPr>
        <w:t xml:space="preserve">Maintenance.  </w:t>
      </w:r>
      <w:r>
        <w:t xml:space="preserve">The baseline is a living artefact. Application onboarding (Section 7.3) feeds new trusted software into it, and a periodic baseline refresh re-captures the SOE after significant OS or catalogue change so the policy does not drift from the build.</w:t>
      </w:r>
    </w:p>
    <w:p>
      <w:pPr>
        <w:pStyle w:val="Heading2"/>
      </w:pPr>
      <w:r>
        <w:t xml:space="preserve">6.4  Trusted Path and Installer Exemptions</w:t>
      </w:r>
    </w:p>
    <w:p>
      <w:pPr>
        <w:spacing w:after="140" w:line="276"/>
      </w:pPr>
      <w:r>
        <w:t xml:space="preserve">Operating-system servicing and approved auto-updating applications must be able to write and execute new binaries without generating blocks, while not opening a generic execution hole. The design handles this through narrowly scoped trusted-update mechanisms rather than broad path trust (Constraint requirement; required input from the questionnaire):</w:t>
      </w:r>
    </w:p>
    <w:p>
      <w:pPr>
        <w:pStyle w:val="ListParagraph"/>
        <w:numPr>
          <w:ilvl w:val="0"/>
          <w:numId w:val="2"/>
        </w:numPr>
        <w:spacing w:after="60" w:line="276"/>
      </w:pPr>
      <w:r>
        <w:rPr>
          <w:b/>
          <w:bCs/>
        </w:rPr>
        <w:t xml:space="preserve">Windows Update / servicing. </w:t>
      </w:r>
      <w:r>
        <w:t xml:space="preserve">OS servicing flows are accommodated so that Microsoft-delivered, signed system binaries introduced by updates are trusted — preferring publisher trust for Microsoft-signed content, supported by trusted-update handling for the servicing path. Agent compatibility with feature updates is confirmed per wave (Section 5.1).</w:t>
      </w:r>
    </w:p>
    <w:p>
      <w:pPr>
        <w:pStyle w:val="ListParagraph"/>
        <w:numPr>
          <w:ilvl w:val="0"/>
          <w:numId w:val="2"/>
        </w:numPr>
        <w:spacing w:after="60" w:line="276"/>
      </w:pPr>
      <w:r>
        <w:rPr>
          <w:b/>
          <w:bCs/>
        </w:rPr>
        <w:t xml:space="preserve">Trusted installers / SYSTEM-initiated execution. </w:t>
      </w:r>
      <w:r>
        <w:t xml:space="preserve">Approved installer and update processes operating from non-user-writable locations are trusted, constrained by parent process where possible, so that legitimate installation and patching of approved software proceeds without per-file approval.</w:t>
      </w:r>
    </w:p>
    <w:p>
      <w:pPr>
        <w:pStyle w:val="ListParagraph"/>
        <w:numPr>
          <w:ilvl w:val="0"/>
          <w:numId w:val="2"/>
        </w:numPr>
        <w:spacing w:after="60" w:line="276"/>
      </w:pPr>
      <w:r>
        <w:rPr>
          <w:b/>
          <w:bCs/>
        </w:rPr>
        <w:t xml:space="preserve">Approved auto-updaters. </w:t>
      </w:r>
      <w:r>
        <w:t xml:space="preserve">Specific vendor update processes (for example a browser or agent updater) are trusted by publisher and/or constrained path-plus-parent so that signed updates apply automatically.</w:t>
      </w:r>
    </w:p>
    <w:p>
      <w:pPr>
        <w:spacing w:after="140" w:line="276"/>
      </w:pPr>
      <w:r>
        <w:rPr>
          <w:b/>
          <w:bCs/>
        </w:rPr>
        <w:t xml:space="preserve">Cautions.  </w:t>
      </w:r>
      <w:r>
        <w:t xml:space="preserve">Trusted-update and installer exemptions are powerful and are a common allowlisting weakness if applied too broadly. They are therefore: (a) restricted to non-user-writable locations; (b) constrained by publisher and/or parent process; (c) documented individually with a justification (Appendix B is an illustrative starting set); and (d) reviewed periodically. They must never be used to trust a user-writable directory. Any exemption that would trust a location to which a standard user can write is rejected by design.</w:t>
      </w:r>
    </w:p>
    <w:p>
      <w:pPr>
        <w:pStyle w:val="Heading2"/>
      </w:pPr>
      <w:r>
        <w:t xml:space="preserve">6.5  Blocklist Overlay</w:t>
      </w:r>
    </w:p>
    <w:p>
      <w:pPr>
        <w:spacing w:after="140" w:line="276"/>
      </w:pPr>
      <w:r>
        <w:t xml:space="preserve">Allowlisting alone can be undermined by trusted-but-abusable binaries (living-off-the-land binaries) that fall within a broad publisher rule. A blocklist overlay denies these explicitly:</w:t>
      </w:r>
    </w:p>
    <w:p>
      <w:pPr>
        <w:pStyle w:val="ListParagraph"/>
        <w:numPr>
          <w:ilvl w:val="0"/>
          <w:numId w:val="2"/>
        </w:numPr>
        <w:spacing w:after="60" w:line="276"/>
      </w:pPr>
      <w:r>
        <w:rPr>
          <w:b/>
          <w:bCs/>
        </w:rPr>
        <w:t xml:space="preserve">Microsoft recommended block rules. </w:t>
      </w:r>
      <w:r>
        <w:t xml:space="preserve">Implement Microsoft's recommended application blocklist (the set of Microsoft-signed binaries commonly abused to bypass application control). Implementing this list is an explicit Essential Eight ML2 expectation.</w:t>
      </w:r>
    </w:p>
    <w:p>
      <w:pPr>
        <w:pStyle w:val="ListParagraph"/>
        <w:numPr>
          <w:ilvl w:val="0"/>
          <w:numId w:val="2"/>
        </w:numPr>
        <w:spacing w:after="60" w:line="276"/>
      </w:pPr>
      <w:r>
        <w:rPr>
          <w:b/>
          <w:bCs/>
        </w:rPr>
        <w:t xml:space="preserve">ATT&amp;CK-aligned denies. </w:t>
      </w:r>
      <w:r>
        <w:t xml:space="preserve">Apply additional denies for known abusable binaries and techniques relevant to the environment, using the product's pre-defined rule sets and threat intelligence (including VirusTotal enrichment) to inform decisions.</w:t>
      </w:r>
    </w:p>
    <w:p>
      <w:pPr>
        <w:spacing w:after="140" w:line="276"/>
      </w:pPr>
      <w:r>
        <w:rPr>
          <w:b/>
          <w:bCs/>
        </w:rPr>
        <w:t xml:space="preserve">Precedence.  </w:t>
      </w:r>
      <w:r>
        <w:t xml:space="preserve">Blocklist denies take precedence over allowlist permits, so a binary that is both broadly allowed by publisher and explicitly blocklisted is blocked. This precedence is what makes the overlay effective.</w:t>
      </w:r>
    </w:p>
    <w:p>
      <w:pPr>
        <w:pStyle w:val="Heading2"/>
      </w:pPr>
      <w:r>
        <w:t xml:space="preserve">6.6  Script and PowerShell Control</w:t>
      </w:r>
    </w:p>
    <w:p>
      <w:pPr>
        <w:spacing w:after="140" w:line="276"/>
      </w:pPr>
      <w:r>
        <w:t xml:space="preserve">Airlock controls the </w:t>
      </w:r>
      <w:r>
        <w:rPr>
          <w:b/>
          <w:bCs/>
        </w:rPr>
        <w:t xml:space="preserve">execution</w:t>
      </w:r>
      <w:r>
        <w:t xml:space="preserve"> of scripts (for example, blocking an unapproved .ps1, .vbs, .bat, .js, .hta and similar) as part of Deny by Default, which addresses the ML2 requirement to control script execution. It is important to be precise about one boundary: Airlock controls whether a script </w:t>
      </w:r>
      <w:r>
        <w:rPr>
          <w:b/>
          <w:bCs/>
        </w:rPr>
        <w:t xml:space="preserve">runs</w:t>
      </w:r>
      <w:r>
        <w:t xml:space="preserve">, but it does not place Windows PowerShell into </w:t>
      </w:r>
      <w:r>
        <w:rPr>
          <w:b/>
          <w:bCs/>
        </w:rPr>
        <w:t xml:space="preserve">Constrained Language Mode (CLM)</w:t>
      </w:r>
      <w:r>
        <w:t xml:space="preserve">. CLM — which restricts what an allowed PowerShell session can do — is driven by AppLocker (and WDAC) policy, not by Airlock. </w:t>
      </w:r>
    </w:p>
    <w:p>
      <w:pPr>
        <w:spacing w:after="140" w:line="276"/>
      </w:pPr>
      <w:r>
        <w:t xml:space="preserve">This distinction matters for defence-in-depth design. If CLM enforcement is desired as a complementary hardening (constraining the capability of permitted PowerShell, not just whether scripts execute), it is delivered through an AppLocker/WDAC configuration alongside Airlock, as discussed in the options paper. For the ML2 application-control scope of this document, Airlock's script execution control is the in-scope mechanism; CLM via AppLocker/WDAC is noted as a complementary, defence-in-depth control and is the natural lever for a later ML3 uplift. The historical Windows 11 24H2 AppLocker/CLM regression (addressed by a May 2025 update) is a reason to validate any CLM-dependent hardening against the in-use Windows build if that path is pursued.</w:t>
      </w:r>
    </w:p>
    <w:p>
      <w:pPr>
        <w:pStyle w:val="Heading2"/>
      </w:pPr>
      <w:r>
        <w:t xml:space="preserve">6.7  Standard Policy (Physical and Windows 365)</w:t>
      </w:r>
    </w:p>
    <w:p>
      <w:pPr>
        <w:spacing w:after="140" w:line="276"/>
      </w:pPr>
      <w:r>
        <w:t xml:space="preserve">The standard policy applies to both physical Windows 11 endpoints and standard Windows 365 Cloud PCs. It applies Deny by Default with the layered allowlist (publisher-primary, hash fallback), the trusted-update exemptions of Section 6.4 and the blocklist overlay of Section 6.5. It enables a pragmatic exception posture: OTP and exception requests are available so that legitimate but unbaselined software can be handled quickly without weakening enforcement. The allowlist core is shared across the two form factors; physical devices are baselined from the SOE and Cloud PCs from the Windows 365 gold image (Section 6.3), both feeding the same Standard policy so users experience a single, consistent control regardless of whether they are on a physical device or a Cloud PC. This balances the security control against the operational reality of a large productivity population.</w:t>
      </w:r>
    </w:p>
    <w:p>
      <w:pPr>
        <w:pStyle w:val="Heading2"/>
      </w:pPr>
      <w:r>
        <w:t xml:space="preserve">6.8  PAW Policy (Physical)</w:t>
      </w:r>
    </w:p>
    <w:p>
      <w:pPr>
        <w:spacing w:after="140" w:line="276"/>
      </w:pPr>
      <w:r>
        <w:t xml:space="preserve">Physical PAWs are the highest-value devices in the estate and receive the strictest policy (questionnaire decision: a separate, locked-down PAW policy):</w:t>
      </w:r>
    </w:p>
    <w:p>
      <w:pPr>
        <w:pStyle w:val="ListParagraph"/>
        <w:numPr>
          <w:ilvl w:val="0"/>
          <w:numId w:val="2"/>
        </w:numPr>
        <w:spacing w:after="60" w:line="276"/>
      </w:pPr>
      <w:r>
        <w:rPr>
          <w:b/>
          <w:bCs/>
        </w:rPr>
        <w:t xml:space="preserve">No user-initiated software installation. </w:t>
      </w:r>
      <w:r>
        <w:t xml:space="preserve">Users cannot install software; the approved PAW software set is fixed and delivered through managed channels only.</w:t>
      </w:r>
    </w:p>
    <w:p>
      <w:pPr>
        <w:pStyle w:val="ListParagraph"/>
        <w:numPr>
          <w:ilvl w:val="0"/>
          <w:numId w:val="2"/>
        </w:numPr>
        <w:spacing w:after="60" w:line="276"/>
      </w:pPr>
      <w:r>
        <w:rPr>
          <w:b/>
          <w:bCs/>
        </w:rPr>
        <w:t xml:space="preserve">No self-service execution bypass. </w:t>
      </w:r>
      <w:r>
        <w:t xml:space="preserve">Self-service OTP is disabled. Any temporary execution requirement is handled as an administrative, fully audited action — not a user-driven one.</w:t>
      </w:r>
    </w:p>
    <w:p>
      <w:pPr>
        <w:pStyle w:val="ListParagraph"/>
        <w:numPr>
          <w:ilvl w:val="0"/>
          <w:numId w:val="2"/>
        </w:numPr>
        <w:spacing w:after="60" w:line="276"/>
      </w:pPr>
      <w:r>
        <w:rPr>
          <w:b/>
          <w:bCs/>
        </w:rPr>
        <w:t xml:space="preserve">Tightest allowlist. </w:t>
      </w:r>
      <w:r>
        <w:t xml:space="preserve">Only the minimal binary set required for privileged administration is trusted; broad publisher rules are narrowed where feasible and unnecessary software is excluded entirely.</w:t>
      </w:r>
    </w:p>
    <w:p>
      <w:pPr>
        <w:pStyle w:val="ListParagraph"/>
        <w:numPr>
          <w:ilvl w:val="0"/>
          <w:numId w:val="2"/>
        </w:numPr>
        <w:spacing w:after="60" w:line="276"/>
      </w:pPr>
      <w:r>
        <w:rPr>
          <w:b/>
          <w:bCs/>
        </w:rPr>
        <w:t xml:space="preserve">Strict blocklist. </w:t>
      </w:r>
      <w:r>
        <w:t xml:space="preserve">The full Microsoft recommended block list and ATT&amp;CK-aligned denies apply, with no relaxations.</w:t>
      </w:r>
    </w:p>
    <w:p>
      <w:pPr>
        <w:pStyle w:val="ListParagraph"/>
        <w:numPr>
          <w:ilvl w:val="0"/>
          <w:numId w:val="2"/>
        </w:numPr>
        <w:spacing w:after="60" w:line="276"/>
      </w:pPr>
      <w:r>
        <w:rPr>
          <w:b/>
          <w:bCs/>
        </w:rPr>
        <w:t xml:space="preserve">Isolation. </w:t>
      </w:r>
      <w:r>
        <w:t xml:space="preserve">PAW assignment, policy group and any administrative actions are isolated from the standard fleet (Section 5.7).</w:t>
      </w:r>
    </w:p>
    <w:p>
      <w:pPr>
        <w:spacing w:after="140" w:line="276"/>
      </w:pPr>
      <w:r>
        <w:rPr>
          <w:b/>
          <w:bCs/>
        </w:rPr>
        <w:t xml:space="preserve">Rationale.  </w:t>
      </w:r>
      <w:r>
        <w:t xml:space="preserve">On a PAW, operational convenience is subordinate to assurance. Removing user-initiated installation and self-service bypass closes the two most common application-control evasion paths and is consistent with the privileged-access hardening expected of these devices.</w:t>
      </w:r>
    </w:p>
    <w:p>
      <w:pPr>
        <w:pStyle w:val="Heading2"/>
      </w:pPr>
      <w:r>
        <w:t xml:space="preserve">6.9  Developer Policy (Windows 365 Secure Developer Environment)</w:t>
      </w:r>
    </w:p>
    <w:p>
      <w:pPr>
        <w:spacing w:after="140" w:line="276"/>
      </w:pPr>
      <w:r>
        <w:t xml:space="preserve">Developer devices are delivered as Windows 365 Cloud PCs and receive a deliberately loosened posture. The driver is the development workflow itself: developers compile and run new, frequently unsigned binaries many times a day and use a broad and changing toolchain, which a strict allowlist would block constantly. Rather than weaken the control to audit-only (which Constraint C6 prohibits) or remove the agent, the design </w:t>
      </w:r>
      <w:r>
        <w:rPr>
          <w:b/>
          <w:bCs/>
        </w:rPr>
        <w:t xml:space="preserve">keeps Deny by Default and full logging in force and shifts the authorisation of new execution to the developer</w:t>
      </w:r>
      <w:r>
        <w:t xml:space="preserve">, bounded by compensating controls. The loosening is risk-accepted and is contained by delivering developer environments as isolated, reprovisionable Cloud PCs.</w:t>
      </w:r>
    </w:p>
    <w:p>
      <w:pPr>
        <w:spacing w:after="140" w:line="276"/>
      </w:pPr>
      <w:r>
        <w:rPr>
          <w:b/>
          <w:bCs/>
        </w:rPr>
        <w:t xml:space="preserve">Mechanisms</w:t>
      </w:r>
    </w:p>
    <w:p>
      <w:pPr>
        <w:pStyle w:val="ListParagraph"/>
        <w:numPr>
          <w:ilvl w:val="0"/>
          <w:numId w:val="2"/>
        </w:numPr>
        <w:spacing w:after="60" w:line="276"/>
      </w:pPr>
      <w:r>
        <w:rPr>
          <w:b/>
          <w:bCs/>
        </w:rPr>
        <w:t xml:space="preserve">Developer self-service authorisation (self-auth). </w:t>
      </w:r>
      <w:r>
        <w:t xml:space="preserve">Self-service OTP is enabled so a developer can self-issue a time-boxed audit session and run newly built or unapproved software without a service-desk round-trip. Every session is logged and reviewable. This is the primary loosening lever and the direct answer to compile-run friction.</w:t>
      </w:r>
    </w:p>
    <w:p>
      <w:pPr>
        <w:pStyle w:val="ListParagraph"/>
        <w:numPr>
          <w:ilvl w:val="0"/>
          <w:numId w:val="2"/>
        </w:numPr>
        <w:spacing w:after="60" w:line="276"/>
      </w:pPr>
      <w:r>
        <w:rPr>
          <w:b/>
          <w:bCs/>
        </w:rPr>
        <w:t xml:space="preserve">Curated developer toolchain allowlist. </w:t>
      </w:r>
      <w:r>
        <w:t xml:space="preserve">Common signed developer tooling — IDEs, SDKs, language runtimes, package managers and build tools — is trusted by publisher so routine development does not depend on OTP at all.</w:t>
      </w:r>
    </w:p>
    <w:p>
      <w:pPr>
        <w:pStyle w:val="ListParagraph"/>
        <w:numPr>
          <w:ilvl w:val="0"/>
          <w:numId w:val="2"/>
        </w:numPr>
        <w:spacing w:after="60" w:line="276"/>
      </w:pPr>
      <w:r>
        <w:rPr>
          <w:b/>
          <w:bCs/>
        </w:rPr>
        <w:t xml:space="preserve">Build-process trust (optional; decision required). </w:t>
      </w:r>
      <w:r>
        <w:t xml:space="preserve">To avoid repeated authorisation for the compile-run loop, execution may be trusted when launched by approved build or interpreter processes (for example msbuild, dotnet, node, python), constrained by parent process. This is the looser end of the spectrum: it broadens trust to anything those processes launch, so it is offered as an explicit decision (Appendix E, item V9) rather than adopted by default, because it materially increases the developer attack surface.</w:t>
      </w:r>
    </w:p>
    <w:p>
      <w:pPr>
        <w:pStyle w:val="ListParagraph"/>
        <w:numPr>
          <w:ilvl w:val="0"/>
          <w:numId w:val="2"/>
        </w:numPr>
        <w:spacing w:after="60" w:line="276"/>
      </w:pPr>
      <w:r>
        <w:rPr>
          <w:b/>
          <w:bCs/>
        </w:rPr>
        <w:t xml:space="preserve">Retained blocklist and telemetry. </w:t>
      </w:r>
      <w:r>
        <w:t xml:space="preserve">Microsoft's recommended block list and ATT&amp;CK-aligned denies remain fully in force, and all execution and OTP activity is logged to the SIEM. Loosening authorisation does not loosen the blocklist or reduce visibility.</w:t>
      </w:r>
    </w:p>
    <w:p>
      <w:pPr>
        <w:pStyle w:val="ListParagraph"/>
        <w:numPr>
          <w:ilvl w:val="0"/>
          <w:numId w:val="2"/>
        </w:numPr>
        <w:spacing w:after="60" w:line="276"/>
      </w:pPr>
      <w:r>
        <w:rPr>
          <w:b/>
          <w:bCs/>
        </w:rPr>
        <w:t xml:space="preserve">Containment. </w:t>
      </w:r>
      <w:r>
        <w:t xml:space="preserve">Developer environments are Windows 365 Cloud PCs that are segmented and reprovisionable, limiting blast radius and supporting rapid recovery if a developer device is compromised.</w:t>
      </w:r>
    </w:p>
    <w:p>
      <w:pPr>
        <w:spacing w:after="140" w:line="276"/>
      </w:pPr>
      <w:r>
        <w:rPr>
          <w:b/>
          <w:bCs/>
        </w:rPr>
        <w:t xml:space="preserve">Design position and trade-off.  </w:t>
      </w:r>
      <w:r>
        <w:t xml:space="preserve">The developer posture is a deliberate productivity-versus-assurance trade-off. Developers are high-value targets and self-authorisation is a genuine reduction in control strength, so three guardrails are held constant: the agent stays </w:t>
      </w:r>
      <w:r>
        <w:rPr>
          <w:b/>
          <w:bCs/>
        </w:rPr>
        <w:t xml:space="preserve">enforced</w:t>
      </w:r>
      <w:r>
        <w:t xml:space="preserve"> (never audit-only or removed), the blocklist and telemetry remain, and the environment is contained and resettable. Between the two loosening options, </w:t>
      </w:r>
      <w:r>
        <w:rPr>
          <w:b/>
          <w:bCs/>
        </w:rPr>
        <w:t xml:space="preserve">self-service OTP alone is recommended</w:t>
      </w:r>
      <w:r>
        <w:t xml:space="preserve"> over adding build-process trust, because it preserves an explicit, audited authorisation event for each session rather than establishing a standing broad trust. Build-process trust should only be added if the compile-run friction proves unacceptable in pilot, and then with parent-process constraints and heightened monitoring.</w:t>
      </w:r>
    </w:p>
    <w:p>
      <w:pPr>
        <w:spacing w:after="140" w:line="276"/>
      </w:pPr>
      <w:r>
        <w:rPr>
          <w:b/>
          <w:bCs/>
        </w:rPr>
        <w:t xml:space="preserve">Assessment note.  </w:t>
      </w:r>
      <w:r>
        <w:t xml:space="preserve">For Essential Eight assessment, developer devices remain under enforced application control with central logging; the self-service authorisation path is documented as a managed variance with compensating controls (containment, blocklist, monitoring) rather than as an unmanaged gap. This distinction should be captured in the assessment evidence and on the risk register (Section 11.3).</w:t>
      </w:r>
    </w:p>
    <w:p>
      <w:pPr>
        <w:pStyle w:val="Heading2"/>
      </w:pPr>
      <w:r>
        <w:t xml:space="preserve">6.10  Policy Change Management</w:t>
      </w:r>
    </w:p>
    <w:p>
      <w:pPr>
        <w:spacing w:after="140" w:line="276"/>
      </w:pPr>
      <w:r>
        <w:t xml:space="preserve">All policy changes (new allow rules, blocklist changes, exemptions) are made through change control with a recorded justification, are attributable to an identified administrator via the console's change history, and are forwarded to the SIEM as server-activity events (Section 9). Separation of duties applies: the person requesting an application onboarding is not the sole approver of the corresponding rule (Section 8.4). The policy change history feature provides the audit trail required for assessment evidence.</w:t>
      </w:r>
    </w:p>
    <w:p>
      <w:r>
        <w:br w:type="page"/>
      </w:r>
    </w:p>
    <w:p>
      <w:pPr>
        <w:pStyle w:val="Heading1"/>
      </w:pPr>
      <w:r>
        <w:t xml:space="preserve">7.  Operational Workflows</w:t>
      </w:r>
    </w:p>
    <w:p>
      <w:pPr>
        <w:pStyle w:val="Heading2"/>
      </w:pPr>
      <w:r>
        <w:t xml:space="preserve">7.1  One Time Password (OTP) Workflow</w:t>
      </w:r>
    </w:p>
    <w:p>
      <w:pPr>
        <w:spacing w:after="140" w:line="276"/>
      </w:pPr>
      <w:r>
        <w:t xml:space="preserve">OTP is Airlock's mechanism for maintaining business continuity when a user must run software that policy does not yet permit. It places the device into a time-bounded audit session via a challenge-response code, during which otherwise-blocked files can run and are recorded. When the code expires or is revoked, the device returns to its enforced policy. The administrator can then review what ran during the session and, if appropriate, add the software to the allowlist.</w:t>
      </w:r>
    </w:p>
    <w:p>
      <w:pPr>
        <w:spacing w:after="140" w:line="276"/>
      </w:pPr>
      <w:r>
        <w:rPr>
          <w:b/>
          <w:bCs/>
        </w:rPr>
        <w:t xml:space="preserve">Standard endpoint flow</w:t>
      </w:r>
    </w:p>
    <w:p>
      <w:pPr>
        <w:pStyle w:val="ListParagraph"/>
        <w:numPr>
          <w:ilvl w:val="0"/>
          <w:numId w:val="3"/>
        </w:numPr>
        <w:spacing w:after="60" w:line="276"/>
      </w:pPr>
      <w:r>
        <w:t xml:space="preserve">User encounters a block for legitimate software and requests temporary access (self-service or via the service desk).</w:t>
      </w:r>
    </w:p>
    <w:p>
      <w:pPr>
        <w:pStyle w:val="ListParagraph"/>
        <w:numPr>
          <w:ilvl w:val="0"/>
          <w:numId w:val="3"/>
        </w:numPr>
        <w:spacing w:after="60" w:line="276"/>
      </w:pPr>
      <w:r>
        <w:t xml:space="preserve">An OTP code is issued for a defined duration; the device enters a time-boxed audit session.</w:t>
      </w:r>
    </w:p>
    <w:p>
      <w:pPr>
        <w:pStyle w:val="ListParagraph"/>
        <w:numPr>
          <w:ilvl w:val="0"/>
          <w:numId w:val="3"/>
        </w:numPr>
        <w:spacing w:after="60" w:line="276"/>
      </w:pPr>
      <w:r>
        <w:t xml:space="preserve">The user completes their task; execution during the session is logged.</w:t>
      </w:r>
    </w:p>
    <w:p>
      <w:pPr>
        <w:pStyle w:val="ListParagraph"/>
        <w:numPr>
          <w:ilvl w:val="0"/>
          <w:numId w:val="3"/>
        </w:numPr>
        <w:spacing w:after="60" w:line="276"/>
      </w:pPr>
      <w:r>
        <w:t xml:space="preserve">The session expires and enforcement resumes automatically.</w:t>
      </w:r>
    </w:p>
    <w:p>
      <w:pPr>
        <w:pStyle w:val="ListParagraph"/>
        <w:numPr>
          <w:ilvl w:val="0"/>
          <w:numId w:val="3"/>
        </w:numPr>
        <w:spacing w:after="60" w:line="276"/>
      </w:pPr>
      <w:r>
        <w:t xml:space="preserve">An administrator reviews session activity and, where justified, onboards the software to the baseline (Section 7.3).</w:t>
      </w:r>
    </w:p>
    <w:p>
      <w:pPr>
        <w:spacing w:after="140" w:line="276"/>
      </w:pPr>
      <w:r>
        <w:rPr>
          <w:b/>
          <w:bCs/>
        </w:rPr>
        <w:t xml:space="preserve">OTP posture by population.  </w:t>
      </w:r>
      <w:r>
        <w:t xml:space="preserve">The availability and style of OTP differs by device population, reflecting each population's risk appetite: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rPr>
          <w:tblHeader/>
        </w:trPr>
        <w:tc>
          <w:tcPr>
            <w:tcW w:type="dxa" w:w="270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pPr>
            <w:r>
              <w:rPr>
                <w:b/>
                <w:bCs/>
                <w:color w:val="FFFFFF"/>
                <w:sz w:val="19"/>
                <w:szCs w:val="19"/>
              </w:rPr>
              <w:t xml:space="preserve">Population</w:t>
            </w:r>
          </w:p>
        </w:tc>
        <w:tc>
          <w:tcPr>
            <w:tcW w:type="dxa" w:w="6326"/>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pPr>
            <w:r>
              <w:rPr>
                <w:b/>
                <w:bCs/>
                <w:color w:val="FFFFFF"/>
                <w:sz w:val="19"/>
                <w:szCs w:val="19"/>
              </w:rPr>
              <w:t xml:space="preserve">OTP posture</w:t>
            </w:r>
          </w:p>
        </w:tc>
      </w:tr>
      <w:tr>
        <w:tc>
          <w:tcPr>
            <w:tcW w:type="dxa" w:w="2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Standard (physical + W365)</w:t>
            </w:r>
          </w:p>
        </w:tc>
        <w:tc>
          <w:tcPr>
            <w:tcW w:type="dxa" w:w="6326"/>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Self-service and/or service-desk issuance; short durations; audited</w:t>
            </w:r>
          </w:p>
        </w:tc>
      </w:tr>
      <w:tr>
        <w:tc>
          <w:tcPr>
            <w:tcW w:type="dxa" w:w="2700"/>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PAW (physical)</w:t>
            </w:r>
          </w:p>
        </w:tc>
        <w:tc>
          <w:tcPr>
            <w:tcW w:type="dxa" w:w="6326"/>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No self-service; administrator-only issuance, fully audited (Section 6.8)</w:t>
            </w:r>
          </w:p>
        </w:tc>
      </w:tr>
      <w:tr>
        <w:tc>
          <w:tcPr>
            <w:tcW w:type="dxa" w:w="2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Developer (W365)</w:t>
            </w:r>
          </w:p>
        </w:tc>
        <w:tc>
          <w:tcPr>
            <w:tcW w:type="dxa" w:w="6326"/>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Self-service enabled (self-auth); developer-initiated, time-boxed, audited — the primary loosening mechanism for this population (Section 6.9)</w:t>
            </w:r>
          </w:p>
        </w:tc>
      </w:tr>
    </w:tbl>
    <w:p>
      <w:pPr>
        <w:spacing w:after="60"/>
      </w:pPr>
      <w:r>
        <w:t xml:space="preserve"/>
      </w:r>
    </w:p>
    <w:p>
      <w:pPr>
        <w:spacing w:after="140" w:line="276"/>
      </w:pPr>
      <w:r>
        <w:rPr>
          <w:b/>
          <w:bCs/>
        </w:rPr>
        <w:t xml:space="preserve">Design position.  </w:t>
      </w:r>
      <w:r>
        <w:t xml:space="preserve">OTP is a continuity and triage tool, not a standing bypass. Durations are short and every session is audited. On standard and PAW devices, recurring OTP for the same software is a signal to onboard it properly rather than to keep issuing codes. On developer devices, self-service OTP is intentionally the routine authorisation mechanism rather than an exception path — this is the designed loosening, distinct from standard use, and it remains fully logged. OTP issuance and session activity for all populations are forwarded to the SIEM (Section 9.5), where developer self-auth is monitored for anomalies rather than treated as inherently exceptional.</w:t>
      </w:r>
    </w:p>
    <w:p>
      <w:pPr>
        <w:pStyle w:val="Heading2"/>
      </w:pPr>
      <w:r>
        <w:t xml:space="preserve">7.2  Exception Request Workflow</w:t>
      </w:r>
    </w:p>
    <w:p>
      <w:pPr>
        <w:spacing w:after="140" w:line="276"/>
      </w:pPr>
      <w:r>
        <w:t xml:space="preserve">In addition to OTP, the product provides an exception-request workflow that lets a user request an exception at the moment of a block, without disabling the agent or bypassing process. Requests can be routed through existing platforms (for example ServiceNow, Microsoft Teams or email) so approvals follow established ITSM change paths and remain auditable. This is the preferred channel for non-urgent software introductions because it produces a clean request-approve-record trail.</w:t>
      </w:r>
    </w:p>
    <w:p>
      <w:pPr>
        <w:pStyle w:val="Heading2"/>
      </w:pPr>
      <w:r>
        <w:t xml:space="preserve">7.3  Application Onboarding</w:t>
      </w:r>
    </w:p>
    <w:p>
      <w:pPr>
        <w:spacing w:after="140" w:line="276"/>
      </w:pPr>
      <w:r>
        <w:t xml:space="preserve">Onboarding is how new approved software becomes permanently trusted. It is the steady-state process that keeps the baseline current and reduces reliance on OTP.</w:t>
      </w:r>
    </w:p>
    <w:p>
      <w:pPr>
        <w:pStyle w:val="ListParagraph"/>
        <w:numPr>
          <w:ilvl w:val="0"/>
          <w:numId w:val="3"/>
        </w:numPr>
        <w:spacing w:after="60" w:line="276"/>
      </w:pPr>
      <w:r>
        <w:t xml:space="preserve">Request raised (via exception workflow or change request) with the software and business justification.</w:t>
      </w:r>
    </w:p>
    <w:p>
      <w:pPr>
        <w:pStyle w:val="ListParagraph"/>
        <w:numPr>
          <w:ilvl w:val="0"/>
          <w:numId w:val="3"/>
        </w:numPr>
        <w:spacing w:after="60" w:line="276"/>
      </w:pPr>
      <w:r>
        <w:t xml:space="preserve">Software validated for provenance and integrity (signed by a known publisher; verified source; threat-intelligence check).</w:t>
      </w:r>
    </w:p>
    <w:p>
      <w:pPr>
        <w:pStyle w:val="ListParagraph"/>
        <w:numPr>
          <w:ilvl w:val="0"/>
          <w:numId w:val="3"/>
        </w:numPr>
        <w:spacing w:after="60" w:line="276"/>
      </w:pPr>
      <w:r>
        <w:t xml:space="preserve">Appropriate rule authored — publisher where signed and appropriately scoped, otherwise hash; path/parent only if unavoidable and non-user-writable.</w:t>
      </w:r>
    </w:p>
    <w:p>
      <w:pPr>
        <w:pStyle w:val="ListParagraph"/>
        <w:numPr>
          <w:ilvl w:val="0"/>
          <w:numId w:val="3"/>
        </w:numPr>
        <w:spacing w:after="60" w:line="276"/>
      </w:pPr>
      <w:r>
        <w:t xml:space="preserve">Change approved under separation of duties (Section 8.4) and applied; change history records the action.</w:t>
      </w:r>
    </w:p>
    <w:p>
      <w:pPr>
        <w:pStyle w:val="ListParagraph"/>
        <w:numPr>
          <w:ilvl w:val="0"/>
          <w:numId w:val="3"/>
        </w:numPr>
        <w:spacing w:after="60" w:line="276"/>
      </w:pPr>
      <w:r>
        <w:t xml:space="preserve">Rule validated on pilot where the change is significant, then released to the relevant policy group.</w:t>
      </w:r>
    </w:p>
    <w:p>
      <w:pPr>
        <w:pStyle w:val="Heading2"/>
      </w:pPr>
      <w:r>
        <w:t xml:space="preserve">7.4  Emergency / Break-Glass</w:t>
      </w:r>
    </w:p>
    <w:p>
      <w:pPr>
        <w:spacing w:after="140" w:line="276"/>
      </w:pPr>
      <w:r>
        <w:t xml:space="preserve">A documented break-glass path exists for an urgent, security-sanctioned need to run software at speed (for example, an incident-response tool during an active incident). Break-glass uses a short, fully audited administrative OTP or a tightly scoped temporary rule, is authorised by an accountable role, and is reviewed and reverted promptly afterwards. Break-glass is never a self-service action on any device and is never available to standard users on PAWs.</w:t>
      </w:r>
    </w:p>
    <w:p>
      <w:pPr>
        <w:pStyle w:val="Heading2"/>
      </w:pPr>
      <w:r>
        <w:t xml:space="preserve">7.5  Baseline Refresh and Repackaging</w:t>
      </w:r>
    </w:p>
    <w:p>
      <w:pPr>
        <w:spacing w:after="140" w:line="276"/>
      </w:pPr>
      <w:r>
        <w:t xml:space="preserve">Following significant OS feature updates or material changes to the managed application catalogue, the SOE is re-captured (Section 6.3) to refresh the baseline so the enforced policy continues to reflect the build. Repackaging of the agent (new version) follows the ring-based update strategy (Section 5.9). Both activities are change-controlled and validated on pilot before broad release.</w:t>
      </w:r>
    </w:p>
    <w:p>
      <w:pPr>
        <w:pStyle w:val="Heading2"/>
      </w:pPr>
      <w:r>
        <w:t xml:space="preserve">7.6  Incident Response Interaction</w:t>
      </w:r>
    </w:p>
    <w:p>
      <w:pPr>
        <w:spacing w:after="140" w:line="276"/>
      </w:pPr>
      <w:r>
        <w:t xml:space="preserve">Application control is both a preventive control and a rich telemetry source for the SOC. Block events, OTP sessions, tamper attempts and administrative changes feed the SIEM (Section 9) and support detection and investigation. During an incident, application control can be tightened (for example, additional denies pushed to all or selected devices) as a containment action, leveraging the same change and distribution mechanisms used in BAU.</w:t>
      </w:r>
    </w:p>
    <w:p>
      <w:r>
        <w:br w:type="page"/>
      </w:r>
    </w:p>
    <w:p>
      <w:pPr>
        <w:pStyle w:val="Heading1"/>
      </w:pPr>
      <w:r>
        <w:t xml:space="preserve">8.  Console Administration and RBAC</w:t>
      </w:r>
    </w:p>
    <w:p>
      <w:pPr>
        <w:pStyle w:val="Heading2"/>
      </w:pPr>
      <w:r>
        <w:t xml:space="preserve">8.1  Administrative Authentication</w:t>
      </w:r>
    </w:p>
    <w:p>
      <w:pPr>
        <w:spacing w:after="140" w:line="276"/>
      </w:pPr>
      <w:r>
        <w:t xml:space="preserve">Administrative access to the Airlock console is federated to </w:t>
      </w:r>
      <w:r>
        <w:rPr>
          <w:b/>
          <w:bCs/>
        </w:rPr>
        <w:t xml:space="preserve">Entra ID</w:t>
      </w:r>
      <w:r>
        <w:t xml:space="preserve"> via enterprise SSO (SAML / OIDC), so that console access inherits the organisation's identity controls: phishing-resistant MFA, Conditional Access, and the same joiner-mover-leaver lifecycle as other privileged access. Local console accounts are limited to a documented break-glass account, stored and controlled as an emergency credential. Administrators access the console </w:t>
      </w:r>
      <w:r>
        <w:rPr>
          <w:b/>
          <w:bCs/>
        </w:rPr>
        <w:t xml:space="preserve">only from a PAW</w:t>
      </w:r>
      <w:r>
        <w:t xml:space="preserve">, consistent with the privileged-access model, and elevation to standing Airlock roles is governed through Entra Privileged Identity Management (Section 8.5).</w:t>
      </w:r>
    </w:p>
    <w:p>
      <w:pPr>
        <w:pStyle w:val="Heading2"/>
      </w:pPr>
      <w:r>
        <w:t xml:space="preserve">8.2  Role Model</w:t>
      </w:r>
    </w:p>
    <w:p>
      <w:pPr>
        <w:spacing w:after="140" w:line="276"/>
      </w:pPr>
      <w:r>
        <w:t xml:space="preserve">Console RBAC enforces least privilege and separation of duties across the application-control lifecycle. The following role set maps product capabilities to organisational responsibilities. Where the product's built-in roles do not align exactly, custom roles are defined to achieve least privilege (a vendor-confirmation item, Appendix 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100"/>
        <w:gridCol w:w="2900"/>
        <w:gridCol w:w="2126"/>
      </w:tblGrid>
      <w:tr>
        <w:trPr>
          <w:tblHeader/>
        </w:trPr>
        <w:tc>
          <w:tcPr>
            <w:tcW w:type="dxa" w:w="190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pPr>
            <w:r>
              <w:rPr>
                <w:b/>
                <w:bCs/>
                <w:color w:val="FFFFFF"/>
                <w:sz w:val="19"/>
                <w:szCs w:val="19"/>
              </w:rPr>
              <w:t xml:space="preserve">Role</w:t>
            </w:r>
          </w:p>
        </w:tc>
        <w:tc>
          <w:tcPr>
            <w:tcW w:type="dxa" w:w="210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pPr>
            <w:r>
              <w:rPr>
                <w:b/>
                <w:bCs/>
                <w:color w:val="FFFFFF"/>
                <w:sz w:val="19"/>
                <w:szCs w:val="19"/>
              </w:rPr>
              <w:t xml:space="preserve">Purpose</w:t>
            </w:r>
          </w:p>
        </w:tc>
        <w:tc>
          <w:tcPr>
            <w:tcW w:type="dxa" w:w="290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pPr>
            <w:r>
              <w:rPr>
                <w:b/>
                <w:bCs/>
                <w:color w:val="FFFFFF"/>
                <w:sz w:val="19"/>
                <w:szCs w:val="19"/>
              </w:rPr>
              <w:t xml:space="preserve">Key permissions</w:t>
            </w:r>
          </w:p>
        </w:tc>
        <w:tc>
          <w:tcPr>
            <w:tcW w:type="dxa" w:w="2126"/>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pPr>
            <w:r>
              <w:rPr>
                <w:b/>
                <w:bCs/>
                <w:color w:val="FFFFFF"/>
                <w:sz w:val="19"/>
                <w:szCs w:val="19"/>
              </w:rPr>
              <w:t xml:space="preserve">Withheld</w:t>
            </w:r>
          </w:p>
        </w:tc>
      </w:tr>
      <w:tr>
        <w:tc>
          <w:tcPr>
            <w:tcW w:type="dxa" w:w="1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b/>
                <w:bCs/>
              </w:rPr>
              <w:t xml:space="preserve">Platform Administrator</w:t>
            </w:r>
          </w:p>
        </w:tc>
        <w:tc>
          <w:tcPr>
            <w:tcW w:type="dxa" w:w="2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Full administration of the Airlock platform</w:t>
            </w:r>
          </w:p>
        </w:tc>
        <w:tc>
          <w:tcPr>
            <w:tcW w:type="dxa" w:w="2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Server configuration, integrations, role assignment, all policy</w:t>
            </w:r>
          </w:p>
        </w:tc>
        <w:tc>
          <w:tcPr>
            <w:tcW w:type="dxa" w:w="2126"/>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Break-glass credential custody</w:t>
            </w:r>
          </w:p>
        </w:tc>
      </w:tr>
      <w:tr>
        <w:tc>
          <w:tcPr>
            <w:tcW w:type="dxa" w:w="1900"/>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b/>
                <w:bCs/>
              </w:rPr>
              <w:t xml:space="preserve">Policy Author</w:t>
            </w:r>
          </w:p>
        </w:tc>
        <w:tc>
          <w:tcPr>
            <w:tcW w:type="dxa" w:w="2100"/>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Author and submit allow/block rule changes</w:t>
            </w:r>
          </w:p>
        </w:tc>
        <w:tc>
          <w:tcPr>
            <w:tcW w:type="dxa" w:w="2900"/>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Create/edit allowlist, blocklist, metarules (submit)</w:t>
            </w:r>
          </w:p>
        </w:tc>
        <w:tc>
          <w:tcPr>
            <w:tcW w:type="dxa" w:w="2126"/>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Final approval of own changes; server config</w:t>
            </w:r>
          </w:p>
        </w:tc>
      </w:tr>
      <w:tr>
        <w:tc>
          <w:tcPr>
            <w:tcW w:type="dxa" w:w="1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b/>
                <w:bCs/>
              </w:rPr>
              <w:t xml:space="preserve">Policy Approver</w:t>
            </w:r>
          </w:p>
        </w:tc>
        <w:tc>
          <w:tcPr>
            <w:tcW w:type="dxa" w:w="2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Approve policy changes (separation of duties)</w:t>
            </w:r>
          </w:p>
        </w:tc>
        <w:tc>
          <w:tcPr>
            <w:tcW w:type="dxa" w:w="2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Review and approve/reject submitted changes</w:t>
            </w:r>
          </w:p>
        </w:tc>
        <w:tc>
          <w:tcPr>
            <w:tcW w:type="dxa" w:w="2126"/>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Authoring changes they then approve</w:t>
            </w:r>
          </w:p>
        </w:tc>
      </w:tr>
      <w:tr>
        <w:tc>
          <w:tcPr>
            <w:tcW w:type="dxa" w:w="1900"/>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b/>
                <w:bCs/>
              </w:rPr>
              <w:t xml:space="preserve">Operator / Service Desk</w:t>
            </w:r>
          </w:p>
        </w:tc>
        <w:tc>
          <w:tcPr>
            <w:tcW w:type="dxa" w:w="2100"/>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Day-to-day BAU and OTP issuance</w:t>
            </w:r>
          </w:p>
        </w:tc>
        <w:tc>
          <w:tcPr>
            <w:tcW w:type="dxa" w:w="2900"/>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Issue OTP, handle exception requests, view execution history</w:t>
            </w:r>
          </w:p>
        </w:tc>
        <w:tc>
          <w:tcPr>
            <w:tcW w:type="dxa" w:w="2126"/>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Editing allow/block policy; server config</w:t>
            </w:r>
          </w:p>
        </w:tc>
      </w:tr>
      <w:tr>
        <w:tc>
          <w:tcPr>
            <w:tcW w:type="dxa" w:w="1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b/>
                <w:bCs/>
              </w:rPr>
              <w:t xml:space="preserve">Auditor / Read-Only</w:t>
            </w:r>
          </w:p>
        </w:tc>
        <w:tc>
          <w:tcPr>
            <w:tcW w:type="dxa" w:w="2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Assurance and review</w:t>
            </w:r>
          </w:p>
        </w:tc>
        <w:tc>
          <w:tcPr>
            <w:tcW w:type="dxa" w:w="2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Read-only across policy, execution history, change history</w:t>
            </w:r>
          </w:p>
        </w:tc>
        <w:tc>
          <w:tcPr>
            <w:tcW w:type="dxa" w:w="2126"/>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Any change capability</w:t>
            </w:r>
          </w:p>
        </w:tc>
      </w:tr>
      <w:tr>
        <w:tc>
          <w:tcPr>
            <w:tcW w:type="dxa" w:w="1900"/>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b/>
                <w:bCs/>
              </w:rPr>
              <w:t xml:space="preserve">SIEM / Integration (service)</w:t>
            </w:r>
          </w:p>
        </w:tc>
        <w:tc>
          <w:tcPr>
            <w:tcW w:type="dxa" w:w="2100"/>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Programmatic telemetry collection</w:t>
            </w:r>
          </w:p>
        </w:tc>
        <w:tc>
          <w:tcPr>
            <w:tcW w:type="dxa" w:w="2900"/>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API read of execution and server-activity logs (TCP 3129)</w:t>
            </w:r>
          </w:p>
        </w:tc>
        <w:tc>
          <w:tcPr>
            <w:tcW w:type="dxa" w:w="2126"/>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Interactive admin; any write</w:t>
            </w:r>
          </w:p>
        </w:tc>
      </w:tr>
    </w:tbl>
    <w:p>
      <w:pPr>
        <w:spacing w:after="60"/>
      </w:pPr>
      <w:r>
        <w:t xml:space="preserve"/>
      </w:r>
    </w:p>
    <w:p>
      <w:pPr>
        <w:pStyle w:val="Heading2"/>
      </w:pPr>
      <w:r>
        <w:t xml:space="preserve">8.3  Role-to-Responsibility Mapping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pPr>
            <w:r>
              <w:rPr>
                <w:b/>
                <w:bCs/>
                <w:color w:val="FFFFFF"/>
                <w:sz w:val="19"/>
                <w:szCs w:val="19"/>
              </w:rPr>
              <w:t xml:space="preserve">Organisational team</w:t>
            </w:r>
          </w:p>
        </w:tc>
        <w:tc>
          <w:tcPr>
            <w:tcW w:type="dxa" w:w="5626"/>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pPr>
            <w:r>
              <w:rPr>
                <w:b/>
                <w:bCs/>
                <w:color w:val="FFFFFF"/>
                <w:sz w:val="19"/>
                <w:szCs w:val="19"/>
              </w:rPr>
              <w:t xml:space="preserve">Console role(s)</w:t>
            </w:r>
          </w:p>
        </w:tc>
      </w:tr>
      <w:tr>
        <w:tc>
          <w:tcPr>
            <w:tcW w:type="dxa" w:w="3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EUC Platform Engineering</w:t>
            </w:r>
          </w:p>
        </w:tc>
        <w:tc>
          <w:tcPr>
            <w:tcW w:type="dxa" w:w="5626"/>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Platform Administrator (small, named set); Policy Author</w:t>
            </w:r>
          </w:p>
        </w:tc>
      </w:tr>
      <w:tr>
        <w:tc>
          <w:tcPr>
            <w:tcW w:type="dxa" w:w="3400"/>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Cyber Security / Design Authority</w:t>
            </w:r>
          </w:p>
        </w:tc>
        <w:tc>
          <w:tcPr>
            <w:tcW w:type="dxa" w:w="5626"/>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Policy Approver; Auditor</w:t>
            </w:r>
          </w:p>
        </w:tc>
      </w:tr>
      <w:tr>
        <w:tc>
          <w:tcPr>
            <w:tcW w:type="dxa" w:w="3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Service Operations / Service Desk</w:t>
            </w:r>
          </w:p>
        </w:tc>
        <w:tc>
          <w:tcPr>
            <w:tcW w:type="dxa" w:w="5626"/>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Operator / Service Desk</w:t>
            </w:r>
          </w:p>
        </w:tc>
      </w:tr>
      <w:tr>
        <w:tc>
          <w:tcPr>
            <w:tcW w:type="dxa" w:w="3400"/>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SOC / Detection Engineering</w:t>
            </w:r>
          </w:p>
        </w:tc>
        <w:tc>
          <w:tcPr>
            <w:tcW w:type="dxa" w:w="5626"/>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Auditor (read); SIEM/Integration service principal</w:t>
            </w:r>
          </w:p>
        </w:tc>
      </w:tr>
      <w:tr>
        <w:tc>
          <w:tcPr>
            <w:tcW w:type="dxa" w:w="3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ITSA / Assurance</w:t>
            </w:r>
          </w:p>
        </w:tc>
        <w:tc>
          <w:tcPr>
            <w:tcW w:type="dxa" w:w="5626"/>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Auditor (read-only)</w:t>
            </w:r>
          </w:p>
        </w:tc>
      </w:tr>
    </w:tbl>
    <w:p>
      <w:pPr>
        <w:spacing w:after="60"/>
      </w:pPr>
      <w:r>
        <w:t xml:space="preserve"/>
      </w:r>
    </w:p>
    <w:p>
      <w:pPr>
        <w:pStyle w:val="Heading2"/>
      </w:pPr>
      <w:r>
        <w:t xml:space="preserve">8.4  Least Privilege and Separation of Duties</w:t>
      </w:r>
    </w:p>
    <w:p>
      <w:pPr>
        <w:spacing w:after="140" w:line="276"/>
      </w:pPr>
      <w:r>
        <w:t xml:space="preserve">Two separation-of-duties controls are enforced. First, the </w:t>
      </w:r>
      <w:r>
        <w:rPr>
          <w:b/>
          <w:bCs/>
        </w:rPr>
        <w:t xml:space="preserve">author of a policy change is not its approver</w:t>
      </w:r>
      <w:r>
        <w:t xml:space="preserve">: Policy Author and Policy Approver are distinct roles held by different individuals, so no single person can unilaterally introduce a trust rule. Second, </w:t>
      </w:r>
      <w:r>
        <w:rPr>
          <w:b/>
          <w:bCs/>
        </w:rPr>
        <w:t xml:space="preserve">OTP issuance is separated from policy authoring</w:t>
      </w:r>
      <w:r>
        <w:t xml:space="preserve">: service-desk operators can grant temporary access but cannot make permanent trust changes, ensuring that the steady-state allowlist changes only through the controlled onboarding path. The Auditor role provides independent read-only oversight for assurance.</w:t>
      </w:r>
    </w:p>
    <w:p>
      <w:pPr>
        <w:pStyle w:val="Heading2"/>
      </w:pPr>
      <w:r>
        <w:t xml:space="preserve">8.5  Privileged Access to the Console</w:t>
      </w:r>
    </w:p>
    <w:p>
      <w:pPr>
        <w:spacing w:after="140" w:line="276"/>
      </w:pPr>
      <w:r>
        <w:t xml:space="preserve">Standing membership of high-privilege Airlock roles (Platform Administrator, Policy Approver) is minimised and, where supported by the SSO model, made just-in-time through Entra PIM so that elevation is time-bound, approved and logged. All console administration occurs from PAWs. This places console administration under the same privileged-access governance as the rest of the cloud-native environment.</w:t>
      </w:r>
    </w:p>
    <w:p>
      <w:pPr>
        <w:pStyle w:val="Heading2"/>
      </w:pPr>
      <w:r>
        <w:t xml:space="preserve">8.6  Administrative Audit Logging</w:t>
      </w:r>
    </w:p>
    <w:p>
      <w:pPr>
        <w:spacing w:after="140" w:line="276"/>
      </w:pPr>
      <w:r>
        <w:t xml:space="preserve">All administrative actions — role changes, policy edits, approvals, OTP issuance, configuration changes — are captured in the console's server-activity/change-history log and forwarded to the SIEM (Section 9). This provides an attributable, tamper-evident record of who changed what and when, which is both an operational control and assessment evidence.</w:t>
      </w:r>
    </w:p>
    <w:p>
      <w:r>
        <w:br w:type="page"/>
      </w:r>
    </w:p>
    <w:p>
      <w:pPr>
        <w:pStyle w:val="Heading1"/>
      </w:pPr>
      <w:r>
        <w:t xml:space="preserve">9.  Logging, Monitoring and SIEM Integration</w:t>
      </w:r>
    </w:p>
    <w:p>
      <w:pPr>
        <w:pStyle w:val="Heading2"/>
      </w:pPr>
      <w:r>
        <w:t xml:space="preserve">9.1  Event Types</w:t>
      </w:r>
    </w:p>
    <w:p>
      <w:pPr>
        <w:spacing w:after="140" w:line="276"/>
      </w:pPr>
      <w:r>
        <w:t xml:space="preserve">Airlock produces two principal categories of log data, both of which are forwarded to </w:t>
      </w:r>
      <w:r>
        <w:rPr>
          <w:b/>
          <w:bCs/>
        </w:rPr>
        <w:t xml:space="preserve">Google SecOps (Chronicle)</w:t>
      </w:r>
      <w:r>
        <w:t xml:space="preserve"> as the SIEM of record:</w:t>
      </w:r>
    </w:p>
    <w:p>
      <w:pPr>
        <w:pStyle w:val="ListParagraph"/>
        <w:numPr>
          <w:ilvl w:val="0"/>
          <w:numId w:val="2"/>
        </w:numPr>
        <w:spacing w:after="60" w:line="276"/>
      </w:pPr>
      <w:r>
        <w:rPr>
          <w:b/>
          <w:bCs/>
        </w:rPr>
        <w:t xml:space="preserve">Execution history — </w:t>
      </w:r>
      <w:r>
        <w:t xml:space="preserve">the per-endpoint record of execution decisions: blocked executions, allowed executions, trusted-path and publisher approvals, and OTP-session activity. This is the primary security telemetry.</w:t>
      </w:r>
    </w:p>
    <w:p>
      <w:pPr>
        <w:pStyle w:val="ListParagraph"/>
        <w:numPr>
          <w:ilvl w:val="0"/>
          <w:numId w:val="2"/>
        </w:numPr>
        <w:spacing w:after="60" w:line="276"/>
      </w:pPr>
      <w:r>
        <w:rPr>
          <w:b/>
          <w:bCs/>
        </w:rPr>
        <w:t xml:space="preserve">Server activity — </w:t>
      </w:r>
      <w:r>
        <w:t xml:space="preserve">administrative actions on the console: policy changes, role and user management, configuration changes and OTP issuance. This is the administrative audit trail.</w:t>
      </w:r>
    </w:p>
    <w:p>
      <w:pPr>
        <w:pStyle w:val="Heading2"/>
      </w:pPr>
      <w:r>
        <w:t xml:space="preserve">9.2  Export Mechanisms</w:t>
      </w:r>
    </w:p>
    <w:p>
      <w:pPr>
        <w:spacing w:after="140" w:line="276"/>
      </w:pPr>
      <w:r>
        <w:t xml:space="preserve">Airlock supports real-time export to SIEM and exposes its data through a REST API; it can also export to common file formats. Two collection patterns are available and are not mutually exclusive: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2826"/>
      </w:tblGrid>
      <w:tr>
        <w:trPr>
          <w:tblHeader/>
        </w:trPr>
        <w:tc>
          <w:tcPr>
            <w:tcW w:type="dxa" w:w="200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pPr>
            <w:r>
              <w:rPr>
                <w:b/>
                <w:bCs/>
                <w:color w:val="FFFFFF"/>
                <w:sz w:val="19"/>
                <w:szCs w:val="19"/>
              </w:rPr>
              <w:t xml:space="preserve">Pattern</w:t>
            </w:r>
          </w:p>
        </w:tc>
        <w:tc>
          <w:tcPr>
            <w:tcW w:type="dxa" w:w="420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pPr>
            <w:r>
              <w:rPr>
                <w:b/>
                <w:bCs/>
                <w:color w:val="FFFFFF"/>
                <w:sz w:val="19"/>
                <w:szCs w:val="19"/>
              </w:rPr>
              <w:t xml:space="preserve">How it works</w:t>
            </w:r>
          </w:p>
        </w:tc>
        <w:tc>
          <w:tcPr>
            <w:tcW w:type="dxa" w:w="2826"/>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pPr>
            <w:r>
              <w:rPr>
                <w:b/>
                <w:bCs/>
                <w:color w:val="FFFFFF"/>
                <w:sz w:val="19"/>
                <w:szCs w:val="19"/>
              </w:rPr>
              <w:t xml:space="preserve">Use</w:t>
            </w:r>
          </w:p>
        </w:tc>
      </w:tr>
      <w:tr>
        <w:tc>
          <w:tcPr>
            <w:tcW w:type="dxa" w:w="20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b/>
                <w:bCs/>
              </w:rPr>
              <w:t xml:space="preserve">Syslog / real-time</w:t>
            </w:r>
          </w:p>
        </w:tc>
        <w:tc>
          <w:tcPr>
            <w:tcW w:type="dxa" w:w="4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Console emits events to a SecOps collector in real time</w:t>
            </w:r>
          </w:p>
        </w:tc>
        <w:tc>
          <w:tcPr>
            <w:tcW w:type="dxa" w:w="2826"/>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Low-latency detection of blocks, tamper and OTP events</w:t>
            </w:r>
          </w:p>
        </w:tc>
      </w:tr>
      <w:tr>
        <w:tc>
          <w:tcPr>
            <w:tcW w:type="dxa" w:w="2000"/>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b/>
                <w:bCs/>
              </w:rPr>
              <w:t xml:space="preserve">REST API poll</w:t>
            </w:r>
          </w:p>
        </w:tc>
        <w:tc>
          <w:tcPr>
            <w:tcW w:type="dxa" w:w="4200"/>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SecOps (or a collector) polls the Airlock REST API on TCP 3129 for execution and server-activity logs</w:t>
            </w:r>
          </w:p>
        </w:tc>
        <w:tc>
          <w:tcPr>
            <w:tcW w:type="dxa" w:w="2826"/>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Reliable, complete collection; backfill and reconciliation</w:t>
            </w:r>
          </w:p>
        </w:tc>
      </w:tr>
      <w:tr>
        <w:tc>
          <w:tcPr>
            <w:tcW w:type="dxa" w:w="20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b/>
                <w:bCs/>
              </w:rPr>
              <w:t xml:space="preserve">File export (CSV/XML)</w:t>
            </w:r>
          </w:p>
        </w:tc>
        <w:tc>
          <w:tcPr>
            <w:tcW w:type="dxa" w:w="4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Bulk export of platform data</w:t>
            </w:r>
          </w:p>
        </w:tc>
        <w:tc>
          <w:tcPr>
            <w:tcW w:type="dxa" w:w="2826"/>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Ad-hoc reporting and assessment evidence extracts</w:t>
            </w:r>
          </w:p>
        </w:tc>
      </w:tr>
    </w:tbl>
    <w:p>
      <w:pPr>
        <w:spacing w:after="60"/>
      </w:pPr>
      <w:r>
        <w:t xml:space="preserve"/>
      </w:r>
    </w:p>
    <w:p>
      <w:pPr>
        <w:pStyle w:val="Heading2"/>
      </w:pPr>
      <w:r>
        <w:t xml:space="preserve">9.3  Google SecOps (Chronicle) Ingestion Design</w:t>
      </w:r>
    </w:p>
    <w:p>
      <w:pPr>
        <w:spacing w:after="140" w:line="276"/>
      </w:pPr>
      <w:r>
        <w:t xml:space="preserve">Telemetry is delivered into Google SecOps and normalised to the </w:t>
      </w:r>
      <w:r>
        <w:rPr>
          <w:b/>
          <w:bCs/>
        </w:rPr>
        <w:t xml:space="preserve">Unified Data Model (UDM)</w:t>
      </w:r>
      <w:r>
        <w:t xml:space="preserve"> for search and detection. The recommended ingestion path is:</w:t>
      </w:r>
    </w:p>
    <w:p>
      <w:pPr>
        <w:pStyle w:val="ListParagraph"/>
        <w:numPr>
          <w:ilvl w:val="0"/>
          <w:numId w:val="3"/>
        </w:numPr>
        <w:spacing w:after="60" w:line="276"/>
      </w:pPr>
      <w:r>
        <w:rPr>
          <w:b/>
          <w:bCs/>
        </w:rPr>
        <w:t xml:space="preserve">Collection. </w:t>
      </w:r>
      <w:r>
        <w:t xml:space="preserve">A Google SecOps ingestion collector (the Bindplane agent is Google's current recommendation for new deployments; the legacy Chronicle Forwarder is an alternative) receives Airlock events via syslog, and/or an API-based feed polls the Airlock REST API on TCP 3129.</w:t>
      </w:r>
    </w:p>
    <w:p>
      <w:pPr>
        <w:pStyle w:val="ListParagraph"/>
        <w:numPr>
          <w:ilvl w:val="0"/>
          <w:numId w:val="3"/>
        </w:numPr>
        <w:spacing w:after="60" w:line="276"/>
      </w:pPr>
      <w:r>
        <w:rPr>
          <w:b/>
          <w:bCs/>
        </w:rPr>
        <w:t xml:space="preserve">Normalisation. </w:t>
      </w:r>
      <w:r>
        <w:t xml:space="preserve">Events are mapped to UDM. As Airlock is not a built-in default-parser source in Google SecOps, a custom parser is authored to map execution-history and server-activity fields to UDM (Appendix E records this as a build task). Where the feed delivers structured JSON/CEF, parser effort is reduced.</w:t>
      </w:r>
    </w:p>
    <w:p>
      <w:pPr>
        <w:pStyle w:val="ListParagraph"/>
        <w:numPr>
          <w:ilvl w:val="0"/>
          <w:numId w:val="3"/>
        </w:numPr>
        <w:spacing w:after="60" w:line="276"/>
      </w:pPr>
      <w:r>
        <w:rPr>
          <w:b/>
          <w:bCs/>
        </w:rPr>
        <w:t xml:space="preserve">Labelling. </w:t>
      </w:r>
      <w:r>
        <w:t xml:space="preserve">A dedicated ingestion label / log type is assigned to Airlock data so detections and dashboards can target it cleanly.</w:t>
      </w:r>
    </w:p>
    <w:p>
      <w:pPr>
        <w:pStyle w:val="ListParagraph"/>
        <w:numPr>
          <w:ilvl w:val="0"/>
          <w:numId w:val="3"/>
        </w:numPr>
        <w:spacing w:after="60" w:line="276"/>
      </w:pPr>
      <w:r>
        <w:rPr>
          <w:b/>
          <w:bCs/>
        </w:rPr>
        <w:t xml:space="preserve">Residency. </w:t>
      </w:r>
      <w:r>
        <w:t xml:space="preserve">The Google SecOps tenancy region governs telemetry residency and must be the Australian region to satisfy Constraint C4.</w:t>
      </w:r>
    </w:p>
    <w:p>
      <w:pPr>
        <w:pStyle w:val="Heading2"/>
      </w:pPr>
      <w:r>
        <w:t xml:space="preserve">9.4  Key Log Fields</w:t>
      </w:r>
    </w:p>
    <w:p>
      <w:pPr>
        <w:spacing w:after="140" w:line="276"/>
      </w:pPr>
      <w:r>
        <w:t xml:space="preserve">The custom parser maps, at minimum, the following fields so that detections and investigations have the necessary context: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pPr>
            <w:r>
              <w:rPr>
                <w:b/>
                <w:bCs/>
                <w:color w:val="FFFFFF"/>
                <w:sz w:val="19"/>
                <w:szCs w:val="19"/>
              </w:rPr>
              <w:t xml:space="preserve">Field</w:t>
            </w:r>
          </w:p>
        </w:tc>
        <w:tc>
          <w:tcPr>
            <w:tcW w:type="dxa" w:w="6626"/>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pPr>
            <w:r>
              <w:rPr>
                <w:b/>
                <w:bCs/>
                <w:color w:val="FFFFFF"/>
                <w:sz w:val="19"/>
                <w:szCs w:val="19"/>
              </w:rPr>
              <w:t xml:space="preserve">Description</w:t>
            </w:r>
          </w:p>
        </w:tc>
      </w:tr>
      <w:tr>
        <w:tc>
          <w:tcPr>
            <w:tcW w:type="dxa" w:w="2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Timestamp</w:t>
            </w:r>
          </w:p>
        </w:tc>
        <w:tc>
          <w:tcPr>
            <w:tcW w:type="dxa" w:w="6626"/>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Event time (execution decision or admin action)</w:t>
            </w:r>
          </w:p>
        </w:tc>
      </w:tr>
      <w:tr>
        <w:tc>
          <w:tcPr>
            <w:tcW w:type="dxa" w:w="2400"/>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Decision</w:t>
            </w:r>
          </w:p>
        </w:tc>
        <w:tc>
          <w:tcPr>
            <w:tcW w:type="dxa" w:w="6626"/>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Allowed / Blocked / OTP-audit</w:t>
            </w:r>
          </w:p>
        </w:tc>
      </w:tr>
      <w:tr>
        <w:tc>
          <w:tcPr>
            <w:tcW w:type="dxa" w:w="2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Hostname / device</w:t>
            </w:r>
          </w:p>
        </w:tc>
        <w:tc>
          <w:tcPr>
            <w:tcW w:type="dxa" w:w="6626"/>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Endpoint identity (correlatable to Intune/Entra device)</w:t>
            </w:r>
          </w:p>
        </w:tc>
      </w:tr>
      <w:tr>
        <w:tc>
          <w:tcPr>
            <w:tcW w:type="dxa" w:w="2400"/>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User</w:t>
            </w:r>
          </w:p>
        </w:tc>
        <w:tc>
          <w:tcPr>
            <w:tcW w:type="dxa" w:w="6626"/>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User context of the execution where available</w:t>
            </w:r>
          </w:p>
        </w:tc>
      </w:tr>
      <w:tr>
        <w:tc>
          <w:tcPr>
            <w:tcW w:type="dxa" w:w="2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File path &amp; name</w:t>
            </w:r>
          </w:p>
        </w:tc>
        <w:tc>
          <w:tcPr>
            <w:tcW w:type="dxa" w:w="6626"/>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Target of the execution decision</w:t>
            </w:r>
          </w:p>
        </w:tc>
      </w:tr>
      <w:tr>
        <w:tc>
          <w:tcPr>
            <w:tcW w:type="dxa" w:w="2400"/>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File hash</w:t>
            </w:r>
          </w:p>
        </w:tc>
        <w:tc>
          <w:tcPr>
            <w:tcW w:type="dxa" w:w="6626"/>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Cryptographic hash of the file</w:t>
            </w:r>
          </w:p>
        </w:tc>
      </w:tr>
      <w:tr>
        <w:tc>
          <w:tcPr>
            <w:tcW w:type="dxa" w:w="2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Publisher / signer</w:t>
            </w:r>
          </w:p>
        </w:tc>
        <w:tc>
          <w:tcPr>
            <w:tcW w:type="dxa" w:w="6626"/>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Signing certificate / publisher where present</w:t>
            </w:r>
          </w:p>
        </w:tc>
      </w:tr>
      <w:tr>
        <w:tc>
          <w:tcPr>
            <w:tcW w:type="dxa" w:w="2400"/>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Rule / reason</w:t>
            </w:r>
          </w:p>
        </w:tc>
        <w:tc>
          <w:tcPr>
            <w:tcW w:type="dxa" w:w="6626"/>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Rule that matched (publisher, hash, path, blocklist) or block reason</w:t>
            </w:r>
          </w:p>
        </w:tc>
      </w:tr>
      <w:tr>
        <w:tc>
          <w:tcPr>
            <w:tcW w:type="dxa" w:w="2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Policy group</w:t>
            </w:r>
          </w:p>
        </w:tc>
        <w:tc>
          <w:tcPr>
            <w:tcW w:type="dxa" w:w="6626"/>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Standard / PAW</w:t>
            </w:r>
          </w:p>
        </w:tc>
      </w:tr>
      <w:tr>
        <w:tc>
          <w:tcPr>
            <w:tcW w:type="dxa" w:w="2400"/>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Admin actor &amp; action</w:t>
            </w:r>
          </w:p>
        </w:tc>
        <w:tc>
          <w:tcPr>
            <w:tcW w:type="dxa" w:w="6626"/>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For server-activity events: who did what (change history)</w:t>
            </w:r>
          </w:p>
        </w:tc>
      </w:tr>
    </w:tbl>
    <w:p>
      <w:pPr>
        <w:spacing w:after="60"/>
      </w:pPr>
      <w:r>
        <w:t xml:space="preserve"/>
      </w:r>
    </w:p>
    <w:p>
      <w:pPr>
        <w:pStyle w:val="Heading2"/>
      </w:pPr>
      <w:r>
        <w:t xml:space="preserve">9.5  Detection Use Cases</w:t>
      </w:r>
    </w:p>
    <w:p>
      <w:pPr>
        <w:spacing w:after="140" w:line="276"/>
      </w:pPr>
      <w:r>
        <w:t xml:space="preserve">The following detection content is recommended at go-live. These turn application-control telemetry into actionable SOC signal rather than passive logs.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3526"/>
      </w:tblGrid>
      <w:tr>
        <w:trPr>
          <w:tblHeader/>
        </w:trPr>
        <w:tc>
          <w:tcPr>
            <w:tcW w:type="dxa" w:w="230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pPr>
            <w:r>
              <w:rPr>
                <w:b/>
                <w:bCs/>
                <w:color w:val="FFFFFF"/>
                <w:sz w:val="19"/>
                <w:szCs w:val="19"/>
              </w:rPr>
              <w:t xml:space="preserve">Use case</w:t>
            </w:r>
          </w:p>
        </w:tc>
        <w:tc>
          <w:tcPr>
            <w:tcW w:type="dxa" w:w="320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pPr>
            <w:r>
              <w:rPr>
                <w:b/>
                <w:bCs/>
                <w:color w:val="FFFFFF"/>
                <w:sz w:val="19"/>
                <w:szCs w:val="19"/>
              </w:rPr>
              <w:t xml:space="preserve">Signal</w:t>
            </w:r>
          </w:p>
        </w:tc>
        <w:tc>
          <w:tcPr>
            <w:tcW w:type="dxa" w:w="3526"/>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pPr>
            <w:r>
              <w:rPr>
                <w:b/>
                <w:bCs/>
                <w:color w:val="FFFFFF"/>
                <w:sz w:val="19"/>
                <w:szCs w:val="19"/>
              </w:rPr>
              <w:t xml:space="preserve">Why it matters</w:t>
            </w:r>
          </w:p>
        </w:tc>
      </w:tr>
      <w:tr>
        <w:tc>
          <w:tcPr>
            <w:tcW w:type="dxa" w:w="23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Blocked execution on PAW</w:t>
            </w:r>
          </w:p>
        </w:tc>
        <w:tc>
          <w:tcPr>
            <w:tcW w:type="dxa" w:w="3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Any block event from a PAW device</w:t>
            </w:r>
          </w:p>
        </w:tc>
        <w:tc>
          <w:tcPr>
            <w:tcW w:type="dxa" w:w="3526"/>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PAWs run a minimal known set; a block is a strong anomaly</w:t>
            </w:r>
          </w:p>
        </w:tc>
      </w:tr>
      <w:tr>
        <w:tc>
          <w:tcPr>
            <w:tcW w:type="dxa" w:w="2300"/>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Microsoft block-list hit</w:t>
            </w:r>
          </w:p>
        </w:tc>
        <w:tc>
          <w:tcPr>
            <w:tcW w:type="dxa" w:w="3200"/>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Execution matched a recommended block rule (LOLBin)</w:t>
            </w:r>
          </w:p>
        </w:tc>
        <w:tc>
          <w:tcPr>
            <w:tcW w:type="dxa" w:w="3526"/>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Indicates attempted application-control bypass / abuse</w:t>
            </w:r>
          </w:p>
        </w:tc>
      </w:tr>
      <w:tr>
        <w:tc>
          <w:tcPr>
            <w:tcW w:type="dxa" w:w="23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Tamper / uninstall attempt</w:t>
            </w:r>
          </w:p>
        </w:tc>
        <w:tc>
          <w:tcPr>
            <w:tcW w:type="dxa" w:w="3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Agent stop, uninstall or tamper event</w:t>
            </w:r>
          </w:p>
        </w:tc>
        <w:tc>
          <w:tcPr>
            <w:tcW w:type="dxa" w:w="3526"/>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Direct attempt to disable the control</w:t>
            </w:r>
          </w:p>
        </w:tc>
      </w:tr>
      <w:tr>
        <w:tc>
          <w:tcPr>
            <w:tcW w:type="dxa" w:w="2300"/>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Agent telemetry absence</w:t>
            </w:r>
          </w:p>
        </w:tc>
        <w:tc>
          <w:tcPr>
            <w:tcW w:type="dxa" w:w="3200"/>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Device stops reporting for &gt; threshold</w:t>
            </w:r>
          </w:p>
        </w:tc>
        <w:tc>
          <w:tcPr>
            <w:tcW w:type="dxa" w:w="3526"/>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Possible disabled or failed agent (blind spot)</w:t>
            </w:r>
          </w:p>
        </w:tc>
      </w:tr>
      <w:tr>
        <w:tc>
          <w:tcPr>
            <w:tcW w:type="dxa" w:w="23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OTP anomaly</w:t>
            </w:r>
          </w:p>
        </w:tc>
        <w:tc>
          <w:tcPr>
            <w:tcW w:type="dxa" w:w="3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OTP outside hours, excessive duration, or unusual volume — baselined per population (developer self-auth is expected)</w:t>
            </w:r>
          </w:p>
        </w:tc>
        <w:tc>
          <w:tcPr>
            <w:tcW w:type="dxa" w:w="3526"/>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Possible misuse of the continuity mechanism</w:t>
            </w:r>
          </w:p>
        </w:tc>
      </w:tr>
      <w:tr>
        <w:tc>
          <w:tcPr>
            <w:tcW w:type="dxa" w:w="2300"/>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High block volume</w:t>
            </w:r>
          </w:p>
        </w:tc>
        <w:tc>
          <w:tcPr>
            <w:tcW w:type="dxa" w:w="3200"/>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Spike in blocks on a device or user</w:t>
            </w:r>
          </w:p>
        </w:tc>
        <w:tc>
          <w:tcPr>
            <w:tcW w:type="dxa" w:w="3526"/>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Possible malware activity or a broken deployment</w:t>
            </w:r>
          </w:p>
        </w:tc>
      </w:tr>
      <w:tr>
        <w:tc>
          <w:tcPr>
            <w:tcW w:type="dxa" w:w="23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Sensitive policy change</w:t>
            </w:r>
          </w:p>
        </w:tc>
        <w:tc>
          <w:tcPr>
            <w:tcW w:type="dxa" w:w="3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Blocklist relaxation or broad new allow rule</w:t>
            </w:r>
          </w:p>
        </w:tc>
        <w:tc>
          <w:tcPr>
            <w:tcW w:type="dxa" w:w="3526"/>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Change-control / insider assurance</w:t>
            </w:r>
          </w:p>
        </w:tc>
      </w:tr>
    </w:tbl>
    <w:p>
      <w:pPr>
        <w:spacing w:after="60"/>
      </w:pPr>
      <w:r>
        <w:t xml:space="preserve"/>
      </w:r>
    </w:p>
    <w:p>
      <w:pPr>
        <w:pStyle w:val="Heading2"/>
      </w:pPr>
      <w:r>
        <w:t xml:space="preserve">9.6  Dashboards and Reporting</w:t>
      </w:r>
    </w:p>
    <w:p>
      <w:pPr>
        <w:spacing w:after="140" w:line="276"/>
      </w:pPr>
      <w:r>
        <w:t xml:space="preserve">Operational dashboards present fleet enforcement state, block trends, top blocked files, OTP usage and exception throughput; assurance reporting evidences enforced coverage across the fleet and the implementation of the Microsoft block list for Essential Eight assessment. Both the console's native reporting and SecOps dashboards are used: the console for application-control operations, SecOps for cross-source correlation and detection.</w:t>
      </w:r>
    </w:p>
    <w:p>
      <w:pPr>
        <w:pStyle w:val="Heading2"/>
      </w:pPr>
      <w:r>
        <w:t xml:space="preserve">9.7  Health and Coverage Monitoring</w:t>
      </w:r>
    </w:p>
    <w:p>
      <w:pPr>
        <w:spacing w:after="140" w:line="276"/>
      </w:pPr>
      <w:r>
        <w:t xml:space="preserve">Coverage is monitored so that an unenforced or unreporting device is detected and remediated: Intune compliance reflects agent presence and minimum version; the console reports enforcement state and policy version per device; and SecOps detects telemetry absence (Section 9.5). The objective is that 100% of in-scope devices are enforced and reporting, with exceptions visible and time-bound.</w:t>
      </w:r>
    </w:p>
    <w:p>
      <w:pPr>
        <w:pStyle w:val="Heading2"/>
      </w:pPr>
      <w:r>
        <w:t xml:space="preserve">9.8  Retention</w:t>
      </w:r>
    </w:p>
    <w:p>
      <w:pPr>
        <w:spacing w:after="140" w:line="276"/>
      </w:pPr>
      <w:r>
        <w:t xml:space="preserve">Telemetry retention follows the enterprise SIEM retention standard in Google SecOps, sized to meet investigation and audit needs and any applicable record-keeping obligations for OFFICIAL: Sensitive security telemetry. Console-side retention is configured consistently. Specific retention durations are set by the data-retention standard rather than by this design.</w:t>
      </w:r>
    </w:p>
    <w:p>
      <w:r>
        <w:br w:type="page"/>
      </w:r>
    </w:p>
    <w:p>
      <w:pPr>
        <w:pStyle w:val="Heading1"/>
      </w:pPr>
      <w:r>
        <w:t xml:space="preserve">10.  Security and Hardening</w:t>
      </w:r>
    </w:p>
    <w:p>
      <w:pPr>
        <w:pStyle w:val="Heading2"/>
      </w:pPr>
      <w:r>
        <w:t xml:space="preserve">10.1  Agent Self-Protection</w:t>
      </w:r>
    </w:p>
    <w:p>
      <w:pPr>
        <w:spacing w:after="140" w:line="276"/>
      </w:pPr>
      <w:r>
        <w:t xml:space="preserve">The Enforcement Agent is hardened against disabling and removal (Section 5.11): protected uninstall, prevention of service stop and policy alteration by non-privileged and (on standard endpoints) local-administrator contexts, and forwarding of tamper events to the SIEM. Self-protection is essential because an application-control agent that a user can stop provides no assurance.</w:t>
      </w:r>
    </w:p>
    <w:p>
      <w:pPr>
        <w:pStyle w:val="Heading2"/>
      </w:pPr>
      <w:r>
        <w:t xml:space="preserve">10.2  Console Hardening</w:t>
      </w:r>
    </w:p>
    <w:p>
      <w:pPr>
        <w:pStyle w:val="ListParagraph"/>
        <w:numPr>
          <w:ilvl w:val="0"/>
          <w:numId w:val="2"/>
        </w:numPr>
        <w:spacing w:after="60" w:line="276"/>
      </w:pPr>
      <w:r>
        <w:t xml:space="preserve">Administrative access via Entra ID SSO with phishing-resistant MFA and Conditional Access; access only from PAWs (Section 8).</w:t>
      </w:r>
    </w:p>
    <w:p>
      <w:pPr>
        <w:pStyle w:val="ListParagraph"/>
        <w:numPr>
          <w:ilvl w:val="0"/>
          <w:numId w:val="2"/>
        </w:numPr>
        <w:spacing w:after="60" w:line="276"/>
      </w:pPr>
      <w:r>
        <w:t xml:space="preserve">Least-privilege role model with separation of duties and minimised standing privilege (PIM).</w:t>
      </w:r>
    </w:p>
    <w:p>
      <w:pPr>
        <w:pStyle w:val="ListParagraph"/>
        <w:numPr>
          <w:ilvl w:val="0"/>
          <w:numId w:val="2"/>
        </w:numPr>
        <w:spacing w:after="60" w:line="276"/>
      </w:pPr>
      <w:r>
        <w:t xml:space="preserve">For on-premises, the server is built and hardened to the ISM and patched under the fleet patching regime; for SaaS, equivalent assurance is obtained from the vendor.</w:t>
      </w:r>
    </w:p>
    <w:p>
      <w:pPr>
        <w:pStyle w:val="ListParagraph"/>
        <w:numPr>
          <w:ilvl w:val="0"/>
          <w:numId w:val="2"/>
        </w:numPr>
        <w:spacing w:after="60" w:line="276"/>
      </w:pPr>
      <w:r>
        <w:t xml:space="preserve">Local/break-glass accounts minimised, strongly protected and monitored for use.</w:t>
      </w:r>
    </w:p>
    <w:p>
      <w:pPr>
        <w:pStyle w:val="Heading2"/>
      </w:pPr>
      <w:r>
        <w:t xml:space="preserve">10.3  Cryptography and Transport</w:t>
      </w:r>
    </w:p>
    <w:p>
      <w:pPr>
        <w:spacing w:after="140" w:line="276"/>
      </w:pPr>
      <w:r>
        <w:t xml:space="preserve">All agent-to-console, administrative and SIEM-export traffic is over TLS. Syslog export to the SecOps collector uses TLS where the transport supports it (TCP/TLS rather than plain UDP). Cipher and protocol configuration aligns to ISM-approved cryptography.</w:t>
      </w:r>
    </w:p>
    <w:p>
      <w:pPr>
        <w:pStyle w:val="Heading2"/>
      </w:pPr>
      <w:r>
        <w:t xml:space="preserve">10.4  Secrets and API Key Management</w:t>
      </w:r>
    </w:p>
    <w:p>
      <w:pPr>
        <w:spacing w:after="140" w:line="276"/>
      </w:pPr>
      <w:r>
        <w:t xml:space="preserve">API credentials used for SIEM collection and any automation are issued to a dedicated, least-privilege integration identity (read-only over execution and server-activity data), stored in the enterprise secret store, rotated on a defined schedule, and never embedded in agent packages or scripts in clear text. Enrolment tokens are handled so as to avoid clear-text exposure in deployment artefacts (Section 5.3).</w:t>
      </w:r>
    </w:p>
    <w:p>
      <w:pPr>
        <w:pStyle w:val="Heading2"/>
      </w:pPr>
      <w:r>
        <w:t xml:space="preserve">10.5  Backup and Recovery</w:t>
      </w:r>
    </w:p>
    <w:p>
      <w:pPr>
        <w:spacing w:after="140" w:line="276"/>
      </w:pPr>
      <w:r>
        <w:t xml:space="preserve">For SaaS, backup and recovery of the console platform are vendor responsibilities under the service schedule. For on-premises, console configuration and policy are backed up on a defined schedule with periodic tested restores and a documented recovery objective. In both cases, the local-cache enforcement property means endpoints remain protected during a console recovery, so recovery focuses on restoring management and telemetry continuity. Policy-as-evidence (exported configuration) is retained to support both recovery and assessment.</w:t>
      </w:r>
    </w:p>
    <w:p>
      <w:r>
        <w:br w:type="page"/>
      </w:r>
    </w:p>
    <w:p>
      <w:pPr>
        <w:pStyle w:val="Heading1"/>
      </w:pPr>
      <w:r>
        <w:t xml:space="preserve">11.  ASD Blueprint and Essential Eight Traceability</w:t>
      </w:r>
    </w:p>
    <w:p>
      <w:pPr>
        <w:pStyle w:val="Heading2"/>
      </w:pPr>
      <w:r>
        <w:t xml:space="preserve">11.1  Application Control Requirement Traceability</w:t>
      </w:r>
    </w:p>
    <w:p>
      <w:pPr>
        <w:spacing w:after="140" w:line="276"/>
      </w:pPr>
      <w:r>
        <w:t xml:space="preserve">The table maps the Essential Eight </w:t>
      </w:r>
      <w:r>
        <w:rPr>
          <w:b/>
          <w:bCs/>
        </w:rPr>
        <w:t xml:space="preserve">Application Control</w:t>
      </w:r>
      <w:r>
        <w:t xml:space="preserve"> expectations at Maturity Level 2 (workstations) to the sections of this design that satisfy them. It is a summary; the design rationale is in the body. “Met by design” indicates the control is delivered by this LLD; items requiring vendor or programme confirmation are flagged in Appendix 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900"/>
        <w:gridCol w:w="2400"/>
        <w:gridCol w:w="1726"/>
      </w:tblGrid>
      <w:tr>
        <w:trPr>
          <w:tblHeader/>
        </w:trPr>
        <w:tc>
          <w:tcPr>
            <w:tcW w:type="dxa" w:w="490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pPr>
            <w:r>
              <w:rPr>
                <w:b/>
                <w:bCs/>
                <w:color w:val="FFFFFF"/>
                <w:sz w:val="19"/>
                <w:szCs w:val="19"/>
              </w:rPr>
              <w:t xml:space="preserve">ML2 Application Control expectation (workstations)</w:t>
            </w:r>
          </w:p>
        </w:tc>
        <w:tc>
          <w:tcPr>
            <w:tcW w:type="dxa" w:w="240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pPr>
            <w:r>
              <w:rPr>
                <w:b/>
                <w:bCs/>
                <w:color w:val="FFFFFF"/>
                <w:sz w:val="19"/>
                <w:szCs w:val="19"/>
              </w:rPr>
              <w:t xml:space="preserve">Design reference</w:t>
            </w:r>
          </w:p>
        </w:tc>
        <w:tc>
          <w:tcPr>
            <w:tcW w:type="dxa" w:w="1726"/>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pPr>
            <w:r>
              <w:rPr>
                <w:b/>
                <w:bCs/>
                <w:color w:val="FFFFFF"/>
                <w:sz w:val="19"/>
                <w:szCs w:val="19"/>
              </w:rPr>
              <w:t xml:space="preserve">Status</w:t>
            </w:r>
          </w:p>
        </w:tc>
      </w:tr>
      <w:tr>
        <w:tc>
          <w:tcPr>
            <w:tcW w:type="dxa" w:w="4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Application control restricts execution to an approved set on workstations</w:t>
            </w:r>
          </w:p>
        </w:tc>
        <w:tc>
          <w:tcPr>
            <w:tcW w:type="dxa" w:w="2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§3.4, §6.1–6.3, §6.7–6.9</w:t>
            </w:r>
          </w:p>
        </w:tc>
        <w:tc>
          <w:tcPr>
            <w:tcW w:type="dxa" w:w="1726"/>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Met by design</w:t>
            </w:r>
          </w:p>
        </w:tc>
      </w:tr>
      <w:tr>
        <w:tc>
          <w:tcPr>
            <w:tcW w:type="dxa" w:w="4900"/>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Control covers executables, software libraries, scripts, installers, compiled HTML, HTML applications and control panel applets</w:t>
            </w:r>
          </w:p>
        </w:tc>
        <w:tc>
          <w:tcPr>
            <w:tcW w:type="dxa" w:w="2400"/>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§5.1, §6.2, §6.6</w:t>
            </w:r>
          </w:p>
        </w:tc>
        <w:tc>
          <w:tcPr>
            <w:tcW w:type="dxa" w:w="1726"/>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Met by design</w:t>
            </w:r>
          </w:p>
        </w:tc>
      </w:tr>
      <w:tr>
        <w:tc>
          <w:tcPr>
            <w:tcW w:type="dxa" w:w="4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Microsoft's recommended application blocklist is implemented</w:t>
            </w:r>
          </w:p>
        </w:tc>
        <w:tc>
          <w:tcPr>
            <w:tcW w:type="dxa" w:w="2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§6.5</w:t>
            </w:r>
          </w:p>
        </w:tc>
        <w:tc>
          <w:tcPr>
            <w:tcW w:type="dxa" w:w="1726"/>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Met by design</w:t>
            </w:r>
          </w:p>
        </w:tc>
      </w:tr>
      <w:tr>
        <w:tc>
          <w:tcPr>
            <w:tcW w:type="dxa" w:w="4900"/>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Application control rule sets are validated (annually or more often)</w:t>
            </w:r>
          </w:p>
        </w:tc>
        <w:tc>
          <w:tcPr>
            <w:tcW w:type="dxa" w:w="2400"/>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§6.3 (refresh), §6.9, §7.5</w:t>
            </w:r>
          </w:p>
        </w:tc>
        <w:tc>
          <w:tcPr>
            <w:tcW w:type="dxa" w:w="1726"/>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Met by design (process)</w:t>
            </w:r>
          </w:p>
        </w:tc>
      </w:tr>
      <w:tr>
        <w:tc>
          <w:tcPr>
            <w:tcW w:type="dxa" w:w="4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Allowed and blocked execution events are centrally logged and protected</w:t>
            </w:r>
          </w:p>
        </w:tc>
        <w:tc>
          <w:tcPr>
            <w:tcW w:type="dxa" w:w="2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§9.1–9.4, §9.8</w:t>
            </w:r>
          </w:p>
        </w:tc>
        <w:tc>
          <w:tcPr>
            <w:tcW w:type="dxa" w:w="1726"/>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Met by design</w:t>
            </w:r>
          </w:p>
        </w:tc>
      </w:tr>
      <w:tr>
        <w:tc>
          <w:tcPr>
            <w:tcW w:type="dxa" w:w="4900"/>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Logs are monitored for signs of compromise and actioned</w:t>
            </w:r>
          </w:p>
        </w:tc>
        <w:tc>
          <w:tcPr>
            <w:tcW w:type="dxa" w:w="2400"/>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§9.5–9.7, §7.6</w:t>
            </w:r>
          </w:p>
        </w:tc>
        <w:tc>
          <w:tcPr>
            <w:tcW w:type="dxa" w:w="1726"/>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Met by design</w:t>
            </w:r>
          </w:p>
        </w:tc>
      </w:tr>
      <w:tr>
        <w:tc>
          <w:tcPr>
            <w:tcW w:type="dxa" w:w="4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Privileged/high-value devices receive stricter control</w:t>
            </w:r>
          </w:p>
        </w:tc>
        <w:tc>
          <w:tcPr>
            <w:tcW w:type="dxa" w:w="2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§5.7, §6.8 (PAW)</w:t>
            </w:r>
          </w:p>
        </w:tc>
        <w:tc>
          <w:tcPr>
            <w:tcW w:type="dxa" w:w="1726"/>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Met by design</w:t>
            </w:r>
          </w:p>
        </w:tc>
      </w:tr>
      <w:tr>
        <w:tc>
          <w:tcPr>
            <w:tcW w:type="dxa" w:w="4900"/>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Control resists user/administrator disabling (where in scope)</w:t>
            </w:r>
          </w:p>
        </w:tc>
        <w:tc>
          <w:tcPr>
            <w:tcW w:type="dxa" w:w="2400"/>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§5.11, §10.1</w:t>
            </w:r>
          </w:p>
        </w:tc>
        <w:tc>
          <w:tcPr>
            <w:tcW w:type="dxa" w:w="1726"/>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Met by design</w:t>
            </w:r>
          </w:p>
        </w:tc>
      </w:tr>
    </w:tbl>
    <w:p>
      <w:pPr>
        <w:spacing w:after="60"/>
      </w:pPr>
      <w:r>
        <w:t xml:space="preserve"/>
      </w:r>
    </w:p>
    <w:p>
      <w:pPr>
        <w:spacing w:after="140" w:line="276"/>
      </w:pPr>
      <w:r>
        <w:rPr>
          <w:b/>
          <w:bCs/>
        </w:rPr>
        <w:t xml:space="preserve">Developer-device variance.  </w:t>
      </w:r>
      <w:r>
        <w:t xml:space="preserve">Developer Windows 365 devices remain under enforced application control with central logging and the full blocklist, but use developer self-service authorisation as their routine exception mechanism (Section 6.9). This is recorded as a managed variance, not an exemption: the control is enforced and monitored, and the residual risk is treated and accepted (Section 11.3, R6). Standard and PAW populations meet the ML2 expectations without variance.</w:t>
      </w:r>
    </w:p>
    <w:p>
      <w:pPr>
        <w:spacing w:after="60"/>
      </w:pPr>
      <w:r>
        <w:t xml:space="preserve"/>
      </w:r>
    </w:p>
    <w:p>
      <w:pPr>
        <w:pStyle w:val="Heading2"/>
      </w:pPr>
      <w:r>
        <w:t xml:space="preserve">11.2  Related Blueprint Controls</w:t>
      </w:r>
    </w:p>
    <w:p>
      <w:pPr>
        <w:spacing w:after="140" w:line="276"/>
      </w:pPr>
      <w:r>
        <w:t xml:space="preserve">Application control operates within a broader control set described by the ASD Blueprint and the EUC HLD. The design integrates with, and depends upon, the following adjacent controls: identity and privileged access (Entra ID, MFA, PIM, PAW) for console administration; centralised logging into Google SecOps; restriction of administrative privileges (which underpins the PAW posture); and Defender for Endpoint as a complementary detection-and-response control. This LLD does not re-specify those controls; it consumes them.</w:t>
      </w:r>
    </w:p>
    <w:p>
      <w:pPr>
        <w:pStyle w:val="Heading2"/>
      </w:pPr>
      <w:r>
        <w:t xml:space="preserve">11.3  Residual Risks and ML2 Notes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
        <w:gridCol w:w="4350"/>
        <w:gridCol w:w="4026"/>
      </w:tblGrid>
      <w:tr>
        <w:trPr>
          <w:tblHeader/>
        </w:trPr>
        <w:tc>
          <w:tcPr>
            <w:tcW w:type="dxa" w:w="65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pPr>
            <w:r>
              <w:rPr>
                <w:b/>
                <w:bCs/>
                <w:color w:val="FFFFFF"/>
                <w:sz w:val="19"/>
                <w:szCs w:val="19"/>
              </w:rPr>
              <w:t xml:space="preserve">Ref</w:t>
            </w:r>
          </w:p>
        </w:tc>
        <w:tc>
          <w:tcPr>
            <w:tcW w:type="dxa" w:w="435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pPr>
            <w:r>
              <w:rPr>
                <w:b/>
                <w:bCs/>
                <w:color w:val="FFFFFF"/>
                <w:sz w:val="19"/>
                <w:szCs w:val="19"/>
              </w:rPr>
              <w:t xml:space="preserve">Residual risk / note</w:t>
            </w:r>
          </w:p>
        </w:tc>
        <w:tc>
          <w:tcPr>
            <w:tcW w:type="dxa" w:w="4026"/>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pPr>
            <w:r>
              <w:rPr>
                <w:b/>
                <w:bCs/>
                <w:color w:val="FFFFFF"/>
                <w:sz w:val="19"/>
                <w:szCs w:val="19"/>
              </w:rPr>
              <w:t xml:space="preserve">Treatment</w:t>
            </w:r>
          </w:p>
        </w:tc>
      </w:tr>
      <w:tr>
        <w:tc>
          <w:tcPr>
            <w:tcW w:type="dxa" w:w="6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R1</w:t>
            </w:r>
          </w:p>
        </w:tc>
        <w:tc>
          <w:tcPr>
            <w:tcW w:type="dxa" w:w="43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Enforce-from-day-one will block unbaselined LOB software on first use</w:t>
            </w:r>
          </w:p>
        </w:tc>
        <w:tc>
          <w:tcPr>
            <w:tcW w:type="dxa" w:w="4026"/>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Maximise baseline/pilot coverage; OTP and exception SLA; risk accepted by security stakeholder (§3.6)</w:t>
            </w:r>
          </w:p>
        </w:tc>
      </w:tr>
      <w:tr>
        <w:tc>
          <w:tcPr>
            <w:tcW w:type="dxa" w:w="650"/>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R2</w:t>
            </w:r>
          </w:p>
        </w:tc>
        <w:tc>
          <w:tcPr>
            <w:tcW w:type="dxa" w:w="4350"/>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Trusted-update/installer exemptions are a potential weakness if over-broad</w:t>
            </w:r>
          </w:p>
        </w:tc>
        <w:tc>
          <w:tcPr>
            <w:tcW w:type="dxa" w:w="4026"/>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Confine to non-user-writable paths; constrain by publisher/parent; document and review (§6.4)</w:t>
            </w:r>
          </w:p>
        </w:tc>
      </w:tr>
      <w:tr>
        <w:tc>
          <w:tcPr>
            <w:tcW w:type="dxa" w:w="6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R3</w:t>
            </w:r>
          </w:p>
        </w:tc>
        <w:tc>
          <w:tcPr>
            <w:tcW w:type="dxa" w:w="43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CLM is not provided by Airlock; script execution control is</w:t>
            </w:r>
          </w:p>
        </w:tc>
        <w:tc>
          <w:tcPr>
            <w:tcW w:type="dxa" w:w="4026"/>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Deliver CLM via AppLocker/WDAC as defence-in-depth if required; natural ML3 uplift lever (§6.6)</w:t>
            </w:r>
          </w:p>
        </w:tc>
      </w:tr>
      <w:tr>
        <w:tc>
          <w:tcPr>
            <w:tcW w:type="dxa" w:w="650"/>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R4</w:t>
            </w:r>
          </w:p>
        </w:tc>
        <w:tc>
          <w:tcPr>
            <w:tcW w:type="dxa" w:w="4350"/>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SaaS residency must be confirmed for OFFICIAL: Sensitive</w:t>
            </w:r>
          </w:p>
        </w:tc>
        <w:tc>
          <w:tcPr>
            <w:tcW w:type="dxa" w:w="4026"/>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Conditional recommendation; on-prem fallback (§4.5, Appendix E)</w:t>
            </w:r>
          </w:p>
        </w:tc>
      </w:tr>
      <w:tr>
        <w:tc>
          <w:tcPr>
            <w:tcW w:type="dxa" w:w="6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R5</w:t>
            </w:r>
          </w:p>
        </w:tc>
        <w:tc>
          <w:tcPr>
            <w:tcW w:type="dxa" w:w="43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Airlock has no built-in SecOps default parser</w:t>
            </w:r>
          </w:p>
        </w:tc>
        <w:tc>
          <w:tcPr>
            <w:tcW w:type="dxa" w:w="4026"/>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Author and maintain a custom UDM parser (§9.3, Appendix E)</w:t>
            </w:r>
          </w:p>
        </w:tc>
      </w:tr>
      <w:tr>
        <w:tc>
          <w:tcPr>
            <w:tcW w:type="dxa" w:w="650"/>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R6</w:t>
            </w:r>
          </w:p>
        </w:tc>
        <w:tc>
          <w:tcPr>
            <w:tcW w:type="dxa" w:w="4350"/>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Developer self-service authorisation reduces control strength on developer devices</w:t>
            </w:r>
          </w:p>
        </w:tc>
        <w:tc>
          <w:tcPr>
            <w:tcW w:type="dxa" w:w="4026"/>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Keep agent enforced + blocklist + full telemetry; contain via isolated, resettable W365; document as managed variance; risk accepted by security stakeholder (§6.9, §11.1)</w:t>
            </w:r>
          </w:p>
        </w:tc>
      </w:tr>
      <w:tr>
        <w:tc>
          <w:tcPr>
            <w:tcW w:type="dxa" w:w="6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R7</w:t>
            </w:r>
          </w:p>
        </w:tc>
        <w:tc>
          <w:tcPr>
            <w:tcW w:type="dxa" w:w="43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Optional build-process (parent) trust on developer devices broadens attack surface</w:t>
            </w:r>
          </w:p>
        </w:tc>
        <w:tc>
          <w:tcPr>
            <w:tcW w:type="dxa" w:w="4026"/>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Prefer self-service OTP alone; adopt build-process trust only if needed, constrained by parent process and monitored; explicit decision (§6.9, Appendix E V9)</w:t>
            </w:r>
          </w:p>
        </w:tc>
      </w:tr>
    </w:tbl>
    <w:p>
      <w:r>
        <w:br w:type="page"/>
      </w:r>
    </w:p>
    <w:p>
      <w:pPr>
        <w:pStyle w:val="Heading1"/>
      </w:pPr>
      <w:r>
        <w:t xml:space="preserve">12.  Appendices</w:t>
      </w:r>
    </w:p>
    <w:p>
      <w:pPr>
        <w:pStyle w:val="Heading2"/>
      </w:pPr>
      <w:r>
        <w:t xml:space="preserve">12.1  Appendix A — 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pPr>
            <w:r>
              <w:rPr>
                <w:b/>
                <w:bCs/>
                <w:color w:val="FFFFFF"/>
                <w:sz w:val="19"/>
                <w:szCs w:val="19"/>
              </w:rPr>
              <w:t xml:space="preserve">Term</w:t>
            </w:r>
          </w:p>
        </w:tc>
        <w:tc>
          <w:tcPr>
            <w:tcW w:type="dxa" w:w="7026"/>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pPr>
            <w:r>
              <w:rPr>
                <w:b/>
                <w:bCs/>
                <w:color w:val="FFFFFF"/>
                <w:sz w:val="19"/>
                <w:szCs w:val="19"/>
              </w:rPr>
              <w:t xml:space="preserve">Definition</w:t>
            </w:r>
          </w:p>
        </w:tc>
      </w:tr>
      <w:tr>
        <w:tc>
          <w:tcPr>
            <w:tcW w:type="dxa" w:w="20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Allowlisting</w:t>
            </w:r>
          </w:p>
        </w:tc>
        <w:tc>
          <w:tcPr>
            <w:tcW w:type="dxa" w:w="7026"/>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Permitting only explicitly trusted files to execute; Deny by Default. Formerly “whitelisting”.</w:t>
            </w:r>
          </w:p>
        </w:tc>
      </w:tr>
      <w:tr>
        <w:tc>
          <w:tcPr>
            <w:tcW w:type="dxa" w:w="2000"/>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ASD Blueprint</w:t>
            </w:r>
          </w:p>
        </w:tc>
        <w:tc>
          <w:tcPr>
            <w:tcW w:type="dxa" w:w="7026"/>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ASD Blueprint for Secure Cloud — reference architecture and guidance for secure Microsoft cloud environments.</w:t>
            </w:r>
          </w:p>
        </w:tc>
      </w:tr>
      <w:tr>
        <w:tc>
          <w:tcPr>
            <w:tcW w:type="dxa" w:w="20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CLM</w:t>
            </w:r>
          </w:p>
        </w:tc>
        <w:tc>
          <w:tcPr>
            <w:tcW w:type="dxa" w:w="7026"/>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PowerShell Constrained Language Mode; restricts PowerShell capability. Driven by AppLocker/WDAC, not Airlock.</w:t>
            </w:r>
          </w:p>
        </w:tc>
      </w:tr>
      <w:tr>
        <w:tc>
          <w:tcPr>
            <w:tcW w:type="dxa" w:w="2000"/>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Deny by Default</w:t>
            </w:r>
          </w:p>
        </w:tc>
        <w:tc>
          <w:tcPr>
            <w:tcW w:type="dxa" w:w="7026"/>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Security model where execution is denied unless explicitly permitted.</w:t>
            </w:r>
          </w:p>
        </w:tc>
      </w:tr>
      <w:tr>
        <w:tc>
          <w:tcPr>
            <w:tcW w:type="dxa" w:w="20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Enforcement Agent</w:t>
            </w:r>
          </w:p>
        </w:tc>
        <w:tc>
          <w:tcPr>
            <w:tcW w:type="dxa" w:w="7026"/>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Airlock endpoint component that enforces policy at execution time.</w:t>
            </w:r>
          </w:p>
        </w:tc>
      </w:tr>
      <w:tr>
        <w:tc>
          <w:tcPr>
            <w:tcW w:type="dxa" w:w="2000"/>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Essential Eight / ML2</w:t>
            </w:r>
          </w:p>
        </w:tc>
        <w:tc>
          <w:tcPr>
            <w:tcW w:type="dxa" w:w="7026"/>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ASD's eight mitigation strategies and the Maturity Level 2 target for this design.</w:t>
            </w:r>
          </w:p>
        </w:tc>
      </w:tr>
      <w:tr>
        <w:tc>
          <w:tcPr>
            <w:tcW w:type="dxa" w:w="20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LOLBin</w:t>
            </w:r>
          </w:p>
        </w:tc>
        <w:tc>
          <w:tcPr>
            <w:tcW w:type="dxa" w:w="7026"/>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Living-off-the-land binary; a legitimate (often signed) binary abused by adversaries.</w:t>
            </w:r>
          </w:p>
        </w:tc>
      </w:tr>
      <w:tr>
        <w:tc>
          <w:tcPr>
            <w:tcW w:type="dxa" w:w="2000"/>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Metarule</w:t>
            </w:r>
          </w:p>
        </w:tc>
        <w:tc>
          <w:tcPr>
            <w:tcW w:type="dxa" w:w="7026"/>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Conditional Airlock rule combining criteria (path, parent, hostname) with wildcard support.</w:t>
            </w:r>
          </w:p>
        </w:tc>
      </w:tr>
      <w:tr>
        <w:tc>
          <w:tcPr>
            <w:tcW w:type="dxa" w:w="20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OTP</w:t>
            </w:r>
          </w:p>
        </w:tc>
        <w:tc>
          <w:tcPr>
            <w:tcW w:type="dxa" w:w="7026"/>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One Time Password; time-boxed audit session permitting temporary execution of blocked files.</w:t>
            </w:r>
          </w:p>
        </w:tc>
      </w:tr>
      <w:tr>
        <w:tc>
          <w:tcPr>
            <w:tcW w:type="dxa" w:w="2000"/>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PAW</w:t>
            </w:r>
          </w:p>
        </w:tc>
        <w:tc>
          <w:tcPr>
            <w:tcW w:type="dxa" w:w="7026"/>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Privileged Access Workstation; hardened device for administrative tasks.</w:t>
            </w:r>
          </w:p>
        </w:tc>
      </w:tr>
      <w:tr>
        <w:tc>
          <w:tcPr>
            <w:tcW w:type="dxa" w:w="20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SecOps / Chronicle</w:t>
            </w:r>
          </w:p>
        </w:tc>
        <w:tc>
          <w:tcPr>
            <w:tcW w:type="dxa" w:w="7026"/>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Google Security Operations; the enterprise SIEM (formerly Chronicle).</w:t>
            </w:r>
          </w:p>
        </w:tc>
      </w:tr>
      <w:tr>
        <w:tc>
          <w:tcPr>
            <w:tcW w:type="dxa" w:w="2000"/>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UDM</w:t>
            </w:r>
          </w:p>
        </w:tc>
        <w:tc>
          <w:tcPr>
            <w:tcW w:type="dxa" w:w="7026"/>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Unified Data Model; Google SecOps normalised schema.</w:t>
            </w:r>
          </w:p>
        </w:tc>
      </w:tr>
      <w:tr>
        <w:tc>
          <w:tcPr>
            <w:tcW w:type="dxa" w:w="20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WDAC / ACfB</w:t>
            </w:r>
          </w:p>
        </w:tc>
        <w:tc>
          <w:tcPr>
            <w:tcW w:type="dxa" w:w="7026"/>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Windows Defender Application Control / App Control for Business; Microsoft's native application control.</w:t>
            </w:r>
          </w:p>
        </w:tc>
      </w:tr>
    </w:tbl>
    <w:p>
      <w:pPr>
        <w:spacing w:after="60"/>
      </w:pPr>
      <w:r>
        <w:t xml:space="preserve"/>
      </w:r>
    </w:p>
    <w:p>
      <w:pPr>
        <w:pStyle w:val="Heading2"/>
      </w:pPr>
      <w:r>
        <w:t xml:space="preserve">12.2  Appendix B — Illustrative Trusted-Path / Exemption Set</w:t>
      </w:r>
    </w:p>
    <w:p>
      <w:pPr>
        <w:spacing w:after="140" w:line="276"/>
      </w:pPr>
      <w:r>
        <w:rPr>
          <w:b/>
          <w:bCs/>
        </w:rPr>
        <w:t xml:space="preserve">Illustrative only — to be finalised during baselining (§6.4). </w:t>
      </w:r>
      <w:r>
        <w:t xml:space="preserve">Every entry must resolve to a location a standard user cannot write to, and should be constrained by publisher and/or parent process. This is a starting set, not an approved configuration.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3426"/>
      </w:tblGrid>
      <w:tr>
        <w:trPr>
          <w:tblHeader/>
        </w:trPr>
        <w:tc>
          <w:tcPr>
            <w:tcW w:type="dxa" w:w="230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pPr>
            <w:r>
              <w:rPr>
                <w:b/>
                <w:bCs/>
                <w:color w:val="FFFFFF"/>
                <w:sz w:val="19"/>
                <w:szCs w:val="19"/>
              </w:rPr>
              <w:t xml:space="preserve">Exemption</w:t>
            </w:r>
          </w:p>
        </w:tc>
        <w:tc>
          <w:tcPr>
            <w:tcW w:type="dxa" w:w="330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pPr>
            <w:r>
              <w:rPr>
                <w:b/>
                <w:bCs/>
                <w:color w:val="FFFFFF"/>
                <w:sz w:val="19"/>
                <w:szCs w:val="19"/>
              </w:rPr>
              <w:t xml:space="preserve">Scope / constraint</w:t>
            </w:r>
          </w:p>
        </w:tc>
        <w:tc>
          <w:tcPr>
            <w:tcW w:type="dxa" w:w="3426"/>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pPr>
            <w:r>
              <w:rPr>
                <w:b/>
                <w:bCs/>
                <w:color w:val="FFFFFF"/>
                <w:sz w:val="19"/>
                <w:szCs w:val="19"/>
              </w:rPr>
              <w:t xml:space="preserve">Justification</w:t>
            </w:r>
          </w:p>
        </w:tc>
      </w:tr>
      <w:tr>
        <w:tc>
          <w:tcPr>
            <w:tcW w:type="dxa" w:w="23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OS servicing binaries</w:t>
            </w:r>
          </w:p>
        </w:tc>
        <w:tc>
          <w:tcPr>
            <w:tcW w:type="dxa" w:w="33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Microsoft-signed; via publisher trust + servicing handling</w:t>
            </w:r>
          </w:p>
        </w:tc>
        <w:tc>
          <w:tcPr>
            <w:tcW w:type="dxa" w:w="3426"/>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Windows Update introduces new signed system binaries</w:t>
            </w:r>
          </w:p>
        </w:tc>
      </w:tr>
      <w:tr>
        <w:tc>
          <w:tcPr>
            <w:tcW w:type="dxa" w:w="2300"/>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Trusted installer / update process</w:t>
            </w:r>
          </w:p>
        </w:tc>
        <w:tc>
          <w:tcPr>
            <w:tcW w:type="dxa" w:w="3300"/>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Non-user-writable install/staging locations; constrain by parent process</w:t>
            </w:r>
          </w:p>
        </w:tc>
        <w:tc>
          <w:tcPr>
            <w:tcW w:type="dxa" w:w="3426"/>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Approved software installation and patching</w:t>
            </w:r>
          </w:p>
        </w:tc>
      </w:tr>
      <w:tr>
        <w:tc>
          <w:tcPr>
            <w:tcW w:type="dxa" w:w="23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Approved browser auto-updater</w:t>
            </w:r>
          </w:p>
        </w:tc>
        <w:tc>
          <w:tcPr>
            <w:tcW w:type="dxa" w:w="33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Vendor publisher + path-plus-parent</w:t>
            </w:r>
          </w:p>
        </w:tc>
        <w:tc>
          <w:tcPr>
            <w:tcW w:type="dxa" w:w="3426"/>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Signed browser updates apply automatically</w:t>
            </w:r>
          </w:p>
        </w:tc>
      </w:tr>
      <w:tr>
        <w:tc>
          <w:tcPr>
            <w:tcW w:type="dxa" w:w="2300"/>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Management agent updaters</w:t>
            </w:r>
          </w:p>
        </w:tc>
        <w:tc>
          <w:tcPr>
            <w:tcW w:type="dxa" w:w="3300"/>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Publisher trust for management tooling (e.g. Intune/Defender/Airlock)</w:t>
            </w:r>
          </w:p>
        </w:tc>
        <w:tc>
          <w:tcPr>
            <w:tcW w:type="dxa" w:w="3426"/>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Platform agents self-update via signed binaries</w:t>
            </w:r>
          </w:p>
        </w:tc>
      </w:tr>
    </w:tbl>
    <w:p>
      <w:pPr>
        <w:spacing w:after="60"/>
      </w:pPr>
      <w:r>
        <w:t xml:space="preserve"/>
      </w:r>
    </w:p>
    <w:p>
      <w:pPr>
        <w:pStyle w:val="Heading2"/>
      </w:pPr>
      <w:r>
        <w:t xml:space="preserve">12.3  Appendix C — Network and Firewall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2500"/>
        <w:gridCol w:w="2400"/>
        <w:gridCol w:w="2026"/>
      </w:tblGrid>
      <w:tr>
        <w:trPr>
          <w:tblHeader/>
        </w:trPr>
        <w:tc>
          <w:tcPr>
            <w:tcW w:type="dxa" w:w="210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pPr>
            <w:r>
              <w:rPr>
                <w:b/>
                <w:bCs/>
                <w:color w:val="FFFFFF"/>
                <w:sz w:val="19"/>
                <w:szCs w:val="19"/>
              </w:rPr>
              <w:t xml:space="preserve">Flow</w:t>
            </w:r>
          </w:p>
        </w:tc>
        <w:tc>
          <w:tcPr>
            <w:tcW w:type="dxa" w:w="250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pPr>
            <w:r>
              <w:rPr>
                <w:b/>
                <w:bCs/>
                <w:color w:val="FFFFFF"/>
                <w:sz w:val="19"/>
                <w:szCs w:val="19"/>
              </w:rPr>
              <w:t xml:space="preserve">Destination</w:t>
            </w:r>
          </w:p>
        </w:tc>
        <w:tc>
          <w:tcPr>
            <w:tcW w:type="dxa" w:w="240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pPr>
            <w:r>
              <w:rPr>
                <w:b/>
                <w:bCs/>
                <w:color w:val="FFFFFF"/>
                <w:sz w:val="19"/>
                <w:szCs w:val="19"/>
              </w:rPr>
              <w:t xml:space="preserve">Port/Protocol</w:t>
            </w:r>
          </w:p>
        </w:tc>
        <w:tc>
          <w:tcPr>
            <w:tcW w:type="dxa" w:w="2026"/>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pPr>
            <w:r>
              <w:rPr>
                <w:b/>
                <w:bCs/>
                <w:color w:val="FFFFFF"/>
                <w:sz w:val="19"/>
                <w:szCs w:val="19"/>
              </w:rPr>
              <w:t xml:space="preserve">Direction</w:t>
            </w:r>
          </w:p>
        </w:tc>
      </w:tr>
      <w:tr>
        <w:tc>
          <w:tcPr>
            <w:tcW w:type="dxa" w:w="2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Agent ↔ console</w:t>
            </w:r>
          </w:p>
        </w:tc>
        <w:tc>
          <w:tcPr>
            <w:tcW w:type="dxa" w:w="2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Airlock Server (SaaS / on-prem)</w:t>
            </w:r>
          </w:p>
        </w:tc>
        <w:tc>
          <w:tcPr>
            <w:tcW w:type="dxa" w:w="2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TCP 443 HTTPS</w:t>
            </w:r>
          </w:p>
        </w:tc>
        <w:tc>
          <w:tcPr>
            <w:tcW w:type="dxa" w:w="2026"/>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Outbound from endpoint</w:t>
            </w:r>
          </w:p>
        </w:tc>
      </w:tr>
      <w:tr>
        <w:tc>
          <w:tcPr>
            <w:tcW w:type="dxa" w:w="2100"/>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Admin UI</w:t>
            </w:r>
          </w:p>
        </w:tc>
        <w:tc>
          <w:tcPr>
            <w:tcW w:type="dxa" w:w="2500"/>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Airlock Server</w:t>
            </w:r>
          </w:p>
        </w:tc>
        <w:tc>
          <w:tcPr>
            <w:tcW w:type="dxa" w:w="2400"/>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TCP 443 HTTPS</w:t>
            </w:r>
          </w:p>
        </w:tc>
        <w:tc>
          <w:tcPr>
            <w:tcW w:type="dxa" w:w="2026"/>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Outbound from PAW</w:t>
            </w:r>
          </w:p>
        </w:tc>
      </w:tr>
      <w:tr>
        <w:tc>
          <w:tcPr>
            <w:tcW w:type="dxa" w:w="2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REST API</w:t>
            </w:r>
          </w:p>
        </w:tc>
        <w:tc>
          <w:tcPr>
            <w:tcW w:type="dxa" w:w="2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Airlock Server</w:t>
            </w:r>
          </w:p>
        </w:tc>
        <w:tc>
          <w:tcPr>
            <w:tcW w:type="dxa" w:w="2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TCP 3129 HTTPS</w:t>
            </w:r>
          </w:p>
        </w:tc>
        <w:tc>
          <w:tcPr>
            <w:tcW w:type="dxa" w:w="2026"/>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Collector/automation → server</w:t>
            </w:r>
          </w:p>
        </w:tc>
      </w:tr>
      <w:tr>
        <w:tc>
          <w:tcPr>
            <w:tcW w:type="dxa" w:w="2100"/>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Syslog export</w:t>
            </w:r>
          </w:p>
        </w:tc>
        <w:tc>
          <w:tcPr>
            <w:tcW w:type="dxa" w:w="2500"/>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SecOps collector</w:t>
            </w:r>
          </w:p>
        </w:tc>
        <w:tc>
          <w:tcPr>
            <w:tcW w:type="dxa" w:w="2400"/>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TCP 514 / 6514 (TLS)</w:t>
            </w:r>
          </w:p>
        </w:tc>
        <w:tc>
          <w:tcPr>
            <w:tcW w:type="dxa" w:w="2026"/>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Server/collector → SecOps</w:t>
            </w:r>
          </w:p>
        </w:tc>
      </w:tr>
      <w:tr>
        <w:tc>
          <w:tcPr>
            <w:tcW w:type="dxa" w:w="2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SSO</w:t>
            </w:r>
          </w:p>
        </w:tc>
        <w:tc>
          <w:tcPr>
            <w:tcW w:type="dxa" w:w="2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Entra ID</w:t>
            </w:r>
          </w:p>
        </w:tc>
        <w:tc>
          <w:tcPr>
            <w:tcW w:type="dxa" w:w="2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TCP 443 HTTPS</w:t>
            </w:r>
          </w:p>
        </w:tc>
        <w:tc>
          <w:tcPr>
            <w:tcW w:type="dxa" w:w="2026"/>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Outbound from admin browser</w:t>
            </w:r>
          </w:p>
        </w:tc>
      </w:tr>
    </w:tbl>
    <w:p>
      <w:pPr>
        <w:spacing w:after="60"/>
      </w:pPr>
      <w:r>
        <w:t xml:space="preserve"/>
      </w:r>
    </w:p>
    <w:p>
      <w:pPr>
        <w:spacing w:after="140" w:line="276"/>
      </w:pPr>
      <w:r>
        <w:rPr>
          <w:b/>
          <w:bCs/>
        </w:rPr>
        <w:t xml:space="preserve">Pending confirmation.  </w:t>
      </w:r>
      <w:r>
        <w:t xml:space="preserve">SaaS service FQDNs / IP ranges and the exact syslog port/transport are vendor-confirmation items (Appendix E).</w:t>
      </w:r>
    </w:p>
    <w:p>
      <w:pPr>
        <w:pStyle w:val="Heading2"/>
      </w:pPr>
      <w:r>
        <w:t xml:space="preserve">12.4  Appendix D — Intune Win32 Deployment Parameters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pPr>
            <w:r>
              <w:rPr>
                <w:b/>
                <w:bCs/>
                <w:color w:val="FFFFFF"/>
                <w:sz w:val="19"/>
                <w:szCs w:val="19"/>
              </w:rPr>
              <w:t xml:space="preserve">Setting</w:t>
            </w:r>
          </w:p>
        </w:tc>
        <w:tc>
          <w:tcPr>
            <w:tcW w:type="dxa" w:w="6426"/>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pPr>
            <w:r>
              <w:rPr>
                <w:b/>
                <w:bCs/>
                <w:color w:val="FFFFFF"/>
                <w:sz w:val="19"/>
                <w:szCs w:val="19"/>
              </w:rPr>
              <w:t xml:space="preserve">Value</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Package</w:t>
            </w:r>
          </w:p>
        </w:tc>
        <w:tc>
          <w:tcPr>
            <w:tcW w:type="dxa" w:w="6426"/>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.intunewin (vendor MSI via Win32 Content Prep Tool)</w:t>
            </w:r>
          </w:p>
        </w:tc>
      </w:tr>
      <w:tr>
        <w:tc>
          <w:tcPr>
            <w:tcW w:type="dxa" w:w="2600"/>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Install context</w:t>
            </w:r>
          </w:p>
        </w:tc>
        <w:tc>
          <w:tcPr>
            <w:tcW w:type="dxa" w:w="6426"/>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System</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Install command</w:t>
            </w:r>
          </w:p>
        </w:tc>
        <w:tc>
          <w:tcPr>
            <w:tcW w:type="dxa" w:w="6426"/>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rFonts w:ascii="Consolas" w:cs="Consolas" w:eastAsia="Consolas" w:hAnsi="Consolas"/>
                <w:sz w:val="18"/>
                <w:szCs w:val="18"/>
              </w:rPr>
              <w:t xml:space="preserve">msiexec /i AirlockAgent.msi /qn SERVER=&lt;fqdn&gt; GROUP=&lt;policyGroupRef&gt; /norestart</w:t>
            </w:r>
          </w:p>
        </w:tc>
      </w:tr>
      <w:tr>
        <w:tc>
          <w:tcPr>
            <w:tcW w:type="dxa" w:w="2600"/>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Uninstall command</w:t>
            </w:r>
          </w:p>
        </w:tc>
        <w:tc>
          <w:tcPr>
            <w:tcW w:type="dxa" w:w="6426"/>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rFonts w:ascii="Consolas" w:cs="Consolas" w:eastAsia="Consolas" w:hAnsi="Consolas"/>
                <w:sz w:val="18"/>
                <w:szCs w:val="18"/>
              </w:rPr>
              <w:t xml:space="preserve">msiexec /x {ProductCode} /qn  (protected uninstall)</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Detection</w:t>
            </w:r>
          </w:p>
        </w:tc>
        <w:tc>
          <w:tcPr>
            <w:tcW w:type="dxa" w:w="6426"/>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MSI product code + minimum version (optionally + service presence)</w:t>
            </w:r>
          </w:p>
        </w:tc>
      </w:tr>
      <w:tr>
        <w:tc>
          <w:tcPr>
            <w:tcW w:type="dxa" w:w="2600"/>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Requirement</w:t>
            </w:r>
          </w:p>
        </w:tc>
        <w:tc>
          <w:tcPr>
            <w:tcW w:type="dxa" w:w="6426"/>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Windows 11 x64 / ARM64</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Restart behaviour</w:t>
            </w:r>
          </w:p>
        </w:tc>
        <w:tc>
          <w:tcPr>
            <w:tcW w:type="dxa" w:w="6426"/>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Suppress; no forced reboot</w:t>
            </w:r>
          </w:p>
        </w:tc>
      </w:tr>
      <w:tr>
        <w:tc>
          <w:tcPr>
            <w:tcW w:type="dxa" w:w="2600"/>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Return codes</w:t>
            </w:r>
          </w:p>
        </w:tc>
        <w:tc>
          <w:tcPr>
            <w:tcW w:type="dxa" w:w="6426"/>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0 success; 3010/1641 soft reboot; map per standard</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Assignment (standard, physical)</w:t>
            </w:r>
          </w:p>
        </w:tc>
        <w:tc>
          <w:tcPr>
            <w:tcW w:type="dxa" w:w="6426"/>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Physical Windows 11 device group → Standard policy group</w:t>
            </w:r>
          </w:p>
        </w:tc>
      </w:tr>
      <w:tr>
        <w:tc>
          <w:tcPr>
            <w:tcW w:type="dxa" w:w="2600"/>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Assignment (standard, W365)</w:t>
            </w:r>
          </w:p>
        </w:tc>
        <w:tc>
          <w:tcPr>
            <w:tcW w:type="dxa" w:w="6426"/>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Windows 365 Cloud PC device group → Standard policy group</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Assignment (PAW)</w:t>
            </w:r>
          </w:p>
        </w:tc>
        <w:tc>
          <w:tcPr>
            <w:tcW w:type="dxa" w:w="6426"/>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Physical PAW device group → PAW policy group (isolated)</w:t>
            </w:r>
          </w:p>
        </w:tc>
      </w:tr>
      <w:tr>
        <w:tc>
          <w:tcPr>
            <w:tcW w:type="dxa" w:w="2600"/>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Assignment (developer, W365)</w:t>
            </w:r>
          </w:p>
        </w:tc>
        <w:tc>
          <w:tcPr>
            <w:tcW w:type="dxa" w:w="6426"/>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Secure Developer Environment Cloud PC group → Developer policy group (isolated; self-auth)</w:t>
            </w:r>
          </w:p>
        </w:tc>
      </w:tr>
    </w:tbl>
    <w:p>
      <w:pPr>
        <w:spacing w:after="60"/>
      </w:pPr>
      <w:r>
        <w:t xml:space="preserve"/>
      </w:r>
    </w:p>
    <w:p>
      <w:pPr>
        <w:pStyle w:val="Heading2"/>
      </w:pPr>
      <w:r>
        <w:t xml:space="preserve">12.5  Appendix E — Vendor / Programme Confirmation Register</w:t>
      </w:r>
    </w:p>
    <w:p>
      <w:pPr>
        <w:spacing w:after="140" w:line="276"/>
      </w:pPr>
      <w:r>
        <w:t xml:space="preserve">Open items to confirm before or during implementation. These are the only design decisions deferred; resolving them does not change the architecture.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0"/>
        <w:gridCol w:w="3600"/>
        <w:gridCol w:w="1800"/>
        <w:gridCol w:w="3076"/>
      </w:tblGrid>
      <w:tr>
        <w:trPr>
          <w:tblHeader/>
        </w:trPr>
        <w:tc>
          <w:tcPr>
            <w:tcW w:type="dxa" w:w="55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pPr>
            <w:r>
              <w:rPr>
                <w:b/>
                <w:bCs/>
                <w:color w:val="FFFFFF"/>
                <w:sz w:val="19"/>
                <w:szCs w:val="19"/>
              </w:rPr>
              <w:t xml:space="preserve">#</w:t>
            </w:r>
          </w:p>
        </w:tc>
        <w:tc>
          <w:tcPr>
            <w:tcW w:type="dxa" w:w="360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pPr>
            <w:r>
              <w:rPr>
                <w:b/>
                <w:bCs/>
                <w:color w:val="FFFFFF"/>
                <w:sz w:val="19"/>
                <w:szCs w:val="19"/>
              </w:rPr>
              <w:t xml:space="preserve">Item</w:t>
            </w:r>
          </w:p>
        </w:tc>
        <w:tc>
          <w:tcPr>
            <w:tcW w:type="dxa" w:w="180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pPr>
            <w:r>
              <w:rPr>
                <w:b/>
                <w:bCs/>
                <w:color w:val="FFFFFF"/>
                <w:sz w:val="19"/>
                <w:szCs w:val="19"/>
              </w:rPr>
              <w:t xml:space="preserve">Owner</w:t>
            </w:r>
          </w:p>
        </w:tc>
        <w:tc>
          <w:tcPr>
            <w:tcW w:type="dxa" w:w="3076"/>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pPr>
            <w:r>
              <w:rPr>
                <w:b/>
                <w:bCs/>
                <w:color w:val="FFFFFF"/>
                <w:sz w:val="19"/>
                <w:szCs w:val="19"/>
              </w:rPr>
              <w:t xml:space="preserve">Impact if unresolved</w:t>
            </w:r>
          </w:p>
        </w:tc>
      </w:tr>
      <w:tr>
        <w:tc>
          <w:tcPr>
            <w:tcW w:type="dxa" w:w="5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V1</w:t>
            </w:r>
          </w:p>
        </w:tc>
        <w:tc>
          <w:tcPr>
            <w:tcW w:type="dxa" w:w="3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SaaS data residency: Australian-region hosting and telemetry storage; vendor assurance / IRAP status</w:t>
            </w:r>
          </w:p>
        </w:tc>
        <w:tc>
          <w:tcPr>
            <w:tcW w:type="dxa" w:w="18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Cyber / Procurement</w:t>
            </w:r>
          </w:p>
        </w:tc>
        <w:tc>
          <w:tcPr>
            <w:tcW w:type="dxa" w:w="3076"/>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Gates the SaaS recommendation; on-prem fallback otherwise (§4.5)</w:t>
            </w:r>
          </w:p>
        </w:tc>
      </w:tr>
      <w:tr>
        <w:tc>
          <w:tcPr>
            <w:tcW w:type="dxa" w:w="550"/>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V2</w:t>
            </w:r>
          </w:p>
        </w:tc>
        <w:tc>
          <w:tcPr>
            <w:tcW w:type="dxa" w:w="3600"/>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Exact MSI install properties, enrolment token mechanism, and protected-uninstall configuration</w:t>
            </w:r>
          </w:p>
        </w:tc>
        <w:tc>
          <w:tcPr>
            <w:tcW w:type="dxa" w:w="1800"/>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EUC Engineering</w:t>
            </w:r>
          </w:p>
        </w:tc>
        <w:tc>
          <w:tcPr>
            <w:tcW w:type="dxa" w:w="3076"/>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Required to finalise the Win32 package (§5.3)</w:t>
            </w:r>
          </w:p>
        </w:tc>
      </w:tr>
      <w:tr>
        <w:tc>
          <w:tcPr>
            <w:tcW w:type="dxa" w:w="5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V3</w:t>
            </w:r>
          </w:p>
        </w:tc>
        <w:tc>
          <w:tcPr>
            <w:tcW w:type="dxa" w:w="3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Current agent support matrix vs in-use Windows 11 feature release</w:t>
            </w:r>
          </w:p>
        </w:tc>
        <w:tc>
          <w:tcPr>
            <w:tcW w:type="dxa" w:w="18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EUC Engineering</w:t>
            </w:r>
          </w:p>
        </w:tc>
        <w:tc>
          <w:tcPr>
            <w:tcW w:type="dxa" w:w="3076"/>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Confirms per-wave compatibility (§5.1)</w:t>
            </w:r>
          </w:p>
        </w:tc>
      </w:tr>
      <w:tr>
        <w:tc>
          <w:tcPr>
            <w:tcW w:type="dxa" w:w="550"/>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V4</w:t>
            </w:r>
          </w:p>
        </w:tc>
        <w:tc>
          <w:tcPr>
            <w:tcW w:type="dxa" w:w="3600"/>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SaaS service FQDNs/IPs and syslog port/transport for egress and SIEM</w:t>
            </w:r>
          </w:p>
        </w:tc>
        <w:tc>
          <w:tcPr>
            <w:tcW w:type="dxa" w:w="1800"/>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Network / SOC</w:t>
            </w:r>
          </w:p>
        </w:tc>
        <w:tc>
          <w:tcPr>
            <w:tcW w:type="dxa" w:w="3076"/>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Required for firewall and SecOps collector config (§4.6, §9)</w:t>
            </w:r>
          </w:p>
        </w:tc>
      </w:tr>
      <w:tr>
        <w:tc>
          <w:tcPr>
            <w:tcW w:type="dxa" w:w="5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V5</w:t>
            </w:r>
          </w:p>
        </w:tc>
        <w:tc>
          <w:tcPr>
            <w:tcW w:type="dxa" w:w="3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Built-in vs custom console roles to achieve the §8.2 least-privilege model</w:t>
            </w:r>
          </w:p>
        </w:tc>
        <w:tc>
          <w:tcPr>
            <w:tcW w:type="dxa" w:w="18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EUC / Cyber</w:t>
            </w:r>
          </w:p>
        </w:tc>
        <w:tc>
          <w:tcPr>
            <w:tcW w:type="dxa" w:w="3076"/>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Determines custom-role effort (§8.2)</w:t>
            </w:r>
          </w:p>
        </w:tc>
      </w:tr>
      <w:tr>
        <w:tc>
          <w:tcPr>
            <w:tcW w:type="dxa" w:w="550"/>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V6</w:t>
            </w:r>
          </w:p>
        </w:tc>
        <w:tc>
          <w:tcPr>
            <w:tcW w:type="dxa" w:w="3600"/>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SecOps custom parser scope (fields, UDM mapping, log type) and feed method</w:t>
            </w:r>
          </w:p>
        </w:tc>
        <w:tc>
          <w:tcPr>
            <w:tcW w:type="dxa" w:w="1800"/>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SOC / Detection Eng</w:t>
            </w:r>
          </w:p>
        </w:tc>
        <w:tc>
          <w:tcPr>
            <w:tcW w:type="dxa" w:w="3076"/>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Required for normalised ingestion (§9.3)</w:t>
            </w:r>
          </w:p>
        </w:tc>
      </w:tr>
      <w:tr>
        <w:tc>
          <w:tcPr>
            <w:tcW w:type="dxa" w:w="5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V7</w:t>
            </w:r>
          </w:p>
        </w:tc>
        <w:tc>
          <w:tcPr>
            <w:tcW w:type="dxa" w:w="3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Confirmation of current product version and feature availability at procurement</w:t>
            </w:r>
          </w:p>
        </w:tc>
        <w:tc>
          <w:tcPr>
            <w:tcW w:type="dxa" w:w="18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EUC / Procurement</w:t>
            </w:r>
          </w:p>
        </w:tc>
        <w:tc>
          <w:tcPr>
            <w:tcW w:type="dxa" w:w="3076"/>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Validates version-dependent capabilities referenced in this design</w:t>
            </w:r>
          </w:p>
        </w:tc>
      </w:tr>
      <w:tr>
        <w:tc>
          <w:tcPr>
            <w:tcW w:type="dxa" w:w="550"/>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V8</w:t>
            </w:r>
          </w:p>
        </w:tc>
        <w:tc>
          <w:tcPr>
            <w:tcW w:type="dxa" w:w="3600"/>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Windows 365 agent delivery method (Intune Win32 assignment vs baked into the provisioning image) and gold-image baseline capture</w:t>
            </w:r>
          </w:p>
        </w:tc>
        <w:tc>
          <w:tcPr>
            <w:tcW w:type="dxa" w:w="1800"/>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EUC Engineering</w:t>
            </w:r>
          </w:p>
        </w:tc>
        <w:tc>
          <w:tcPr>
            <w:tcW w:type="dxa" w:w="3076"/>
            <w:tcBorders>
              <w:top w:val="single" w:color="BFBFBF" w:sz="1"/>
              <w:left w:val="single" w:color="BFBFBF" w:sz="1"/>
              <w:bottom w:val="single" w:color="BFBFBF" w:sz="1"/>
              <w:right w:val="single" w:color="BFBFBF" w:sz="1"/>
            </w:tcBorders>
            <w:shd w:fill="EAF0F7" w:val="clear"/>
            <w:tcMar>
              <w:top w:type="dxa" w:w="60"/>
              <w:left w:type="dxa" w:w="110"/>
              <w:bottom w:type="dxa" w:w="60"/>
              <w:right w:type="dxa" w:w="110"/>
            </w:tcMar>
            <w:vAlign w:val="center"/>
          </w:tcPr>
          <w:p>
            <w:pPr>
              <w:spacing w:after="0" w:line="264"/>
            </w:pPr>
            <w:r>
              <w:rPr>
                <w:sz w:val="19"/>
                <w:szCs w:val="19"/>
              </w:rPr>
              <w:t xml:space="preserve">Determines Cloud PC enrolment and “born enforced” approach (§5.1, §6.3)</w:t>
            </w:r>
          </w:p>
        </w:tc>
      </w:tr>
      <w:tr>
        <w:tc>
          <w:tcPr>
            <w:tcW w:type="dxa" w:w="5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V9</w:t>
            </w:r>
          </w:p>
        </w:tc>
        <w:tc>
          <w:tcPr>
            <w:tcW w:type="dxa" w:w="3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Developer loosening decision: self-service OTP only (recommended) vs additionally enabling build-process (parent) trust</w:t>
            </w:r>
          </w:p>
        </w:tc>
        <w:tc>
          <w:tcPr>
            <w:tcW w:type="dxa" w:w="18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EUC / Cyber</w:t>
            </w:r>
          </w:p>
        </w:tc>
        <w:tc>
          <w:tcPr>
            <w:tcW w:type="dxa" w:w="3076"/>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64"/>
            </w:pPr>
            <w:r>
              <w:rPr>
                <w:sz w:val="19"/>
                <w:szCs w:val="19"/>
              </w:rPr>
              <w:t xml:space="preserve">Sets developer attack surface and assessment variance (§6.9, §11.3 R7)</w:t>
            </w:r>
          </w:p>
        </w:tc>
      </w:tr>
    </w:tbl>
    <w:p>
      <w:pPr>
        <w:spacing w:after="60"/>
      </w:pPr>
      <w:r>
        <w:t xml:space="preserve"/>
      </w:r>
    </w:p>
    <w:p>
      <w:pPr>
        <w:pBdr>
          <w:top w:val="single" w:color="BFBFBF" w:sz="6" w:space="6"/>
        </w:pBdr>
        <w:spacing w:before="240"/>
      </w:pPr>
      <w:r>
        <w:rPr>
          <w:i/>
          <w:iCs/>
          <w:color w:val="595959"/>
          <w:sz w:val="18"/>
          <w:szCs w:val="18"/>
        </w:rPr>
        <w:t xml:space="preserve">End of document — EUC-LLD-AIRLOCK-001 v0.1 (Draft) — OFFICIAL: Sensitive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b/>
        <w:bCs/>
        <w:color w:val="C00000"/>
        <w:sz w:val="16"/>
        <w:szCs w:val="16"/>
      </w:rPr>
      <w:t xml:space="preserve">OFFICIAL: Sensitive</w:t>
    </w:r>
  </w:p>
  <w:p>
    <w:pPr>
      <w:pBdr>
        <w:top w:val="single" w:color="BFBFBF" w:sz="4" w:space="4"/>
      </w:pBdr>
      <w:tabs>
        <w:tab w:val="right" w:pos="9026"/>
      </w:tabs>
      <w:spacing w:before="40"/>
    </w:pPr>
    <w:r>
      <w:rPr>
        <w:color w:val="595959"/>
        <w:sz w:val="16"/>
        <w:szCs w:val="16"/>
      </w:rPr>
      <w:t xml:space="preserve">EUC-LLD-AIRLOCK-001  v0.1 (Draft)</w:t>
    </w:r>
    <w:r>
      <w:rPr>
        <w:color w:val="595959"/>
        <w:sz w:val="16"/>
        <w:szCs w:val="16"/>
      </w:rPr>
      <w:t xml:space="preserve">	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spacing w:after="40"/>
      <w:jc w:val="center"/>
    </w:pPr>
    <w:r>
      <w:rPr>
        <w:b/>
        <w:bCs/>
        <w:color w:val="C00000"/>
        <w:sz w:val="16"/>
        <w:szCs w:val="16"/>
      </w:rPr>
      <w:t xml:space="preserve">OFFICIAL: Sensitive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8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tru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4"/>
      </w:pBdr>
      <w:spacing w:after="160" w:before="32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E5496"/>
      <w:sz w:val="25"/>
      <w:szCs w:val="25"/>
    </w:rPr>
  </w:style>
  <w:style w:type="paragraph" w:styleId="Heading3">
    <w:name w:val="Heading 3"/>
    <w:basedOn w:val="Normal"/>
    <w:next w:val="Normal"/>
    <w:qFormat/>
    <w:pPr>
      <w:spacing w:after="100" w:before="18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Airlock Digital Application Control — Low Level Design</dc:title>
  <dc:creator>Enterprise Architecture</dc:creator>
  <dc:description>EUC-LLD-AIRLOCK-001</dc:description>
  <cp:lastModifiedBy>Un-named</cp:lastModifiedBy>
  <cp:revision>1</cp:revision>
  <dcterms:created xsi:type="dcterms:W3CDTF">2026-06-30T05:27:04.605Z</dcterms:created>
  <dcterms:modified xsi:type="dcterms:W3CDTF">2026-06-30T05:27:04.621Z</dcterms:modified>
</cp:coreProperties>
</file>

<file path=docProps/custom.xml><?xml version="1.0" encoding="utf-8"?>
<Properties xmlns="http://schemas.openxmlformats.org/officeDocument/2006/custom-properties" xmlns:vt="http://schemas.openxmlformats.org/officeDocument/2006/docPropsVTypes"/>
</file>