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Default="0047739E" w:rsidP="0047739E">
      <w:pPr>
        <w:jc w:val="center"/>
        <w:rPr>
          <w:lang w:val="en-US"/>
        </w:rPr>
      </w:pP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use case </w:t>
      </w:r>
      <w:proofErr w:type="spellStart"/>
      <w:r>
        <w:rPr>
          <w:lang w:val="en-US"/>
        </w:rPr>
        <w:t>diagrammok</w:t>
      </w:r>
      <w:proofErr w:type="spellEnd"/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bookmarkStart w:id="0" w:name="_GoBack"/>
      <w:bookmarkEnd w:id="0"/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általá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</w:t>
      </w:r>
      <w:r>
        <w:rPr>
          <w:rFonts w:ascii="Helvetica Neue" w:hAnsi="Helvetica Neue" w:cs="Helvetica Neue"/>
          <w:color w:val="000000"/>
          <w:sz w:val="22"/>
          <w:szCs w:val="22"/>
        </w:rPr>
        <w:t>sége a felha</w:t>
      </w:r>
      <w:r>
        <w:rPr>
          <w:rFonts w:ascii="Helvetica Neue" w:hAnsi="Helvetica Neue" w:cs="Helvetica Neue"/>
          <w:color w:val="000000"/>
          <w:sz w:val="22"/>
          <w:szCs w:val="22"/>
        </w:rPr>
        <w:t>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>: felhasználónak két mező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</w:t>
      </w:r>
      <w:r>
        <w:rPr>
          <w:rFonts w:ascii="Helvetica Neue" w:hAnsi="Helvetica Neue" w:cs="Helvetica Neue"/>
          <w:color w:val="000000"/>
          <w:sz w:val="22"/>
          <w:szCs w:val="22"/>
        </w:rPr>
        <w:t>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</w:t>
      </w:r>
      <w:r>
        <w:rPr>
          <w:rFonts w:ascii="Helvetica Neue" w:hAnsi="Helvetica Neue" w:cs="Helvetica Neue"/>
          <w:color w:val="000000"/>
          <w:sz w:val="22"/>
          <w:szCs w:val="22"/>
        </w:rPr>
        <w:t>t</w:t>
      </w:r>
      <w:r>
        <w:rPr>
          <w:rFonts w:ascii="Helvetica Neue" w:hAnsi="Helvetica Neue" w:cs="Helvetica Neue"/>
          <w:color w:val="000000"/>
          <w:sz w:val="22"/>
          <w:szCs w:val="22"/>
        </w:rPr>
        <w:t>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proofErr w:type="spellStart"/>
      <w:r w:rsidR="00A51BD8">
        <w:rPr>
          <w:rFonts w:ascii="Helvetica Neue" w:hAnsi="Helvetica Neue" w:cs="Helvetica Neue"/>
          <w:color w:val="000000"/>
          <w:sz w:val="22"/>
          <w:szCs w:val="22"/>
        </w:rPr>
        <w:t>N</w:t>
      </w:r>
      <w:r>
        <w:rPr>
          <w:rFonts w:ascii="Helvetica Neue" w:hAnsi="Helvetica Neue" w:cs="Helvetica Neue"/>
          <w:color w:val="000000"/>
          <w:sz w:val="22"/>
          <w:szCs w:val="22"/>
        </w:rPr>
        <w:t>eptun</w:t>
      </w:r>
      <w:proofErr w:type="spellEnd"/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kódját.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Itt van lehetőségük a diákoknak és persze a mélyen tisztelt tanároknak letölteni a szükséges tananyagot. A tananyagok közt lehet szűrni névre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továbba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 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 …?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Pr="0047739E" w:rsidRDefault="0047739E" w:rsidP="0047739E">
      <w:pPr>
        <w:tabs>
          <w:tab w:val="left" w:pos="3052"/>
        </w:tabs>
        <w:rPr>
          <w:lang w:val="en-US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</w:p>
    <w:sectPr w:rsidR="0047739E" w:rsidRPr="0047739E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91C84"/>
    <w:rsid w:val="0047739E"/>
    <w:rsid w:val="009D763B"/>
    <w:rsid w:val="00A51BD8"/>
    <w:rsid w:val="00A5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203F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739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2018-10-19T20:27:00Z</cp:lastPrinted>
  <dcterms:created xsi:type="dcterms:W3CDTF">2018-10-19T20:27:00Z</dcterms:created>
  <dcterms:modified xsi:type="dcterms:W3CDTF">2018-10-19T20:31:00Z</dcterms:modified>
</cp:coreProperties>
</file>