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8860B"/>
          <w:spacing w:val="80"/>
          <w:sz w:val="16"/>
          <w:szCs w:val="16"/>
        </w:rPr>
        <w:t xml:space="preserve">CAPABILITY STATEMENT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A2E"/>
          <w:sz w:val="44"/>
          <w:szCs w:val="44"/>
        </w:rPr>
        <w:t xml:space="preserve">Sentinel Aerial Inspections</w:t>
      </w:r>
    </w:p>
    <w:p>
      <w:pPr>
        <w:pBdr>
          <w:bottom w:val="single" w:color="B8860B" w:sz="18" w:space="4"/>
        </w:pBdr>
        <w:spacing w:after="12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Veteran-owned aerial intelligence — inspections · wildlife census · 3D photogrammetry · federal-ready.</w:t>
      </w:r>
    </w:p>
    <w:p>
      <w:pPr>
        <w:pBdr>
          <w:bottom w:val="single" w:color="B8860B" w:sz="12" w:space="4"/>
        </w:pBdr>
        <w:spacing w:after="100" w:before="0"/>
      </w:pPr>
      <w:r>
        <w:rPr>
          <w:rFonts w:ascii="Calibri" w:cs="Calibri" w:eastAsia="Calibri" w:hAnsi="Calibri"/>
          <w:b/>
          <w:bCs/>
          <w:color w:val="B8860B"/>
          <w:spacing w:val="60"/>
          <w:sz w:val="18"/>
          <w:szCs w:val="18"/>
        </w:rPr>
        <w:t xml:space="preserve">COMPANY IDENTIFICATION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180"/>
      </w:tblGrid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Legal Entity</w:t>
            </w:r>
          </w:p>
        </w:tc>
        <w:tc>
          <w:tcPr>
            <w:tcW w:type="dxa" w:w="7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F1A2E"/>
                <w:sz w:val="18"/>
                <w:szCs w:val="18"/>
              </w:rPr>
              <w:t xml:space="preserve">Faith &amp; Harmony LLC (DBA Sentinel Aerial Inspections)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SAM.gov UEI</w:t>
            </w:r>
          </w:p>
        </w:tc>
        <w:tc>
          <w:tcPr>
            <w:tcW w:type="dxa" w:w="7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F1A2E"/>
                <w:sz w:val="18"/>
                <w:szCs w:val="18"/>
              </w:rPr>
              <w:t xml:space="preserve">JBPVN2EFN6S7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CAGE Code</w:t>
            </w:r>
          </w:p>
        </w:tc>
        <w:tc>
          <w:tcPr>
            <w:tcW w:type="dxa" w:w="7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F1A2E"/>
                <w:sz w:val="18"/>
                <w:szCs w:val="18"/>
              </w:rPr>
              <w:t xml:space="preserve">20CX8 (active · renewal 2027-05-06)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VA SCC Entity ID</w:t>
            </w:r>
          </w:p>
        </w:tc>
        <w:tc>
          <w:tcPr>
            <w:tcW w:type="dxa" w:w="7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F1A2E"/>
                <w:sz w:val="18"/>
                <w:szCs w:val="18"/>
              </w:rPr>
              <w:t xml:space="preserve">11851533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Business Size</w:t>
            </w:r>
          </w:p>
        </w:tc>
        <w:tc>
          <w:tcPr>
            <w:tcW w:type="dxa" w:w="7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F1A2E"/>
                <w:sz w:val="18"/>
                <w:szCs w:val="18"/>
              </w:rPr>
              <w:t xml:space="preserve">Small Business · Veteran-Owned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SDVOSB</w:t>
            </w:r>
          </w:p>
        </w:tc>
        <w:tc>
          <w:tcPr>
            <w:tcW w:type="dxa" w:w="7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F1A2E"/>
                <w:sz w:val="18"/>
                <w:szCs w:val="18"/>
              </w:rPr>
              <w:t xml:space="preserve">Pursuit in progress (not yet certified)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NAICS Codes</w:t>
            </w:r>
          </w:p>
        </w:tc>
        <w:tc>
          <w:tcPr>
            <w:tcW w:type="dxa" w:w="7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F1A2E"/>
                <w:sz w:val="18"/>
                <w:szCs w:val="18"/>
              </w:rPr>
              <w:t xml:space="preserve">541370 · 541990 · 561621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eVA (Virginia)</w:t>
            </w:r>
          </w:p>
        </w:tc>
        <w:tc>
          <w:tcPr>
            <w:tcW w:type="dxa" w:w="7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F1A2E"/>
                <w:sz w:val="18"/>
                <w:szCs w:val="18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Headquarters</w:t>
            </w:r>
          </w:p>
        </w:tc>
        <w:tc>
          <w:tcPr>
            <w:tcW w:type="dxa" w:w="7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F1A2E"/>
                <w:sz w:val="18"/>
                <w:szCs w:val="18"/>
              </w:rPr>
              <w:t xml:space="preserve">4221 Quailshire Ct, Chesapeake VA 23321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Phone</w:t>
            </w:r>
          </w:p>
        </w:tc>
        <w:tc>
          <w:tcPr>
            <w:tcW w:type="dxa" w:w="7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F1A2E"/>
                <w:sz w:val="18"/>
                <w:szCs w:val="18"/>
              </w:rPr>
              <w:t xml:space="preserve">757.843.8772 (office) · 760.575.4876 (PI mobile)</w:t>
            </w:r>
          </w:p>
        </w:tc>
      </w:tr>
    </w:tbl>
    <w:p>
      <w:pPr>
        <w:pBdr>
          <w:bottom w:val="single" w:color="B8860B" w:sz="12" w:space="4"/>
        </w:pBdr>
        <w:spacing w:after="100" w:before="0"/>
      </w:pPr>
      <w:r>
        <w:rPr>
          <w:rFonts w:ascii="Calibri" w:cs="Calibri" w:eastAsia="Calibri" w:hAnsi="Calibri"/>
          <w:b/>
          <w:bCs/>
          <w:color w:val="B8860B"/>
          <w:spacing w:val="60"/>
          <w:sz w:val="18"/>
          <w:szCs w:val="18"/>
        </w:rPr>
        <w:t xml:space="preserve">CORE CAPABILITIES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1A2E"/>
                <w:sz w:val="20"/>
                <w:szCs w:val="20"/>
              </w:rPr>
              <w:t xml:space="preserve">Aerial Imaging &amp; Mapping</w:t>
            </w:r>
          </w:p>
          <w:p>
            <w:pPr>
              <w:spacing w:after="30"/>
            </w:pPr>
            <w:r>
              <w:rPr>
                <w:color w:val="B8860B"/>
                <w:sz w:val="16"/>
                <w:szCs w:val="16"/>
              </w:rPr>
              <w:t xml:space="preserve">◆ </w:t>
            </w:r>
            <w:r>
              <w:rPr>
                <w:rFonts w:ascii="Calibri" w:cs="Calibri" w:eastAsia="Calibri" w:hAnsi="Calibri"/>
                <w:color w:val="0F1A2E"/>
                <w:sz w:val="16"/>
                <w:szCs w:val="16"/>
              </w:rPr>
              <w:t xml:space="preserve">2D orthomosaics (1.2-1.5 cm/px GSD)</w:t>
            </w:r>
          </w:p>
          <w:p>
            <w:pPr>
              <w:spacing w:after="30"/>
            </w:pPr>
            <w:r>
              <w:rPr>
                <w:color w:val="B8860B"/>
                <w:sz w:val="16"/>
                <w:szCs w:val="16"/>
              </w:rPr>
              <w:t xml:space="preserve">◆ </w:t>
            </w:r>
            <w:r>
              <w:rPr>
                <w:rFonts w:ascii="Calibri" w:cs="Calibri" w:eastAsia="Calibri" w:hAnsi="Calibri"/>
                <w:color w:val="0F1A2E"/>
                <w:sz w:val="16"/>
                <w:szCs w:val="16"/>
              </w:rPr>
              <w:t xml:space="preserve">3D photogrammetry · CesiumJS delivery</w:t>
            </w:r>
          </w:p>
          <w:p>
            <w:pPr>
              <w:spacing w:after="30"/>
            </w:pPr>
            <w:r>
              <w:rPr>
                <w:color w:val="B8860B"/>
                <w:sz w:val="16"/>
                <w:szCs w:val="16"/>
              </w:rPr>
              <w:t xml:space="preserve">◆ </w:t>
            </w:r>
            <w:r>
              <w:rPr>
                <w:rFonts w:ascii="Calibri" w:cs="Calibri" w:eastAsia="Calibri" w:hAnsi="Calibri"/>
                <w:color w:val="0F1A2E"/>
                <w:sz w:val="16"/>
                <w:szCs w:val="16"/>
              </w:rPr>
              <w:t xml:space="preserve">Construction progress documentation</w:t>
            </w:r>
          </w:p>
          <w:p>
            <w:pPr>
              <w:spacing w:after="30"/>
            </w:pPr>
            <w:r>
              <w:rPr>
                <w:color w:val="B8860B"/>
                <w:sz w:val="16"/>
                <w:szCs w:val="16"/>
              </w:rPr>
              <w:t xml:space="preserve">◆ </w:t>
            </w:r>
            <w:r>
              <w:rPr>
                <w:rFonts w:ascii="Calibri" w:cs="Calibri" w:eastAsia="Calibri" w:hAnsi="Calibri"/>
                <w:color w:val="0F1A2E"/>
                <w:sz w:val="16"/>
                <w:szCs w:val="16"/>
              </w:rPr>
              <w:t xml:space="preserve">Commercial real estate marketing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1A2E"/>
                <w:sz w:val="20"/>
                <w:szCs w:val="20"/>
              </w:rPr>
              <w:t xml:space="preserve">AI-Powered Wildlife Census</w:t>
            </w:r>
          </w:p>
          <w:p>
            <w:pPr>
              <w:spacing w:after="30"/>
            </w:pPr>
            <w:r>
              <w:rPr>
                <w:color w:val="B8860B"/>
                <w:sz w:val="16"/>
                <w:szCs w:val="16"/>
              </w:rPr>
              <w:t xml:space="preserve">◆ </w:t>
            </w:r>
            <w:r>
              <w:rPr>
                <w:rFonts w:ascii="Calibri" w:cs="Calibri" w:eastAsia="Calibri" w:hAnsi="Calibri"/>
                <w:color w:val="0F1A2E"/>
                <w:sz w:val="16"/>
                <w:szCs w:val="16"/>
              </w:rPr>
              <w:t xml:space="preserve">YOLOv8 thermal detection · mAP 0.978</w:t>
            </w:r>
          </w:p>
          <w:p>
            <w:pPr>
              <w:spacing w:after="30"/>
            </w:pPr>
            <w:r>
              <w:rPr>
                <w:color w:val="B8860B"/>
                <w:sz w:val="16"/>
                <w:szCs w:val="16"/>
              </w:rPr>
              <w:t xml:space="preserve">◆ </w:t>
            </w:r>
            <w:r>
              <w:rPr>
                <w:rFonts w:ascii="Calibri" w:cs="Calibri" w:eastAsia="Calibri" w:hAnsi="Calibri"/>
                <w:color w:val="0F1A2E"/>
                <w:sz w:val="16"/>
                <w:szCs w:val="16"/>
              </w:rPr>
              <w:t xml:space="preserve">M4T + Manifold 3 on-device inference</w:t>
            </w:r>
          </w:p>
          <w:p>
            <w:pPr>
              <w:spacing w:after="30"/>
            </w:pPr>
            <w:r>
              <w:rPr>
                <w:color w:val="B8860B"/>
                <w:sz w:val="16"/>
                <w:szCs w:val="16"/>
              </w:rPr>
              <w:t xml:space="preserve">◆ </w:t>
            </w:r>
            <w:r>
              <w:rPr>
                <w:rFonts w:ascii="Calibri" w:cs="Calibri" w:eastAsia="Calibri" w:hAnsi="Calibri"/>
                <w:color w:val="0F1A2E"/>
                <w:sz w:val="16"/>
                <w:szCs w:val="16"/>
              </w:rPr>
              <w:t xml:space="preserve">State DWR &amp; private acre surveys</w:t>
            </w:r>
          </w:p>
          <w:p>
            <w:pPr>
              <w:spacing w:after="30"/>
            </w:pPr>
            <w:r>
              <w:rPr>
                <w:color w:val="B8860B"/>
                <w:sz w:val="16"/>
                <w:szCs w:val="16"/>
              </w:rPr>
              <w:t xml:space="preserve">◆ </w:t>
            </w:r>
            <w:r>
              <w:rPr>
                <w:rFonts w:ascii="Calibri" w:cs="Calibri" w:eastAsia="Calibri" w:hAnsi="Calibri"/>
                <w:color w:val="0F1A2E"/>
                <w:sz w:val="16"/>
                <w:szCs w:val="16"/>
              </w:rPr>
              <w:t xml:space="preserve">Herd Mapper adaptive two-pass system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1A2E"/>
                <w:sz w:val="20"/>
                <w:szCs w:val="20"/>
              </w:rPr>
              <w:t xml:space="preserve">Federal-Grade Operations</w:t>
            </w:r>
          </w:p>
          <w:p>
            <w:pPr>
              <w:spacing w:after="30"/>
            </w:pPr>
            <w:r>
              <w:rPr>
                <w:color w:val="B8860B"/>
                <w:sz w:val="16"/>
                <w:szCs w:val="16"/>
              </w:rPr>
              <w:t xml:space="preserve">◆ </w:t>
            </w:r>
            <w:r>
              <w:rPr>
                <w:rFonts w:ascii="Calibri" w:cs="Calibri" w:eastAsia="Calibri" w:hAnsi="Calibri"/>
                <w:color w:val="0F1A2E"/>
                <w:sz w:val="16"/>
                <w:szCs w:val="16"/>
              </w:rPr>
              <w:t xml:space="preserve">CISSP / CISA / Part 107 PI</w:t>
            </w:r>
          </w:p>
          <w:p>
            <w:pPr>
              <w:spacing w:after="30"/>
            </w:pPr>
            <w:r>
              <w:rPr>
                <w:color w:val="B8860B"/>
                <w:sz w:val="16"/>
                <w:szCs w:val="16"/>
              </w:rPr>
              <w:t xml:space="preserve">◆ </w:t>
            </w:r>
            <w:r>
              <w:rPr>
                <w:rFonts w:ascii="Calibri" w:cs="Calibri" w:eastAsia="Calibri" w:hAnsi="Calibri"/>
                <w:color w:val="0F1A2E"/>
                <w:sz w:val="16"/>
                <w:szCs w:val="16"/>
              </w:rPr>
              <w:t xml:space="preserve">NIST RMF &amp; FISMA literate</w:t>
            </w:r>
          </w:p>
          <w:p>
            <w:pPr>
              <w:spacing w:after="30"/>
            </w:pPr>
            <w:r>
              <w:rPr>
                <w:color w:val="B8860B"/>
                <w:sz w:val="16"/>
                <w:szCs w:val="16"/>
              </w:rPr>
              <w:t xml:space="preserve">◆ </w:t>
            </w:r>
            <w:r>
              <w:rPr>
                <w:rFonts w:ascii="Calibri" w:cs="Calibri" w:eastAsia="Calibri" w:hAnsi="Calibri"/>
                <w:color w:val="0F1A2E"/>
                <w:sz w:val="16"/>
                <w:szCs w:val="16"/>
              </w:rPr>
              <w:t xml:space="preserve">NASA Langley + Newport News history</w:t>
            </w:r>
          </w:p>
          <w:p>
            <w:pPr>
              <w:spacing w:after="30"/>
            </w:pPr>
            <w:r>
              <w:rPr>
                <w:color w:val="B8860B"/>
                <w:sz w:val="16"/>
                <w:szCs w:val="16"/>
              </w:rPr>
              <w:t xml:space="preserve">◆ </w:t>
            </w:r>
            <w:r>
              <w:rPr>
                <w:rFonts w:ascii="Calibri" w:cs="Calibri" w:eastAsia="Calibri" w:hAnsi="Calibri"/>
                <w:color w:val="0F1A2E"/>
                <w:sz w:val="16"/>
                <w:szCs w:val="16"/>
              </w:rPr>
              <w:t xml:space="preserve">CMMC L2-aligned data handling</w:t>
            </w:r>
          </w:p>
        </w:tc>
      </w:tr>
    </w:tbl>
    <w:p>
      <w:pPr>
        <w:pBdr>
          <w:bottom w:val="single" w:color="B8860B" w:sz="12" w:space="4"/>
        </w:pBdr>
        <w:spacing w:after="100" w:before="0"/>
      </w:pPr>
      <w:r>
        <w:rPr>
          <w:rFonts w:ascii="Calibri" w:cs="Calibri" w:eastAsia="Calibri" w:hAnsi="Calibri"/>
          <w:b/>
          <w:bCs/>
          <w:color w:val="B8860B"/>
          <w:spacing w:val="60"/>
          <w:sz w:val="18"/>
          <w:szCs w:val="18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F1A2E"/>
          <w:sz w:val="18"/>
          <w:szCs w:val="18"/>
        </w:rPr>
        <w:t xml:space="preserve">On-device AI thermal detection — YOLOv8 v2 at mAP 0.978; runs at the edge on Jetson Orin NX.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F1A2E"/>
          <w:sz w:val="18"/>
          <w:szCs w:val="18"/>
        </w:rPr>
        <w:t xml:space="preserve">Vet-owned principal with 20+ years DoD/federal cybersecurity (CISSP, CISA, doctorate in Information Systems Mgmt).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F1A2E"/>
          <w:sz w:val="18"/>
          <w:szCs w:val="18"/>
        </w:rPr>
        <w:t xml:space="preserve">Hampton Roads airspace fluency — Class B/restricted ops at NAS Norfolk, NAS Oceana, Langley AFB.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F1A2E"/>
          <w:sz w:val="18"/>
          <w:szCs w:val="18"/>
        </w:rPr>
        <w:t xml:space="preserve">Federal data-handling posture: TLS 1.3 + AES-256, RBAC, audit trails, CMMC L2-aligned.</w:t>
      </w:r>
    </w:p>
    <w:p>
      <w:pPr>
        <w:pBdr>
          <w:bottom w:val="single" w:color="B8860B" w:sz="12" w:space="4"/>
        </w:pBdr>
        <w:spacing w:after="100" w:before="0"/>
      </w:pPr>
      <w:r>
        <w:rPr>
          <w:rFonts w:ascii="Calibri" w:cs="Calibri" w:eastAsia="Calibri" w:hAnsi="Calibri"/>
          <w:b/>
          <w:bCs/>
          <w:color w:val="B8860B"/>
          <w:spacing w:val="60"/>
          <w:sz w:val="18"/>
          <w:szCs w:val="18"/>
        </w:rPr>
        <w:t xml:space="preserve">PAST PERFORMANCE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480"/>
        <w:gridCol w:w="1800"/>
      </w:tblGrid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Job 4C913C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A2E"/>
                <w:sz w:val="17"/>
                <w:szCs w:val="17"/>
              </w:rPr>
              <w:t xml:space="preserve">Two-property commercial warehouse imagery — Chesapeake + Norfolk VA · Droners.io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2026-04-20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Job C7E3FD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A2E"/>
                <w:sz w:val="17"/>
                <w:szCs w:val="17"/>
              </w:rPr>
              <w:t xml:space="preserve">Cemetery orthomosaic survey · Hampton VA · downstream to chronicle.rip platform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2026-04-07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Federal IT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A2E"/>
                <w:sz w:val="17"/>
                <w:szCs w:val="17"/>
              </w:rPr>
              <w:t xml:space="preserve">NASA Langley vulnerability mgmt (Tyton LLC) · 200+ systems · NIST/FISMA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2024-2025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Federal IT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A2E"/>
                <w:sz w:val="17"/>
                <w:szCs w:val="17"/>
              </w:rPr>
              <w:t xml:space="preserve">Newport News Shipbuilding Lead ISSO · 9 classified networks · zero incidents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2019-2024</w:t>
            </w:r>
          </w:p>
        </w:tc>
      </w:tr>
    </w:tbl>
    <w:p>
      <w:pPr>
        <w:pBdr>
          <w:bottom w:val="single" w:color="B8860B" w:sz="12" w:space="4"/>
        </w:pBdr>
        <w:spacing w:after="100" w:before="0"/>
      </w:pPr>
      <w:r>
        <w:rPr>
          <w:rFonts w:ascii="Calibri" w:cs="Calibri" w:eastAsia="Calibri" w:hAnsi="Calibri"/>
          <w:b/>
          <w:bCs/>
          <w:color w:val="B8860B"/>
          <w:spacing w:val="60"/>
          <w:sz w:val="18"/>
          <w:szCs w:val="18"/>
        </w:rPr>
        <w:t xml:space="preserve">TEAMING &amp; NETWORK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F1A2E"/>
          <w:sz w:val="18"/>
          <w:szCs w:val="18"/>
        </w:rPr>
        <w:t xml:space="preserve">Beaufort County Community College (NC) — GIS/mapping student-labor pipeline · warm contact.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F1A2E"/>
          <w:sz w:val="18"/>
          <w:szCs w:val="18"/>
        </w:rPr>
        <w:t xml:space="preserve">Elizabeth City State University (HBCU, UNC system) — targeted academic partner for federal proposals.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F1A2E"/>
          <w:sz w:val="18"/>
          <w:szCs w:val="18"/>
        </w:rPr>
        <w:t xml:space="preserve">Vets to Drones (V2D) — 1099 pilot/research-engineer network of fellow veteran operators.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666666"/>
        <w:sz w:val="14"/>
        <w:szCs w:val="14"/>
      </w:rPr>
      <w:t xml:space="preserve">Faith &amp; Harmony LLC · DBA Sentinel Aerial Inspections · Chesapeake, VA</w:t>
    </w:r>
    <w:r>
      <w:rPr>
        <w:rFonts w:ascii="Calibri" w:cs="Calibri" w:eastAsia="Calibri" w:hAnsi="Calibri"/>
        <w:color w:val="B8860B"/>
        <w:sz w:val="14"/>
        <w:szCs w:val="14"/>
      </w:rPr>
      <w:t xml:space="preserve">	dradamopierce@gmail.com · 757.843.8772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12" w:space="4"/>
      </w:pBdr>
      <w:tabs>
        <w:tab w:val="right" w:pos="9026"/>
      </w:tabs>
      <w:spacing w:after="60"/>
    </w:pPr>
    <w:r>
      <w:rPr>
        <w:rFonts w:ascii="Calibri" w:cs="Calibri" w:eastAsia="Calibri" w:hAnsi="Calibri"/>
        <w:b/>
        <w:bCs/>
        <w:color w:val="0F1A2E"/>
        <w:spacing w:val="40"/>
        <w:sz w:val="20"/>
        <w:szCs w:val="20"/>
      </w:rPr>
      <w:t xml:space="preserve">SENTINEL AERIAL INSPECTIONS</w:t>
    </w:r>
    <w:r>
      <w:rPr>
        <w:rFonts w:ascii="Calibri" w:cs="Calibri" w:eastAsia="Calibri" w:hAnsi="Calibri"/>
        <w:color w:val="B8860B"/>
        <w:sz w:val="18"/>
        <w:szCs w:val="18"/>
      </w:rPr>
      <w:t xml:space="preserve">	Capability Statement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0F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B8860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0F1A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 Capability Statement</dc:title>
  <dc:creator>Dr. Adam O. Pierce</dc:creator>
  <dc:description>SAI Capability Statement</dc:description>
  <cp:lastModifiedBy>Un-named</cp:lastModifiedBy>
  <cp:revision>1</cp:revision>
  <dcterms:created xsi:type="dcterms:W3CDTF">2026-05-25T14:39:18.334Z</dcterms:created>
  <dcterms:modified xsi:type="dcterms:W3CDTF">2026-05-25T14:39:18.334Z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