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t xml:space="preserve">Lab 3: Architectural Pattern Selection — Written Justification</w:t>
      </w:r>
    </w:p>
    <w:p>
      <w:pPr>
        <w:spacing w:after="200"/>
      </w:pPr>
      <w:r>
        <w:rPr>
          <w:b/>
          <w:bCs/>
        </w:rPr>
        <w:t xml:space="preserve">System: </w:t>
      </w:r>
      <w:r>
        <w:t xml:space="preserve">On-Demand Parcel Delivery Platform (Sender Client / Rider)</w:t>
      </w:r>
    </w:p>
    <w:p>
      <w:pPr>
        <w:spacing w:after="200"/>
      </w:pPr>
      <w:r>
        <w:rPr>
          <w:b/>
          <w:bCs/>
          <w:i/>
          <w:iCs/>
        </w:rPr>
        <w:t xml:space="preserve">We chose Microservices Architecture for the Parcel Delivery Platform System.</w:t>
      </w:r>
    </w:p>
    <w:p>
      <w:pPr>
        <w:pStyle w:val="Heading2"/>
        <w:spacing w:after="80" w:before="100"/>
      </w:pPr>
      <w:r>
        <w:t xml:space="preserve">Architectural Choice</w:t>
      </w:r>
    </w:p>
    <w:p>
      <w:pPr>
        <w:spacing w:after="200"/>
      </w:pPr>
      <w:r>
        <w:t xml:space="preserve">The platform is decomposed into independently deployable microservices — Order Manager, Payment Service, Rider Matching Service, Routing &amp; Optimization Service, and OTP Verification Service — each communicating over lightweight APIs and owning its own data.</w:t>
      </w:r>
    </w:p>
    <w:p>
      <w:pPr>
        <w:pStyle w:val="Heading2"/>
        <w:spacing w:after="80" w:before="100"/>
      </w:pPr>
      <w:r>
        <w:t xml:space="preserve">Two Reasons for This Choice</w:t>
      </w:r>
    </w:p>
    <w:p>
      <w:pPr>
        <w:spacing w:after="120"/>
      </w:pPr>
      <w:r>
        <w:rPr>
          <w:b/>
          <w:bCs/>
        </w:rPr>
        <w:t xml:space="preserve">1. Independent, uneven scaling needs. </w:t>
      </w:r>
      <w:r>
        <w:t xml:space="preserve">Rider Matching and Routing &amp; Optimization face sharp, unpredictable demand spikes during peak café-rush-hour-style ordering windows, while Payment and OTP Verification see steadier, lower-volume traffic. Microservices let each service scale horizontally on its own, so compute is spent only where the load actually is, instead of scaling one monolithic layer for the whole system.</w:t>
      </w:r>
    </w:p>
    <w:p>
      <w:pPr>
        <w:spacing w:after="200"/>
      </w:pPr>
      <w:r>
        <w:rPr>
          <w:b/>
          <w:bCs/>
        </w:rPr>
        <w:t xml:space="preserve">2. Fault isolation across critical and non-critical paths. </w:t>
      </w:r>
      <w:r>
        <w:t xml:space="preserve">Route optimization is computationally heavy and more likely to experience slowdowns or bugs than the rest of the system. In a microservices design, a fault or slow response in the Routing &amp; Optimization Service does not bring down order placement, payment processing, or OTP verification — those services keep functioning, which is essential for a live, time-sensitive delivery operation.</w:t>
      </w:r>
    </w:p>
    <w:p>
      <w:pPr>
        <w:pStyle w:val="Heading2"/>
        <w:spacing w:after="80" w:before="100"/>
      </w:pPr>
      <w:r>
        <w:t xml:space="preserve">Security Advantage</w:t>
      </w:r>
    </w:p>
    <w:p>
      <w:pPr>
        <w:spacing w:after="200"/>
      </w:pPr>
      <w:r>
        <w:t xml:space="preserve">Because each microservice owns its own data store, the OTP Verification Service can keep one-time codes and delivery-confirmation data completely isolated from the Payment Service's financial data. A breach or vulnerability in one service does not automatically expose data belonging to another — access to sensitive payment and identity-verification data can each be locked down with narrowly scoped credentials and network policies specific to that one service, rather than a single broad trust boundary around a monolith.</w:t>
      </w:r>
    </w:p>
    <w:p>
      <w:pPr>
        <w:pStyle w:val="Heading2"/>
        <w:spacing w:after="80" w:before="100"/>
      </w:pPr>
      <w:r>
        <w:t xml:space="preserve">Performance Benefit</w:t>
      </w:r>
    </w:p>
    <w:p>
      <w:pPr>
        <w:spacing w:after="100"/>
      </w:pPr>
      <w:r>
        <w:t xml:space="preserve">Independent deployability means the Rider Matching Service and Routing &amp; Optimization Service can be scaled out and optimized (e.g., additional instances, geospatial-indexed caches) during high-demand periods without redeploying or over-provisioning the entire platform. This keeps rider-assignment and route-calculation latency low precisely when responsiveness matters most, without wasting resources on components like Payment or OTP Verification that don't need the same capacity at that moment.</w:t>
      </w:r>
    </w:p>
    <w:sectPr>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2026-09-09T16:04:50.625Z</dcterms:created>
  <dcterms:modified xsi:type="dcterms:W3CDTF">2026-09-09T16:04:50.638Z</dcterms:modified>
</cp:coreProperties>
</file>

<file path=docProps/custom.xml><?xml version="1.0" encoding="utf-8"?>
<Properties xmlns="http://schemas.openxmlformats.org/officeDocument/2006/custom-properties" xmlns:vt="http://schemas.openxmlformats.org/officeDocument/2006/docPropsVTypes"/>
</file>