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ADB" w:rsidRPr="001D4727" w:rsidRDefault="009D2ADB" w:rsidP="009D2ADB">
      <w:pPr>
        <w:rPr>
          <w:rFonts w:hint="eastAsia"/>
          <w:noProof/>
        </w:rPr>
      </w:pPr>
      <w:r>
        <w:rPr>
          <w:rFonts w:hint="eastAsia"/>
          <w:noProof/>
        </w:rPr>
        <w:t xml:space="preserve">재료의 공칭강도는 콘크리트와 철근 각각 </w:t>
      </w:r>
      <w:r>
        <w:rPr>
          <w:noProof/>
        </w:rPr>
        <w:t>24MPa, 400MPa</w:t>
      </w:r>
      <w:r>
        <w:rPr>
          <w:rFonts w:hint="eastAsia"/>
          <w:noProof/>
        </w:rPr>
        <w:t xml:space="preserve">이고 비선형해석에는 이에 기대강도계수(콘크리트 </w:t>
      </w:r>
      <w:r>
        <w:rPr>
          <w:noProof/>
        </w:rPr>
        <w:t xml:space="preserve">1.2, </w:t>
      </w:r>
      <w:r>
        <w:rPr>
          <w:rFonts w:hint="eastAsia"/>
          <w:noProof/>
        </w:rPr>
        <w:t>철근 1</w:t>
      </w:r>
      <w:r>
        <w:rPr>
          <w:noProof/>
        </w:rPr>
        <w:t>.1)</w:t>
      </w:r>
      <w:r>
        <w:rPr>
          <w:rFonts w:hint="eastAsia"/>
          <w:noProof/>
        </w:rPr>
        <w:t>를 곱하여 사용하였다.</w:t>
      </w:r>
      <w:r>
        <w:rPr>
          <w:noProof/>
        </w:rPr>
        <w:t xml:space="preserve"> </w:t>
      </w:r>
      <w:r>
        <w:rPr>
          <w:rFonts w:hint="eastAsia"/>
          <w:noProof/>
        </w:rPr>
        <w:t>또한 해석에 사용되는 부재의 휨 강성운 균열의 영향을 적절히 고려하기 위해 유효강성을 적용하였으며 기둥의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휨 강성은 축력비에 따라 </w:t>
      </w:r>
      <w:r>
        <w:rPr>
          <w:noProof/>
        </w:rPr>
        <w:t>0.3</w:t>
      </w:r>
      <w:r w:rsidRPr="00603270">
        <w:rPr>
          <w:i/>
          <w:noProof/>
        </w:rPr>
        <w:t>E</w:t>
      </w:r>
      <w:r w:rsidRPr="00603270">
        <w:rPr>
          <w:i/>
          <w:noProof/>
          <w:vertAlign w:val="subscript"/>
        </w:rPr>
        <w:t>c</w:t>
      </w:r>
      <w:r w:rsidRPr="00603270">
        <w:rPr>
          <w:i/>
          <w:noProof/>
        </w:rPr>
        <w:t>I</w:t>
      </w:r>
      <w:r w:rsidRPr="00603270">
        <w:rPr>
          <w:i/>
          <w:noProof/>
          <w:vertAlign w:val="subscript"/>
        </w:rPr>
        <w:t>g</w:t>
      </w:r>
      <w:r>
        <w:rPr>
          <w:rFonts w:hint="eastAsia"/>
          <w:noProof/>
        </w:rPr>
        <w:t xml:space="preserve">와 </w:t>
      </w:r>
      <w:r>
        <w:rPr>
          <w:noProof/>
        </w:rPr>
        <w:t>0.7</w:t>
      </w:r>
      <w:r w:rsidRPr="00603270">
        <w:rPr>
          <w:i/>
          <w:noProof/>
        </w:rPr>
        <w:t>E</w:t>
      </w:r>
      <w:r w:rsidRPr="00603270">
        <w:rPr>
          <w:i/>
          <w:noProof/>
          <w:vertAlign w:val="subscript"/>
        </w:rPr>
        <w:t>c</w:t>
      </w:r>
      <w:r w:rsidRPr="00603270">
        <w:rPr>
          <w:rFonts w:hint="eastAsia"/>
          <w:i/>
          <w:noProof/>
        </w:rPr>
        <w:t>I</w:t>
      </w:r>
      <w:r w:rsidRPr="00603270">
        <w:rPr>
          <w:i/>
          <w:noProof/>
          <w:vertAlign w:val="subscript"/>
        </w:rPr>
        <w:t>g</w:t>
      </w:r>
      <w:r>
        <w:rPr>
          <w:rFonts w:hint="eastAsia"/>
          <w:noProof/>
        </w:rPr>
        <w:t>사이의 값을 선형보간 하여 사용였다.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재료의 기대강도계수 및 유효휨강성은 </w:t>
      </w:r>
      <w:r>
        <w:rPr>
          <w:noProof/>
        </w:rPr>
        <w:t>‘</w:t>
      </w:r>
      <w:r>
        <w:rPr>
          <w:rFonts w:hint="eastAsia"/>
          <w:noProof/>
        </w:rPr>
        <w:t>공동주택 성능기반 내진설계 지침(이하 지침)</w:t>
      </w:r>
      <w:r>
        <w:rPr>
          <w:noProof/>
        </w:rPr>
        <w:t>’</w:t>
      </w:r>
      <w:r>
        <w:rPr>
          <w:rFonts w:hint="eastAsia"/>
          <w:noProof/>
        </w:rPr>
        <w:t>을 참고하여 결정하였다.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중력하중의 조합은 지침에 따라 고정하중의 </w:t>
      </w:r>
      <w:r>
        <w:rPr>
          <w:noProof/>
        </w:rPr>
        <w:t>1.0</w:t>
      </w:r>
      <w:r>
        <w:rPr>
          <w:rFonts w:hint="eastAsia"/>
          <w:noProof/>
        </w:rPr>
        <w:t>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활하중의 </w:t>
      </w:r>
      <w:r>
        <w:rPr>
          <w:noProof/>
        </w:rPr>
        <w:t>0.25</w:t>
      </w:r>
      <w:r>
        <w:rPr>
          <w:rFonts w:hint="eastAsia"/>
          <w:noProof/>
        </w:rPr>
        <w:t xml:space="preserve">배로 적용하였으며 구조물의 초기 감쇠율은 </w:t>
      </w:r>
      <w:r>
        <w:rPr>
          <w:noProof/>
        </w:rPr>
        <w:t>2.5%</w:t>
      </w:r>
      <w:r>
        <w:rPr>
          <w:rFonts w:hint="eastAsia"/>
          <w:noProof/>
        </w:rPr>
        <w:t>를 사용하였다.</w:t>
      </w:r>
      <w:r>
        <w:rPr>
          <w:noProof/>
        </w:rPr>
        <w:t xml:space="preserve"> </w:t>
      </w:r>
    </w:p>
    <w:p w:rsidR="009D2ADB" w:rsidRDefault="009D2ADB" w:rsidP="009D2ADB">
      <w:pPr>
        <w:rPr>
          <w:noProof/>
        </w:rPr>
      </w:pPr>
      <w:r>
        <w:rPr>
          <w:rFonts w:hint="eastAsia"/>
          <w:noProof/>
        </w:rPr>
        <w:t>구조물의 설계하중은 건축구조기준(</w:t>
      </w:r>
      <w:r>
        <w:rPr>
          <w:noProof/>
        </w:rPr>
        <w:t xml:space="preserve">2016 KBC)에 </w:t>
      </w:r>
      <w:r>
        <w:rPr>
          <w:rFonts w:hint="eastAsia"/>
          <w:noProof/>
        </w:rPr>
        <w:t>따라 주거용 구조물의 설계하중을 적용하여,</w:t>
      </w:r>
      <w:r>
        <w:rPr>
          <w:noProof/>
        </w:rPr>
        <w:t xml:space="preserve"> </w:t>
      </w:r>
      <w:r>
        <w:rPr>
          <w:rFonts w:hint="eastAsia"/>
          <w:noProof/>
        </w:rPr>
        <w:t>기준층(</w:t>
      </w:r>
      <w:r>
        <w:rPr>
          <w:noProof/>
        </w:rPr>
        <w:t>2~4)</w:t>
      </w:r>
      <w:r>
        <w:rPr>
          <w:rFonts w:hint="eastAsia"/>
          <w:noProof/>
        </w:rPr>
        <w:t xml:space="preserve">에는 고정하중 </w:t>
      </w:r>
      <w:r>
        <w:rPr>
          <w:noProof/>
        </w:rPr>
        <w:t xml:space="preserve">6.2kPa, </w:t>
      </w:r>
      <w:r>
        <w:rPr>
          <w:rFonts w:hint="eastAsia"/>
          <w:noProof/>
        </w:rPr>
        <w:t xml:space="preserve">활하중 </w:t>
      </w:r>
      <w:r>
        <w:rPr>
          <w:noProof/>
        </w:rPr>
        <w:t>3.0kPa</w:t>
      </w:r>
      <w:r>
        <w:rPr>
          <w:rFonts w:hint="eastAsia"/>
          <w:noProof/>
        </w:rPr>
        <w:t>을 적용하고,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지붕층은 고정하중 </w:t>
      </w:r>
      <w:r>
        <w:rPr>
          <w:noProof/>
        </w:rPr>
        <w:t xml:space="preserve">7.12kPa, </w:t>
      </w:r>
      <w:r>
        <w:rPr>
          <w:rFonts w:hint="eastAsia"/>
          <w:noProof/>
        </w:rPr>
        <w:t xml:space="preserve">활하중 </w:t>
      </w:r>
      <w:r>
        <w:rPr>
          <w:noProof/>
        </w:rPr>
        <w:t>3.0kPa</w:t>
      </w:r>
      <w:r>
        <w:rPr>
          <w:rFonts w:hint="eastAsia"/>
          <w:noProof/>
        </w:rPr>
        <w:t>의 하중을 적용하였다.</w:t>
      </w:r>
      <w:r>
        <w:rPr>
          <w:noProof/>
        </w:rPr>
        <w:t xml:space="preserve"> </w:t>
      </w:r>
    </w:p>
    <w:p w:rsidR="009D2ADB" w:rsidRDefault="009D2ADB" w:rsidP="009D2ADB">
      <w:pPr>
        <w:rPr>
          <w:rFonts w:ascii="Times New Roman" w:hAnsi="Times New Roman" w:cs="Times New Roman"/>
          <w:noProof/>
        </w:rPr>
      </w:pPr>
      <w:r>
        <w:rPr>
          <w:rFonts w:hint="eastAsia"/>
          <w:noProof/>
        </w:rPr>
        <w:t xml:space="preserve">필로티형 건물의 비선형 거동은 </w:t>
      </w:r>
      <w:r>
        <w:rPr>
          <w:noProof/>
        </w:rPr>
        <w:t>1</w:t>
      </w:r>
      <w:r>
        <w:rPr>
          <w:rFonts w:hint="eastAsia"/>
          <w:noProof/>
        </w:rPr>
        <w:t xml:space="preserve">층에 집중되는 점을 고려하여 각 부재의 비선형 속성은 </w:t>
      </w:r>
      <w:r>
        <w:rPr>
          <w:noProof/>
        </w:rPr>
        <w:t>1</w:t>
      </w:r>
      <w:r>
        <w:rPr>
          <w:rFonts w:hint="eastAsia"/>
          <w:noProof/>
        </w:rPr>
        <w:t xml:space="preserve">층의 기둥에만 입력하였으며 </w:t>
      </w:r>
      <w:r>
        <w:rPr>
          <w:noProof/>
        </w:rPr>
        <w:t>2</w:t>
      </w:r>
      <w:r>
        <w:rPr>
          <w:rFonts w:hint="eastAsia"/>
          <w:noProof/>
        </w:rPr>
        <w:t>층 이상의 벽체 및 보는 모두 탄성으로 입력하였다.</w:t>
      </w:r>
      <w:r>
        <w:rPr>
          <w:noProof/>
        </w:rPr>
        <w:t xml:space="preserve"> ASCE 41-13</w:t>
      </w:r>
      <w:r>
        <w:rPr>
          <w:rFonts w:hint="eastAsia"/>
          <w:noProof/>
        </w:rPr>
        <w:t>에서는 기둥의 비선형 속성을 정의하기 위해 전단철근상세와 전단능력의 비율(</w:t>
      </w:r>
      <w:r>
        <w:rPr>
          <w:noProof/>
        </w:rPr>
        <w:t>Shear capacity ratio)</w:t>
      </w:r>
      <w:r>
        <w:rPr>
          <w:rFonts w:hint="eastAsia"/>
          <w:noProof/>
        </w:rPr>
        <w:t>에 따른 조건을 결정한다.</w:t>
      </w:r>
      <w:r>
        <w:rPr>
          <w:noProof/>
        </w:rPr>
        <w:t xml:space="preserve"> </w:t>
      </w:r>
      <w:r>
        <w:rPr>
          <w:rFonts w:hint="eastAsia"/>
          <w:noProof/>
        </w:rPr>
        <w:t>전단능력의 비율은 휨 항복에 의한 요구전단력(</w:t>
      </w:r>
      <w:r w:rsidRPr="0093179C">
        <w:rPr>
          <w:i/>
          <w:noProof/>
        </w:rPr>
        <w:t>V</w:t>
      </w:r>
      <w:r w:rsidRPr="0093179C">
        <w:rPr>
          <w:i/>
          <w:noProof/>
          <w:vertAlign w:val="subscript"/>
        </w:rPr>
        <w:t>p</w:t>
      </w:r>
      <w:r>
        <w:rPr>
          <w:noProof/>
        </w:rPr>
        <w:t>)</w:t>
      </w:r>
      <w:r>
        <w:rPr>
          <w:rFonts w:hint="eastAsia"/>
          <w:noProof/>
        </w:rPr>
        <w:t>과 기둥의 전단강도(</w:t>
      </w:r>
      <w:r w:rsidRPr="0093179C">
        <w:rPr>
          <w:i/>
          <w:noProof/>
        </w:rPr>
        <w:t>V</w:t>
      </w:r>
      <w:r w:rsidRPr="0093179C">
        <w:rPr>
          <w:i/>
          <w:noProof/>
          <w:vertAlign w:val="subscript"/>
        </w:rPr>
        <w:t>0</w:t>
      </w:r>
      <w:r>
        <w:rPr>
          <w:noProof/>
        </w:rPr>
        <w:t>)</w:t>
      </w:r>
      <w:r>
        <w:rPr>
          <w:rFonts w:hint="eastAsia"/>
          <w:noProof/>
        </w:rPr>
        <w:t>의 비이며 본 논문의 필로티 건물의 기둥은 휨 항복 이전에 전단파괴가 먼저 발생하는 것으로 나타났다.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이에 따라 조건 </w:t>
      </w:r>
      <w:r>
        <w:rPr>
          <w:noProof/>
        </w:rPr>
        <w:t>3(</w:t>
      </w:r>
      <w:r>
        <w:rPr>
          <w:rFonts w:hint="eastAsia"/>
          <w:noProof/>
        </w:rPr>
        <w:t xml:space="preserve">전단지배)으로 분류하여 모델링 파라메터를 사용하였다. 이때 기둥의 전단철근은 모두 </w:t>
      </w:r>
      <w:r>
        <w:rPr>
          <w:noProof/>
        </w:rPr>
        <w:t>90</w:t>
      </w:r>
      <w:r>
        <w:rPr>
          <w:rFonts w:ascii="Times New Roman" w:hAnsi="Times New Roman" w:cs="Times New Roman"/>
          <w:noProof/>
        </w:rPr>
        <w:t>°</w:t>
      </w:r>
      <w:r>
        <w:rPr>
          <w:rFonts w:ascii="Times New Roman" w:hAnsi="Times New Roman" w:cs="Times New Roman" w:hint="eastAsia"/>
          <w:noProof/>
        </w:rPr>
        <w:t>후프철근을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사용한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것으로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가정하였다</w:t>
      </w:r>
      <w:r>
        <w:rPr>
          <w:rFonts w:ascii="Times New Roman" w:hAnsi="Times New Roman" w:cs="Times New Roman" w:hint="eastAsia"/>
          <w:noProof/>
        </w:rPr>
        <w:t xml:space="preserve">. </w:t>
      </w:r>
    </w:p>
    <w:p w:rsidR="009D2ADB" w:rsidRPr="0024175F" w:rsidRDefault="009D2ADB" w:rsidP="009D2ADB">
      <w:pPr>
        <w:rPr>
          <w:rFonts w:ascii="Times New Roman" w:hAnsi="Times New Roman" w:cs="Times New Roman" w:hint="eastAsia"/>
          <w:noProof/>
        </w:rPr>
      </w:pPr>
      <w:r>
        <w:rPr>
          <w:rFonts w:ascii="Times New Roman" w:hAnsi="Times New Roman" w:cs="Times New Roman" w:hint="eastAsia"/>
          <w:noProof/>
        </w:rPr>
        <w:t>여기에서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사용된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힌지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모델은</w:t>
      </w:r>
      <w:r>
        <w:rPr>
          <w:rFonts w:ascii="Times New Roman" w:hAnsi="Times New Roman" w:cs="Times New Roman" w:hint="eastAsia"/>
          <w:noProof/>
        </w:rPr>
        <w:t xml:space="preserve"> M</w:t>
      </w:r>
      <w:r>
        <w:rPr>
          <w:rFonts w:ascii="Times New Roman" w:hAnsi="Times New Roman" w:cs="Times New Roman"/>
          <w:noProof/>
        </w:rPr>
        <w:t>oment hinge</w:t>
      </w:r>
      <w:r>
        <w:rPr>
          <w:rFonts w:ascii="Times New Roman" w:hAnsi="Times New Roman" w:cs="Times New Roman" w:hint="eastAsia"/>
          <w:noProof/>
        </w:rPr>
        <w:t>를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사용하였고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힌지의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이력곡선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모델은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철근콘크리트의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비선형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거동에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주로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사용되는</w:t>
      </w:r>
      <w:r>
        <w:rPr>
          <w:rFonts w:ascii="Times New Roman" w:hAnsi="Times New Roman" w:cs="Times New Roman" w:hint="eastAsia"/>
          <w:noProof/>
        </w:rPr>
        <w:t xml:space="preserve"> T</w:t>
      </w:r>
      <w:r>
        <w:rPr>
          <w:rFonts w:ascii="Times New Roman" w:hAnsi="Times New Roman" w:cs="Times New Roman"/>
          <w:noProof/>
        </w:rPr>
        <w:t>akeda model</w:t>
      </w:r>
      <w:r>
        <w:rPr>
          <w:rFonts w:ascii="Times New Roman" w:hAnsi="Times New Roman" w:cs="Times New Roman" w:hint="eastAsia"/>
          <w:noProof/>
        </w:rPr>
        <w:t>을</w:t>
      </w:r>
      <w:r>
        <w:rPr>
          <w:rFonts w:ascii="Times New Roman" w:hAnsi="Times New Roman" w:cs="Times New Roman" w:hint="eastAsia"/>
          <w:noProof/>
        </w:rPr>
        <w:t xml:space="preserve"> </w:t>
      </w:r>
      <w:r>
        <w:rPr>
          <w:rFonts w:ascii="Times New Roman" w:hAnsi="Times New Roman" w:cs="Times New Roman" w:hint="eastAsia"/>
          <w:noProof/>
        </w:rPr>
        <w:t>적용하였다</w:t>
      </w:r>
      <w:r>
        <w:rPr>
          <w:rFonts w:ascii="Times New Roman" w:hAnsi="Times New Roman" w:cs="Times New Roman" w:hint="eastAsia"/>
          <w:noProof/>
        </w:rPr>
        <w:t>.</w:t>
      </w:r>
    </w:p>
    <w:p w:rsidR="009D2ADB" w:rsidRDefault="009D2ADB" w:rsidP="009D2ADB">
      <w:pPr>
        <w:rPr>
          <w:noProof/>
        </w:rPr>
      </w:pPr>
      <w:r>
        <w:rPr>
          <w:rFonts w:hint="eastAsia"/>
          <w:noProof/>
        </w:rPr>
        <w:t xml:space="preserve">해당 모델의 고유치해석결과를 </w:t>
      </w:r>
      <w:r>
        <w:rPr>
          <w:noProof/>
        </w:rPr>
        <w:t>Table</w:t>
      </w:r>
      <w:r>
        <w:rPr>
          <w:rFonts w:hint="eastAsia"/>
          <w:noProof/>
        </w:rPr>
        <w:t>에 정리하였다.</w:t>
      </w:r>
      <w:r>
        <w:rPr>
          <w:noProof/>
        </w:rPr>
        <w:t xml:space="preserve"> </w:t>
      </w:r>
    </w:p>
    <w:p w:rsidR="00BF14B6" w:rsidRDefault="00BF14B6" w:rsidP="009D2ADB">
      <w:pPr>
        <w:rPr>
          <w:noProof/>
        </w:rPr>
      </w:pPr>
      <w:r>
        <w:rPr>
          <w:rFonts w:hint="eastAsia"/>
          <w:noProof/>
        </w:rPr>
        <w:t xml:space="preserve">Table </w:t>
      </w:r>
      <w:r>
        <w:rPr>
          <w:noProof/>
        </w:rPr>
        <w:t>Eigenvalue Results</w:t>
      </w:r>
      <w:bookmarkStart w:id="0" w:name="_GoBack"/>
      <w:bookmarkEnd w:id="0"/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2ADB" w:rsidTr="00AA5060">
        <w:tc>
          <w:tcPr>
            <w:tcW w:w="180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Mode</w:t>
            </w:r>
          </w:p>
        </w:tc>
        <w:tc>
          <w:tcPr>
            <w:tcW w:w="1803" w:type="dxa"/>
            <w:vMerge w:val="restart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Period (sec)</w:t>
            </w:r>
          </w:p>
        </w:tc>
        <w:tc>
          <w:tcPr>
            <w:tcW w:w="5410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Mass Participation Factor</w:t>
            </w:r>
          </w:p>
        </w:tc>
      </w:tr>
      <w:tr w:rsidR="009D2ADB" w:rsidTr="00AA5060">
        <w:tc>
          <w:tcPr>
            <w:tcW w:w="1803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1803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</w:p>
        </w:tc>
        <w:tc>
          <w:tcPr>
            <w:tcW w:w="18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UX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UY</w:t>
            </w:r>
          </w:p>
        </w:tc>
        <w:tc>
          <w:tcPr>
            <w:tcW w:w="180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RZ</w:t>
            </w:r>
          </w:p>
        </w:tc>
      </w:tr>
      <w:tr w:rsidR="009D2ADB" w:rsidTr="00AA5060"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0.44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0.1373</w:t>
            </w:r>
          </w:p>
        </w:tc>
        <w:tc>
          <w:tcPr>
            <w:tcW w:w="1803" w:type="dxa"/>
            <w:tcBorders>
              <w:top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0.5378</w:t>
            </w:r>
          </w:p>
        </w:tc>
        <w:tc>
          <w:tcPr>
            <w:tcW w:w="1804" w:type="dxa"/>
            <w:tcBorders>
              <w:top w:val="single" w:sz="12" w:space="0" w:color="auto"/>
            </w:tcBorders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0.3237</w:t>
            </w:r>
          </w:p>
        </w:tc>
      </w:tr>
      <w:tr w:rsidR="009D2ADB" w:rsidTr="00AA5060"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0.192</w:t>
            </w:r>
          </w:p>
        </w:tc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0.794</w:t>
            </w:r>
          </w:p>
        </w:tc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0.0624</w:t>
            </w:r>
          </w:p>
        </w:tc>
        <w:tc>
          <w:tcPr>
            <w:tcW w:w="1804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0.0683</w:t>
            </w:r>
          </w:p>
        </w:tc>
      </w:tr>
      <w:tr w:rsidR="009D2ADB" w:rsidTr="00AA5060"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0.173</w:t>
            </w:r>
          </w:p>
        </w:tc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0.0066</w:t>
            </w:r>
          </w:p>
        </w:tc>
        <w:tc>
          <w:tcPr>
            <w:tcW w:w="1803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0.2839</w:t>
            </w:r>
          </w:p>
        </w:tc>
        <w:tc>
          <w:tcPr>
            <w:tcW w:w="1804" w:type="dxa"/>
            <w:vAlign w:val="center"/>
          </w:tcPr>
          <w:p w:rsidR="009D2ADB" w:rsidRDefault="009D2ADB" w:rsidP="003E35A9">
            <w:pPr>
              <w:jc w:val="center"/>
              <w:rPr>
                <w:rFonts w:hint="eastAsia"/>
                <w:noProof/>
              </w:rPr>
            </w:pPr>
            <w:r>
              <w:rPr>
                <w:noProof/>
              </w:rPr>
              <w:t>0.4462</w:t>
            </w:r>
          </w:p>
        </w:tc>
      </w:tr>
    </w:tbl>
    <w:p w:rsidR="001C45B0" w:rsidRDefault="001C45B0"/>
    <w:sectPr w:rsidR="001C45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wtTQ0MzQ0NTQwMDZW0lEKTi0uzszPAykwrAUAmeewGSwAAAA="/>
  </w:docVars>
  <w:rsids>
    <w:rsidRoot w:val="009D2ADB"/>
    <w:rsid w:val="00087C5C"/>
    <w:rsid w:val="001C45B0"/>
    <w:rsid w:val="002F6F17"/>
    <w:rsid w:val="00437FB3"/>
    <w:rsid w:val="00486185"/>
    <w:rsid w:val="005B4B8F"/>
    <w:rsid w:val="009D2ADB"/>
    <w:rsid w:val="00AA5060"/>
    <w:rsid w:val="00AF323C"/>
    <w:rsid w:val="00B61F6C"/>
    <w:rsid w:val="00BE56E6"/>
    <w:rsid w:val="00BF14B6"/>
    <w:rsid w:val="00BF6914"/>
    <w:rsid w:val="00EB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B658"/>
  <w15:chartTrackingRefBased/>
  <w15:docId w15:val="{8B898ECC-D7F4-4F8D-B6E2-07D6788A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AD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전수찬</dc:creator>
  <cp:keywords/>
  <dc:description/>
  <cp:lastModifiedBy>전수찬</cp:lastModifiedBy>
  <cp:revision>3</cp:revision>
  <dcterms:created xsi:type="dcterms:W3CDTF">2018-09-10T13:19:00Z</dcterms:created>
  <dcterms:modified xsi:type="dcterms:W3CDTF">2018-09-10T13:20:00Z</dcterms:modified>
</cp:coreProperties>
</file>