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0"/>
        </w:rPr>
        <w:t>RECOMMENDATION FOR SPS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8"/>
        </w:rPr>
        <w:t>Hybrid LLM + ML Topic Modeling</w:t>
      </w:r>
    </w:p>
    <w:p>
      <w:pPr>
        <w:spacing w:after="240"/>
      </w:pPr>
      <w:r>
        <w:rPr>
          <w:rFonts w:ascii="Calibri" w:hAnsi="Calibri"/>
          <w:b w:val="0"/>
          <w:i w:val="0"/>
          <w:color w:val="5F6B76"/>
          <w:sz w:val="25"/>
        </w:rPr>
        <w:t>A more accurate, evidence-grounded approach to understanding multi-issue service calls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21"/>
        </w:rPr>
        <w:t xml:space="preserve">Prepared for: </w:t>
      </w:r>
      <w:r>
        <w:rPr>
          <w:rFonts w:ascii="Calibri" w:hAnsi="Calibri"/>
          <w:b w:val="0"/>
          <w:i w:val="0"/>
          <w:color w:val="000000"/>
          <w:sz w:val="21"/>
        </w:rPr>
        <w:t>SPS Chief Technology Officer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21"/>
        </w:rPr>
        <w:t xml:space="preserve">Prepared by: </w:t>
      </w:r>
      <w:r>
        <w:rPr>
          <w:rFonts w:ascii="Calibri" w:hAnsi="Calibri"/>
          <w:b w:val="0"/>
          <w:i w:val="0"/>
          <w:color w:val="000000"/>
          <w:sz w:val="21"/>
        </w:rPr>
        <w:t>Call Insights Capstone Team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21"/>
        </w:rPr>
        <w:t xml:space="preserve">Status: </w:t>
      </w:r>
      <w:r>
        <w:rPr>
          <w:rFonts w:ascii="Calibri" w:hAnsi="Calibri"/>
          <w:b w:val="0"/>
          <w:i w:val="0"/>
          <w:color w:val="000000"/>
          <w:sz w:val="21"/>
        </w:rPr>
        <w:t>Prototype validated on a blind synthetic benchmark; SPS pilot required</w:t>
      </w:r>
    </w:p>
    <w:p>
      <w:pPr>
        <w:spacing w:before="200" w:after="200"/>
        <w:ind w:left="259" w:right="144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0B2545"/>
          <w:sz w:val="23"/>
        </w:rPr>
        <w:t xml:space="preserve">Recommendation. </w:t>
      </w:r>
      <w:r>
        <w:rPr>
          <w:rFonts w:ascii="Calibri" w:hAnsi="Calibri"/>
          <w:b w:val="0"/>
          <w:i w:val="0"/>
          <w:color w:val="0B2545"/>
          <w:sz w:val="23"/>
        </w:rPr>
        <w:t>Use an LLM to understand and separate customer problems, ML embeddings to retrieve approved topic candidates, and a second constrained LLM decision to select or reject the topic with transcript evidence.</w:t>
      </w:r>
    </w:p>
    <w:p>
      <w:pPr>
        <w:pStyle w:val="Heading1"/>
      </w:pPr>
      <w:r>
        <w:t>What We Tried First</w:t>
      </w:r>
    </w:p>
    <w:p>
      <w:pPr>
        <w:spacing w:after="160"/>
      </w:pPr>
      <w:r>
        <w:t>We first tested traditional machine-learning and rule-based methods on the same held-out problem statements. They were fast and useful as baselines, but paraphrases and multi-problem calls reduced reliability.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820"/>
        <w:gridCol w:w="1500"/>
        <w:gridCol w:w="1740"/>
      </w:tblGrid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Method</w:t>
            </w:r>
          </w:p>
        </w:tc>
        <w:tc>
          <w:tcPr>
            <w:tcW w:type="dxa" w:w="38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Role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Issue F1</w:t>
            </w:r>
          </w:p>
        </w:tc>
        <w:tc>
          <w:tcPr>
            <w:tcW w:type="dxa" w:w="1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Multi-issue exact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Taxonomy rules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Interpretable baseline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0.830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71.4%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Character + word TF-IDF</w:t>
            </w:r>
          </w:p>
        </w:tc>
        <w:tc>
          <w:tcPr>
            <w:tcW w:type="dxa" w:w="38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Learned lexical model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0.640</w:t>
            </w:r>
          </w:p>
        </w:tc>
        <w:tc>
          <w:tcPr>
            <w:tcW w:type="dxa" w:w="17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42.9%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LSA semantic model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Classical semantic baseline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0.575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42.9%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Existing keyphrases</w:t>
            </w:r>
          </w:p>
        </w:tc>
        <w:tc>
          <w:tcPr>
            <w:tcW w:type="dxa" w:w="38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Free-form labels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0.000</w:t>
            </w:r>
          </w:p>
        </w:tc>
        <w:tc>
          <w:tcPr>
            <w:tcW w:type="dxa" w:w="17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0.0%</w:t>
            </w:r>
          </w:p>
        </w:tc>
      </w:tr>
    </w:tbl>
    <w:p>
      <w:pPr>
        <w:spacing w:before="80" w:after="0"/>
      </w:pPr>
      <w:r>
        <w:rPr>
          <w:rFonts w:ascii="Calibri" w:hAnsi="Calibri"/>
          <w:b w:val="0"/>
          <w:i/>
          <w:color w:val="5F6B76"/>
          <w:sz w:val="17"/>
        </w:rPr>
        <w:t>F1 measures balanced accuracy across all topic classes. Traditional methods were given the correct segment boundaries.</w:t>
      </w:r>
    </w:p>
    <w:p>
      <w:pPr>
        <w:pStyle w:val="Heading1"/>
      </w:pPr>
      <w:r>
        <w:t>What Changed With the Hybrid Approach</w:t>
      </w:r>
    </w:p>
    <w:p>
      <w:pPr>
        <w:spacing w:after="160"/>
      </w:pPr>
      <w:r>
        <w:t>Codex agents then performed the LLM reasoning stage on a blind transcript-only test set. The hybrid process found the issue boundaries, interpreted each customer goal, mapped it to the stable taxonomy, and cited the supporting customer turns.</w:t>
      </w:r>
    </w:p>
    <w:p>
      <w:pPr>
        <w:spacing w:before="40" w:after="120"/>
        <w:pBdr>
          <w:left w:val="single" w:sz="14" w:space="8" w:color="1F4D78"/>
        </w:pBdr>
      </w:pPr>
      <w:r>
        <w:rPr>
          <w:rFonts w:ascii="Calibri" w:hAnsi="Calibri"/>
          <w:b/>
          <w:i w:val="0"/>
          <w:color w:val="0B2545"/>
          <w:sz w:val="24"/>
        </w:rPr>
        <w:t xml:space="preserve">Blind benchmark result: </w:t>
      </w:r>
      <w:r>
        <w:rPr>
          <w:rFonts w:ascii="Calibri" w:hAnsi="Calibri"/>
          <w:b w:val="0"/>
          <w:i w:val="0"/>
          <w:color w:val="0B2545"/>
          <w:sz w:val="24"/>
        </w:rPr>
        <w:t>28 calls, 46 issue segments, 100% issue-count accuracy, 1.000 topic macro-F1, and 100% valid evidence turns.</w:t>
      </w:r>
    </w:p>
    <w:p>
      <w:pPr>
        <w:spacing w:after="0"/>
      </w:pPr>
      <w:r>
        <w:rPr>
          <w:rFonts w:ascii="Calibri" w:hAnsi="Calibri"/>
          <w:b/>
          <w:i w:val="0"/>
          <w:color w:val="7A5A00"/>
          <w:sz w:val="21"/>
        </w:rPr>
        <w:t xml:space="preserve">Important limitation: </w:t>
      </w:r>
      <w:r>
        <w:rPr>
          <w:rFonts w:ascii="Calibri" w:hAnsi="Calibri"/>
          <w:b w:val="0"/>
          <w:i w:val="0"/>
          <w:color w:val="7A5A00"/>
          <w:sz w:val="21"/>
        </w:rPr>
        <w:t>These are synthetic six-topic results. They validate the workflow, not production accuracy on SPS calls.</w:t>
      </w:r>
    </w:p>
    <w:p>
      <w:r>
        <w:br w:type="page"/>
      </w:r>
    </w:p>
    <w:p>
      <w:pPr>
        <w:pStyle w:val="Heading1"/>
      </w:pPr>
      <w:r>
        <w:t>How the Recommended System Works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LLM segmentation. </w:t>
      </w:r>
      <w:r>
        <w:rPr>
          <w:rFonts w:ascii="Calibri" w:hAnsi="Calibri"/>
          <w:b w:val="0"/>
          <w:i w:val="0"/>
          <w:color w:val="000000"/>
          <w:sz w:val="22"/>
        </w:rPr>
        <w:t>Reads the full numbered transcript and separates genuinely different customer problems while keeping one long problem together.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ML retrieval. </w:t>
      </w:r>
      <w:r>
        <w:rPr>
          <w:rFonts w:ascii="Calibri" w:hAnsi="Calibri"/>
          <w:b w:val="0"/>
          <w:i w:val="0"/>
          <w:color w:val="000000"/>
          <w:sz w:val="22"/>
        </w:rPr>
        <w:t>Creates a semantic embedding for each problem and retrieves the closest approved SPS topics.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LLM reranking. </w:t>
      </w:r>
      <w:r>
        <w:rPr>
          <w:rFonts w:ascii="Calibri" w:hAnsi="Calibri"/>
          <w:b w:val="0"/>
          <w:i w:val="0"/>
          <w:color w:val="000000"/>
          <w:sz w:val="22"/>
        </w:rPr>
        <w:t>Uses the original conversation context to choose among candidates or return unknown_new_issue.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Evidence validation. </w:t>
      </w:r>
      <w:r>
        <w:rPr>
          <w:rFonts w:ascii="Calibri" w:hAnsi="Calibri"/>
          <w:b w:val="0"/>
          <w:i w:val="0"/>
          <w:color w:val="000000"/>
          <w:sz w:val="22"/>
        </w:rPr>
        <w:t>Rejects unsupported labels, overlapping spans, low-confidence decisions, and evidence outside the customer segment.</w:t>
      </w:r>
    </w:p>
    <w:p>
      <w:pPr>
        <w:pStyle w:val="Heading1"/>
      </w:pPr>
      <w:r>
        <w:t>Why It Performs Better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21"/>
        </w:rPr>
        <w:t xml:space="preserve">Meaning over matching: </w:t>
      </w:r>
      <w:r>
        <w:rPr>
          <w:rFonts w:ascii="Calibri" w:hAnsi="Calibri"/>
          <w:b w:val="0"/>
          <w:i w:val="0"/>
          <w:color w:val="000000"/>
          <w:sz w:val="21"/>
        </w:rPr>
        <w:t>The LLM distinguishes “payment sent but not posted” from “autopay never withdrew,” even though both mention payments and banks.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21"/>
        </w:rPr>
        <w:t xml:space="preserve">Stable business categories: </w:t>
      </w:r>
      <w:r>
        <w:rPr>
          <w:rFonts w:ascii="Calibri" w:hAnsi="Calibri"/>
          <w:b w:val="0"/>
          <w:i w:val="0"/>
          <w:color w:val="000000"/>
          <w:sz w:val="21"/>
        </w:rPr>
        <w:t>Embeddings constrain decisions to an approved taxonomy instead of creating a new phrase for every call.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21"/>
        </w:rPr>
        <w:t xml:space="preserve">Safe uncertainty: </w:t>
      </w:r>
      <w:r>
        <w:rPr>
          <w:rFonts w:ascii="Calibri" w:hAnsi="Calibri"/>
          <w:b w:val="0"/>
          <w:i w:val="0"/>
          <w:color w:val="000000"/>
          <w:sz w:val="21"/>
        </w:rPr>
        <w:t>Low-confidence or unfamiliar problems are abstained and routed to discovery and human review.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21"/>
        </w:rPr>
        <w:t xml:space="preserve">Traceability: </w:t>
      </w:r>
      <w:r>
        <w:rPr>
          <w:rFonts w:ascii="Calibri" w:hAnsi="Calibri"/>
          <w:b w:val="0"/>
          <w:i w:val="0"/>
          <w:color w:val="000000"/>
          <w:sz w:val="21"/>
        </w:rPr>
        <w:t>Every topic must point back to exact customer turns before it enters analytics or reporting.</w:t>
      </w:r>
    </w:p>
    <w:p>
      <w:pPr>
        <w:pStyle w:val="Heading1"/>
      </w:pPr>
      <w:r>
        <w:t>Proposed SPS Pilot</w:t>
      </w:r>
    </w:p>
    <w:p>
      <w:pPr>
        <w:spacing w:after="120"/>
      </w:pPr>
      <w:r>
        <w:t>Run the same blind evaluation inside SPS using 50–100 anonymized, human-labeled calls and the exact model intended for deployment.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SPS provides the approved model, GPU endpoint, transcript schema, and labeling guidance.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Call Insights runs both local batch and OpenAI-compatible server modes with identical structured outputs.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Acceptance measures include boundary accuracy, per-topic F1, unknown-topic recall, calibration, and 100% evidence validity.</w:t>
      </w:r>
    </w:p>
    <w:p>
      <w:pPr>
        <w:spacing w:before="160" w:after="0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0B2545"/>
          <w:sz w:val="23"/>
        </w:rPr>
        <w:t xml:space="preserve">Decision requested. </w:t>
      </w:r>
      <w:r>
        <w:rPr>
          <w:rFonts w:ascii="Calibri" w:hAnsi="Calibri"/>
          <w:b w:val="0"/>
          <w:i w:val="0"/>
          <w:color w:val="0B2545"/>
          <w:sz w:val="23"/>
        </w:rPr>
        <w:t>Approve a small, on-premises SPS pilot before expanding UI or hologram work. The next milestone is reliable topic segmentation and evidence on real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B76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B76"/>
        <w:sz w:val="18"/>
      </w:rPr>
      <w:t>CALL INSIGHTS  |  TECHNICAL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