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Atomic BeSci Skills — IL Contribution Candidates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40d9258ec1d2a85e1d335e721079d9ce66af961"/>
      <w:r>
        <w:t xml:space="preserve">Atomic BeSci Skills — IL Contribution Candidates</w:t>
      </w:r>
      <w:bookmarkEnd w:id="20"/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The shared TAF × IL behavioral science skills repo (Zezhen’s open call)</w:t>
      </w:r>
      <w:r>
        <w:t xml:space="preserve"> </w:t>
      </w:r>
      <w:r>
        <w:rPr>
          <w:b/>
        </w:rPr>
        <w:t xml:space="preserve">From:</w:t>
      </w:r>
      <w:r>
        <w:t xml:space="preserve"> </w:t>
      </w:r>
      <w:r>
        <w:t xml:space="preserve">Irrational Labs (Nikhil + team)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June 2026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Draft for voting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read-this-doc"/>
      <w:r>
        <w:t xml:space="preserve">How to read this doc</w:t>
      </w:r>
      <w:bookmarkEnd w:id="21"/>
    </w:p>
    <w:p>
      <w:pPr>
        <w:pStyle w:val="FirstParagraph"/>
      </w:pPr>
      <w:r>
        <w:t xml:space="preserve">Below are</w:t>
      </w:r>
      <w:r>
        <w:t xml:space="preserve"> </w:t>
      </w:r>
      <w:r>
        <w:rPr>
          <w:b/>
        </w:rPr>
        <w:t xml:space="preserve">22 candidate skills — 21 atomic, plus one deliberate composite</w:t>
      </w:r>
      <w:r>
        <w:t xml:space="preserve"> </w:t>
      </w:r>
      <w:r>
        <w:t xml:space="preserve">— each written in Zezhen’s five-field template (</w:t>
      </w:r>
      <w:r>
        <w:rPr>
          <w:i/>
        </w:rPr>
        <w:t xml:space="preserve">what it does / when it should be used / what it draws on / what it outputs / where it goes wrong</w:t>
      </w:r>
      <w:r>
        <w:t xml:space="preserve">). They are chunked by where they sit in an NGO program team’s workflow, because that’s how a program designer or PM will reach for them — mid-task, not mid-literature-review.</w:t>
      </w:r>
    </w:p>
    <w:p>
      <w:pPr>
        <w:pStyle w:val="BodyText"/>
      </w:pPr>
      <w:r>
        <w:t xml:space="preserve">Three things we did deliberately: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Every citation is peer-reviewed and post-2000</w:t>
      </w:r>
      <w:r>
        <w:t xml:space="preserve">, and every one was independently verified (authors, year, journal, headline numbers) before going in this doc. Where a finding has a published critique or failed replication, we say so in the skill itself — that’s a feature, not a footnote.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Atomicity is enforced</w:t>
      </w:r>
      <w:r>
        <w:t xml:space="preserve">: each skill is one operation, describable in one sentence without</w:t>
      </w:r>
      <w:r>
        <w:t xml:space="preserve"> </w:t>
      </w:r>
      <w:r>
        <w:t xml:space="preserve">“</w:t>
      </w:r>
      <w:r>
        <w:t xml:space="preserve">and</w:t>
      </w:r>
      <w:r>
        <w:t xml:space="preserve">”</w:t>
      </w:r>
      <w:r>
        <w:t xml:space="preserve">. Where a candidate idea was secretly a workflow, we split it. The single exception — S22, an experiment-design walkthrough — is a composite by design, flagged as such, and exists because the atoms need one front door.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skill gives a definitive answer.</w:t>
      </w:r>
      <w:r>
        <w:t xml:space="preserve"> </w:t>
      </w:r>
      <w:r>
        <w:t xml:space="preserve">Every skill outputs a</w:t>
      </w:r>
      <w:r>
        <w:t xml:space="preserve"> </w:t>
      </w:r>
      <w:r>
        <w:rPr>
          <w:i/>
        </w:rPr>
        <w:t xml:space="preserve">ranked set of options with tradeoffs</w:t>
      </w:r>
      <w:r>
        <w:t xml:space="preserve"> </w:t>
      </w:r>
      <w:r>
        <w:t xml:space="preserve">plus the</w:t>
      </w:r>
      <w:r>
        <w:t xml:space="preserve"> </w:t>
      </w:r>
      <w:r>
        <w:rPr>
          <w:i/>
        </w:rPr>
        <w:t xml:space="preserve">cheapest validation step</w:t>
      </w:r>
      <w:r>
        <w:t xml:space="preserve"> </w:t>
      </w:r>
      <w:r>
        <w:t xml:space="preserve">(an A/B arm, a 5-user qual check, or a base-rate lookup). The skills are designed for the stated user — a program designer or PM at an NGO</w:t>
      </w:r>
      <w:r>
        <w:t xml:space="preserve"> </w:t>
      </w:r>
      <w:r>
        <w:rPr>
          <w:i/>
        </w:rPr>
        <w:t xml:space="preserve">without a behavioral scientist in the room</w:t>
      </w:r>
      <w:r>
        <w:t xml:space="preserve"> </w:t>
      </w:r>
      <w:r>
        <w:t xml:space="preserve">— which means the guardrails have to live inside the skill.</w:t>
      </w:r>
    </w:p>
    <w:p>
      <w:pPr>
        <w:pStyle w:val="FirstParagraph"/>
      </w:pPr>
      <w:r>
        <w:t xml:space="preserve">At the end: three things IL can contribute essentially immediately, our proposed top-8 shortlist for the vote, a collision map against already-claimed skills, and a counterfactual check on this whole list.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d957e2a018da5ccd5a13cbe88f406e7f9e43683"/>
      <w:r>
        <w:t xml:space="preserve">Design principles we’d propose for the whole repo</w:t>
      </w:r>
      <w:bookmarkEnd w:id="22"/>
    </w:p>
    <w:p>
      <w:pPr>
        <w:pStyle w:val="FirstParagraph"/>
      </w:pPr>
      <w:r>
        <w:t xml:space="preserve">These apply to every skill below and, we’d argue, every skill anyone contributes: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P1 — Options, not answers.</w:t>
      </w:r>
      <w:r>
        <w:t xml:space="preserve"> </w:t>
      </w:r>
      <w:r>
        <w:t xml:space="preserve">Every skill returns 2–4 ranked alternatives with tradeoffs, never a single prescription.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P2 — Test hooks built in.</w:t>
      </w:r>
      <w:r>
        <w:t xml:space="preserve"> </w:t>
      </w:r>
      <w:r>
        <w:t xml:space="preserve">Every skill ends with the cheapest way to check it worked: an A/B arm, a 5–8 user qualitative check, or a data lookup.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P3 — Calibrated evidence.</w:t>
      </w:r>
      <w:r>
        <w:t xml:space="preserve"> </w:t>
      </w:r>
      <w:r>
        <w:t xml:space="preserve">Cite at-scale effects, not lab best-cases. Academic nudge papers average +8.7pp; the same intervention classes run by government Nudge Units at scale average +1.4pp (DellaVigna &amp; Linos 2022,</w:t>
      </w:r>
      <w:r>
        <w:t xml:space="preserve"> </w:t>
      </w:r>
      <w:r>
        <w:rPr>
          <w:i/>
        </w:rPr>
        <w:t xml:space="preserve">Econometrica</w:t>
      </w:r>
      <w:r>
        <w:t xml:space="preserve">). Skills that quote lab numbers to NGOs set programs up to</w:t>
      </w:r>
      <w:r>
        <w:t xml:space="preserve"> </w:t>
      </w:r>
      <w:r>
        <w:t xml:space="preserve">“</w:t>
      </w:r>
      <w:r>
        <w:t xml:space="preserve">fail</w:t>
      </w:r>
      <w:r>
        <w:t xml:space="preserve">”</w:t>
      </w:r>
      <w:r>
        <w:t xml:space="preserve"> </w:t>
      </w:r>
      <w:r>
        <w:t xml:space="preserve">against fantasy benchmarks.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P4 — Generalizability flag.</w:t>
      </w:r>
      <w:r>
        <w:t xml:space="preserve"> </w:t>
      </w:r>
      <w:r>
        <w:t xml:space="preserve">Each skill states where its evidence comes from and whether non-WEIRD/LMIC replications exist (Henrich, Heine &amp; Norenzayan 2010,</w:t>
      </w:r>
      <w:r>
        <w:t xml:space="preserve"> </w:t>
      </w:r>
      <w:r>
        <w:rPr>
          <w:i/>
        </w:rPr>
        <w:t xml:space="preserve">Behavioral and Brain Sciences</w:t>
      </w:r>
      <w:r>
        <w:t xml:space="preserve">; Bryan, Tipton &amp; Yeager 2021,</w:t>
      </w:r>
      <w:r>
        <w:t xml:space="preserve"> </w:t>
      </w:r>
      <w:r>
        <w:rPr>
          <w:i/>
        </w:rPr>
        <w:t xml:space="preserve">Nature Human Behaviour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P5 — Escalation criteria.</w:t>
      </w:r>
      <w:r>
        <w:t xml:space="preserve"> </w:t>
      </w:r>
      <w:r>
        <w:t xml:space="preserve">Each skill names the situations where the user should stop and consult a human behavioral scientist (high-stakes/clinical decisions, vulnerable populations, signs of backfire).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P6 — Trigger-rich descriptions.</w:t>
      </w:r>
      <w:r>
        <w:t xml:space="preserve"> </w:t>
      </w:r>
      <w:r>
        <w:t xml:space="preserve">A skill’s description field determines whether it fires at all — the single biggest practical failure mode in skill libraries. Descriptions must enumerate non-specialist phrasings (</w:t>
      </w:r>
      <w:r>
        <w:t xml:space="preserve">“</w:t>
      </w:r>
      <w:r>
        <w:t xml:space="preserve">why aren’t people showing up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diagnose volitional barriers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P7 — Eval’d before shipped.</w:t>
      </w:r>
      <w:r>
        <w:t xml:space="preserve"> </w:t>
      </w:r>
      <w:r>
        <w:t xml:space="preserve">Each skill ships with 3–5 test prompts and an expected-output rubric. IL can contribute its existing skill-creation eval harness for this (see</w:t>
      </w:r>
      <w:r>
        <w:t xml:space="preserve"> </w:t>
      </w:r>
      <w:r>
        <w:t xml:space="preserve">“</w:t>
      </w:r>
      <w:r>
        <w:t xml:space="preserve">Ready to port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he-workflow-map"/>
      <w:r>
        <w:t xml:space="preserve">The workflow map</w:t>
      </w:r>
      <w:bookmarkEnd w:id="23"/>
    </w:p>
    <w:p>
      <w:pPr>
        <w:pStyle w:val="FirstParagraph"/>
      </w:pPr>
      <w:r>
        <w:t xml:space="preserve">The 21 skills sit in five stages of a program team’s actual workflow. Atomic skills compose: a typical path is S1 → S3 → S4 → (one of S6–S14) → S16 → S17 → S18 → S20.</w:t>
      </w:r>
    </w:p>
    <w:p>
      <w:pPr>
        <w:pStyle w:val="BodyText"/>
      </w:pPr>
      <w:r>
        <w:rPr>
          <w:b/>
        </w:rPr>
        <w:t xml:space="preserve">DEFINE</w:t>
      </w:r>
      <w:r>
        <w:t xml:space="preserve"> </w:t>
      </w:r>
      <w:r>
        <w:t xml:space="preserve">(what exactly is the behavior?) →</w:t>
      </w:r>
      <w:r>
        <w:t xml:space="preserve"> </w:t>
      </w:r>
      <w:r>
        <w:rPr>
          <w:b/>
        </w:rPr>
        <w:t xml:space="preserve">DIAGNOSE</w:t>
      </w:r>
      <w:r>
        <w:t xml:space="preserve"> </w:t>
      </w:r>
      <w:r>
        <w:t xml:space="preserve">(why isn’t it happening?) →</w:t>
      </w:r>
      <w:r>
        <w:t xml:space="preserve"> </w:t>
      </w:r>
      <w:r>
        <w:rPr>
          <w:b/>
        </w:rPr>
        <w:t xml:space="preserve">DESIGN</w:t>
      </w:r>
      <w:r>
        <w:t xml:space="preserve"> </w:t>
      </w:r>
      <w:r>
        <w:t xml:space="preserve">(what intervention?) →</w:t>
      </w:r>
      <w:r>
        <w:t xml:space="preserve"> </w:t>
      </w:r>
      <w:r>
        <w:rPr>
          <w:b/>
        </w:rPr>
        <w:t xml:space="preserve">CALIBRATE</w:t>
      </w:r>
      <w:r>
        <w:t xml:space="preserve"> </w:t>
      </w:r>
      <w:r>
        <w:t xml:space="preserve">(will it work</w:t>
      </w:r>
      <w:r>
        <w:t xml:space="preserve"> </w:t>
      </w:r>
      <w:r>
        <w:rPr>
          <w:i/>
        </w:rPr>
        <w:t xml:space="preserve">here</w:t>
      </w:r>
      <w:r>
        <w:t xml:space="preserve">, and how big, honestly?) →</w:t>
      </w:r>
      <w:r>
        <w:t xml:space="preserve"> </w:t>
      </w:r>
      <w:r>
        <w:rPr>
          <w:b/>
        </w:rPr>
        <w:t xml:space="preserve">TEST &amp; LEARN</w:t>
      </w:r>
      <w:r>
        <w:t xml:space="preserve"> </w:t>
      </w:r>
      <w:r>
        <w:t xml:space="preserve">(run the cheapest real test)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stage-1-define"/>
      <w:r>
        <w:t xml:space="preserve">Stage 1 — DEFINE</w:t>
      </w:r>
      <w:bookmarkEnd w:id="24"/>
    </w:p>
    <w:p>
      <w:pPr>
        <w:pStyle w:val="Heading2"/>
      </w:pPr>
      <w:bookmarkStart w:id="25" w:name="X35f344ab6bf4902f32b4dbcd2efde35b9c2e39a"/>
      <w:r>
        <w:t xml:space="preserve">S1. Key Behavior Definer ⭐</w:t>
      </w:r>
      <w:r>
        <w:t xml:space="preserve"> </w:t>
      </w:r>
      <w:r>
        <w:rPr>
          <w:i/>
        </w:rPr>
        <w:t xml:space="preserve">(exists at IL — ready to port)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Turns a vague program goal into one observable, measurable, uncomfortably specific WHO + WHAT + WHEN key behavior.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Project kickoff or any moment of</w:t>
      </w:r>
      <w:r>
        <w:t xml:space="preserve"> </w:t>
      </w:r>
      <w:r>
        <w:t xml:space="preserve">“</w:t>
      </w:r>
      <w:r>
        <w:t xml:space="preserve">what’s our target behavior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what should users actually 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our goal is engagement</w:t>
      </w:r>
      <w:r>
        <w:t xml:space="preserve">”</w:t>
      </w:r>
      <w:r>
        <w:t xml:space="preserve"> </w:t>
      </w:r>
      <w:r>
        <w:t xml:space="preserve">(a goal, not a behavior). Trigger phrases:</w:t>
      </w:r>
      <w:r>
        <w:t xml:space="preserve"> </w:t>
      </w:r>
      <w:r>
        <w:rPr>
          <w:i/>
        </w:rPr>
        <w:t xml:space="preserve">target behavior, key behavior, what action, behavior to change, what should we get users to do.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IL’s 3B methodology (Key Behavior → Reduce Barriers → Amplify Benefits), battle-tested across 40+ client engagements and already encoded as a working IL skill; behaviour specification as the entry step of the Behaviour Change Wheel (Michie, van Stralen &amp; West 2011,</w:t>
      </w:r>
      <w:r>
        <w:t xml:space="preserve"> </w:t>
      </w:r>
      <w:r>
        <w:rPr>
          <w:i/>
        </w:rPr>
        <w:t xml:space="preserve">Implementation Science</w:t>
      </w:r>
      <w:r>
        <w:t xml:space="preserve">). Evidence base is methodological rather than WEIRD-skewed, but IL’s canonical examples are US tech products — needs LMIC examples added (e.g.,</w:t>
      </w:r>
      <w:r>
        <w:t xml:space="preserve"> </w:t>
      </w:r>
      <w:r>
        <w:t xml:space="preserve">“</w:t>
      </w:r>
      <w:r>
        <w:t xml:space="preserve">caregiver completes one practice activity with child within 24h of receiving the WhatsApp video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3–5 candidate key behaviors, each scored on an Impact / Drop-off / Control prioritization grid; a recommended pick</w:t>
      </w:r>
      <w:r>
        <w:t xml:space="preserve"> </w:t>
      </w:r>
      <w:r>
        <w:rPr>
          <w:i/>
        </w:rPr>
        <w:t xml:space="preserve">with the runner-up preserved</w:t>
      </w:r>
      <w:r>
        <w:t xml:space="preserve">; validation hook: confirm this week that the behavior is actually countable in your existing data — if it isn’t, that’s your first finding.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Users smuggle outcomes back in (</w:t>
      </w:r>
      <w:r>
        <w:t xml:space="preserve">“</w:t>
      </w:r>
      <w:r>
        <w:t xml:space="preserve">improve health literacy</w:t>
      </w:r>
      <w:r>
        <w:t xml:space="preserve">”</w:t>
      </w:r>
      <w:r>
        <w:t xml:space="preserve"> </w:t>
      </w:r>
      <w:r>
        <w:t xml:space="preserve">is not a behavior);</w:t>
      </w:r>
      <w:r>
        <w:t xml:space="preserve"> </w:t>
      </w:r>
      <w:r>
        <w:t xml:space="preserve">“</w:t>
      </w:r>
      <w:r>
        <w:t xml:space="preserve">uncomfortably specific</w:t>
      </w:r>
      <w:r>
        <w:t xml:space="preserve">”</w:t>
      </w:r>
      <w:r>
        <w:t xml:space="preserve"> </w:t>
      </w:r>
      <w:r>
        <w:t xml:space="preserve">gets negotiated away in teams; picks a behavior the org can’t observe. Escalate to a human when the key behavior is clinical or safety-critical.</w:t>
      </w:r>
    </w:p>
    <w:p>
      <w:pPr>
        <w:pStyle w:val="Heading2"/>
      </w:pPr>
      <w:bookmarkStart w:id="26" w:name="s2.-funnel-leak-finder"/>
      <w:r>
        <w:t xml:space="preserve">S2. Funnel Leak Finder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Locates the single biggest behavioral drop-off in a program funnel from step-by-step conversion numbers.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“</w:t>
      </w:r>
      <w:r>
        <w:t xml:space="preserve">Where are we losing people?</w:t>
      </w:r>
      <w:r>
        <w:t xml:space="preserve">”</w:t>
      </w:r>
      <w:r>
        <w:t xml:space="preserve">, reviewing engagement/retention dashboards, deciding which step of onboarding to fix first.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The hassle-factor/assistance literature: in the H&amp;R Block FAFSA experiment,</w:t>
      </w:r>
      <w:r>
        <w:t xml:space="preserve"> </w:t>
      </w:r>
      <w:r>
        <w:rPr>
          <w:i/>
        </w:rPr>
        <w:t xml:space="preserve">assistance</w:t>
      </w:r>
      <w:r>
        <w:t xml:space="preserve"> </w:t>
      </w:r>
      <w:r>
        <w:t xml:space="preserve">with the form raised college enrollment ~8pp while information alone did nothing (Bettinger, Long, Oreopoulos &amp; Sanbonmatsu 2012,</w:t>
      </w:r>
      <w:r>
        <w:t xml:space="preserve"> </w:t>
      </w:r>
      <w:r>
        <w:rPr>
          <w:i/>
        </w:rPr>
        <w:t xml:space="preserve">QJE</w:t>
      </w:r>
      <w:r>
        <w:t xml:space="preserve">) — drop-off is usually friction, not motivation; last-mile behavioral design framing (Datta &amp; Mullainathan 2014,</w:t>
      </w:r>
      <w:r>
        <w:t xml:space="preserve"> </w:t>
      </w:r>
      <w:r>
        <w:rPr>
          <w:i/>
        </w:rPr>
        <w:t xml:space="preserve">Review of Income and Wealth</w:t>
      </w:r>
      <w:r>
        <w:t xml:space="preserve">). LMIC-relevant by construction.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Ranked leak table with the mechanism hypotheses (2–3 per leak: friction / comprehension / motivation / technical failure) and what evidence would discriminate between them; an instrumentation gap list; validation hook: 5 short interviews with users who stalled at exactly the biggest leak, before designing anything.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Hallucinated</w:t>
      </w:r>
      <w:r>
        <w:t xml:space="preserve"> </w:t>
      </w:r>
      <w:r>
        <w:t xml:space="preserve">“</w:t>
      </w:r>
      <w:r>
        <w:t xml:space="preserve">benchmark</w:t>
      </w:r>
      <w:r>
        <w:t xml:space="preserve">”</w:t>
      </w:r>
      <w:r>
        <w:t xml:space="preserve"> </w:t>
      </w:r>
      <w:r>
        <w:t xml:space="preserve">conversion rates (the skill must refuse to invent industry baselines); mistaking</w:t>
      </w:r>
      <w:r>
        <w:t xml:space="preserve"> </w:t>
      </w:r>
      <w:r>
        <w:rPr>
          <w:i/>
        </w:rPr>
        <w:t xml:space="preserve">technical</w:t>
      </w:r>
      <w:r>
        <w:t xml:space="preserve"> </w:t>
      </w:r>
      <w:r>
        <w:t xml:space="preserve">drop-off for</w:t>
      </w:r>
      <w:r>
        <w:t xml:space="preserve"> </w:t>
      </w:r>
      <w:r>
        <w:rPr>
          <w:i/>
        </w:rPr>
        <w:t xml:space="preserve">behavioral</w:t>
      </w:r>
      <w:r>
        <w:t xml:space="preserve"> </w:t>
      </w:r>
      <w:r>
        <w:t xml:space="preserve">drop-off — check delivery logs first. We learned this expensively: an experiment arm that</w:t>
      </w:r>
      <w:r>
        <w:t xml:space="preserve"> </w:t>
      </w:r>
      <w:r>
        <w:t xml:space="preserve">“</w:t>
      </w:r>
      <w:r>
        <w:t xml:space="preserve">showed null</w:t>
      </w:r>
      <w:r>
        <w:t xml:space="preserve">”</w:t>
      </w:r>
      <w:r>
        <w:t xml:space="preserve"> </w:t>
      </w:r>
      <w:r>
        <w:t xml:space="preserve">turned out never to have been delivered.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stage-2-diagnose"/>
      <w:r>
        <w:t xml:space="preserve">Stage 2 — DIAGNOSE</w:t>
      </w:r>
      <w:bookmarkEnd w:id="27"/>
    </w:p>
    <w:p>
      <w:pPr>
        <w:pStyle w:val="Heading2"/>
      </w:pPr>
      <w:bookmarkStart w:id="28" w:name="X4cb68c6d5a382afb464d7e2ca0f11836f287cc3"/>
      <w:r>
        <w:t xml:space="preserve">S3. COM-B Barrier Decomposer</w:t>
      </w:r>
      <w:r>
        <w:t xml:space="preserve"> </w:t>
      </w:r>
      <w:r>
        <w:rPr>
          <w:i/>
        </w:rPr>
        <w:t xml:space="preserve">(the doc’s own flagship example — currently unclaimed)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Decomposes one defined behavior into competing barrier hypotheses across capability, opportunity, and motivation.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Behavior is defined (S1 done) but</w:t>
      </w:r>
      <w:r>
        <w:t xml:space="preserve"> </w:t>
      </w:r>
      <w:r>
        <w:t xml:space="preserve">“</w:t>
      </w:r>
      <w:r>
        <w:t xml:space="preserve">why aren’t they doing it</w:t>
      </w:r>
      <w:r>
        <w:t xml:space="preserve">”</w:t>
      </w:r>
      <w:r>
        <w:t xml:space="preserve"> </w:t>
      </w:r>
      <w:r>
        <w:t xml:space="preserve">is folk theory. Triggers:</w:t>
      </w:r>
      <w:r>
        <w:t xml:space="preserve"> </w:t>
      </w:r>
      <w:r>
        <w:rPr>
          <w:i/>
        </w:rPr>
        <w:t xml:space="preserve">why aren’t people…, what’s stopping them, barriers, COM-B, diagnose.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The COM-B model and Behaviour Change Wheel (Michie, van Stralen &amp; West 2011,</w:t>
      </w:r>
      <w:r>
        <w:t xml:space="preserve"> </w:t>
      </w:r>
      <w:r>
        <w:rPr>
          <w:i/>
        </w:rPr>
        <w:t xml:space="preserve">Implementation Science</w:t>
      </w:r>
      <w:r>
        <w:t xml:space="preserve">) — six sub-components: physical/psychological capability, physical/social opportunity, reflective/automatic motivation; each barrier class maps onward to intervention functions via the 93-technique BCT Taxonomy v1 (Michie et al. 2013,</w:t>
      </w:r>
      <w:r>
        <w:t xml:space="preserve"> </w:t>
      </w:r>
      <w:r>
        <w:rPr>
          <w:i/>
        </w:rPr>
        <w:t xml:space="preserve">Annals of Behavioral Medicine</w:t>
      </w:r>
      <w:r>
        <w:t xml:space="preserve">). Framework origin is UK health policy — widely applied in LMIC implementation research, but the skill should say the mapping is a reasoning scaffold, not an empirical law.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A barrier hypothesis table with explicit confidence levels and — critically — labeled as</w:t>
      </w:r>
      <w:r>
        <w:t xml:space="preserve"> </w:t>
      </w:r>
      <w:r>
        <w:rPr>
          <w:i/>
        </w:rPr>
        <w:t xml:space="preserve">hypotheses, not findings</w:t>
      </w:r>
      <w:r>
        <w:t xml:space="preserve">; the 5 diagnostic questions that would best discriminate between the top hypotheses (feeding S4); 2–3 intervention directions per confirmed barrier class, as options.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Armchair diagnosis presented as fact (the #1 risk of this entire genre); systematically over-weighting motivation (visible, intuitive) versus opportunity (boring, often binding in low-resource settings — see the behavioral development economics survey by Kremer, Rao &amp; Schilbach 2019,</w:t>
      </w:r>
      <w:r>
        <w:t xml:space="preserve"> </w:t>
      </w:r>
      <w:r>
        <w:rPr>
          <w:i/>
        </w:rPr>
        <w:t xml:space="preserve">Handbook of Behavioral Economics</w:t>
      </w:r>
      <w:r>
        <w:t xml:space="preserve">, flagged: handbook chapter, not journal-refereed).</w:t>
      </w:r>
    </w:p>
    <w:p>
      <w:pPr>
        <w:pStyle w:val="Heading2"/>
      </w:pPr>
      <w:bookmarkStart w:id="29" w:name="s4.-barrier-interview-guide-builder"/>
      <w:r>
        <w:t xml:space="preserve">S4. Barrier Interview Guide Builder</w:t>
      </w:r>
      <w:bookmarkEnd w:id="2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Generates a 20-minute semi-structured interview guide that tests which hypothesized barriers actually bind.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Immediately after S3, before any design work. Triggers:</w:t>
      </w:r>
      <w:r>
        <w:t xml:space="preserve"> </w:t>
      </w:r>
      <w:r>
        <w:rPr>
          <w:i/>
        </w:rPr>
        <w:t xml:space="preserve">how do we check which barrier is real, user interviews, talk to users, validate barriers.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Cognitive interviewing and probing-technique evidence (Beatty &amp; Willis 2007,</w:t>
      </w:r>
      <w:r>
        <w:t xml:space="preserve"> </w:t>
      </w:r>
      <w:r>
        <w:rPr>
          <w:i/>
        </w:rPr>
        <w:t xml:space="preserve">Public Opinion Quarterly</w:t>
      </w:r>
      <w:r>
        <w:t xml:space="preserve">); behavioral diagnosis practice in development programs (Datta &amp; Mullainathan 2014,</w:t>
      </w:r>
      <w:r>
        <w:t xml:space="preserve"> </w:t>
      </w:r>
      <w:r>
        <w:rPr>
          <w:i/>
        </w:rPr>
        <w:t xml:space="preserve">Review of Income and Wealth</w:t>
      </w:r>
      <w:r>
        <w:t xml:space="preserve">).</w:t>
      </w:r>
      <w:r>
        <w:t xml:space="preserve"> </w:t>
      </w:r>
      <w:r>
        <w:rPr>
          <w:b/>
        </w:rPr>
        <w:t xml:space="preserve">Adjacency note:</w:t>
      </w:r>
      <w:r>
        <w:t xml:space="preserve"> </w:t>
      </w:r>
      <w:r>
        <w:t xml:space="preserve">Zezhen has claimed a</w:t>
      </w:r>
      <w:r>
        <w:t xml:space="preserve"> </w:t>
      </w:r>
      <w:r>
        <w:rPr>
          <w:i/>
        </w:rPr>
        <w:t xml:space="preserve">cognitive interview script generator</w:t>
      </w:r>
      <w:r>
        <w:t xml:space="preserve"> </w:t>
      </w:r>
      <w:r>
        <w:t xml:space="preserve">— that targets survey-item pretesting; this targets barrier diagnosis. Related machinery, different atomic operation; the two skills should cross-reference.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An interview guide with neutral openers, barrier-discriminating probes (not confirmatory ones), low-literacy and translated phrasing variants, and an analysis grid mapping answer patterns back to S3’s barrier table; validation hook: pilot on 2 users and check whether any question telegraphs its desired answer.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Leading questions that confirm the team’s pet barrier; social desirability — respondents performing gratitude for the NGO; translation artifacts that change question meaning; treating 5 interviews as prevalence estimates.</w:t>
      </w:r>
    </w:p>
    <w:p>
      <w:pPr>
        <w:pStyle w:val="Heading2"/>
      </w:pPr>
      <w:bookmarkStart w:id="30" w:name="s5.-cognitive-load-auditor"/>
      <w:r>
        <w:t xml:space="preserve">S5. Cognitive Load Auditor</w:t>
      </w:r>
      <w:bookmarkEnd w:id="3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Audits one form, flow, or message for the cognitive bandwidth it demands from a user living with scarcity.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Reviewing application forms, onboarding flows, multi-step instructions, anything users must complete under financial or time stress. Triggers:</w:t>
      </w:r>
      <w:r>
        <w:t xml:space="preserve"> </w:t>
      </w:r>
      <w:r>
        <w:rPr>
          <w:i/>
        </w:rPr>
        <w:t xml:space="preserve">too complicated, simplify this, users don’t finish the form, cognitive load.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Scarcity-and-bandwidth research: scarcity focuses attention on the focal demand and causes neglect and over-borrowing elsewhere (Shah, Mullainathan &amp; Shafir 2012,</w:t>
      </w:r>
      <w:r>
        <w:t xml:space="preserve"> </w:t>
      </w:r>
      <w:r>
        <w:rPr>
          <w:i/>
        </w:rPr>
        <w:t xml:space="preserve">Science</w:t>
      </w:r>
      <w:r>
        <w:t xml:space="preserve">); poverty and cognitive function (Mani, Mullainathan, Shafir &amp; Zhao 2013,</w:t>
      </w:r>
      <w:r>
        <w:t xml:space="preserve"> </w:t>
      </w:r>
      <w:r>
        <w:rPr>
          <w:i/>
        </w:rPr>
        <w:t xml:space="preserve">Science</w:t>
      </w:r>
      <w:r>
        <w:t xml:space="preserve">) —</w:t>
      </w:r>
      <w:r>
        <w:t xml:space="preserve"> </w:t>
      </w:r>
      <w:r>
        <w:rPr>
          <w:b/>
        </w:rPr>
        <w:t xml:space="preserve">flagged honestly:</w:t>
      </w:r>
      <w:r>
        <w:t xml:space="preserve"> </w:t>
      </w:r>
      <w:r>
        <w:t xml:space="preserve">the famous farmer result has a published critique (Wicherts &amp; Scholten 2013) and failed conceptual replications (e.g., Carvalho et al. 2016), so the skill treats it as suggestive. The</w:t>
      </w:r>
      <w:r>
        <w:t xml:space="preserve"> </w:t>
      </w:r>
      <w:r>
        <w:rPr>
          <w:i/>
        </w:rPr>
        <w:t xml:space="preserve">design implication</w:t>
      </w:r>
      <w:r>
        <w:t xml:space="preserve"> </w:t>
      </w:r>
      <w:r>
        <w:t xml:space="preserve">— minimize cognitive demands, especially at moments of financial stress — is low-regret either way.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A load-hotspot map (decisions required, memory demands, calculations, jargon, documents to fetch); 2–3 simplification options per hotspot ranked by effort; timing advice (when in the month/season to ask, not just what to ask); validation hook: a 5-user teach-back comprehension test.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Conflating low literacy with low intelligence — simplification becoming condescension; stripping information users genuinely need; ignoring that</w:t>
      </w:r>
      <w:r>
        <w:t xml:space="preserve"> </w:t>
      </w:r>
      <w:r>
        <w:rPr>
          <w:i/>
        </w:rPr>
        <w:t xml:space="preserve">when</w:t>
      </w:r>
      <w:r>
        <w:t xml:space="preserve"> </w:t>
      </w:r>
      <w:r>
        <w:t xml:space="preserve">you ask can matter as much as</w:t>
      </w:r>
      <w:r>
        <w:t xml:space="preserve"> </w:t>
      </w:r>
      <w:r>
        <w:rPr>
          <w:i/>
        </w:rPr>
        <w:t xml:space="preserve">how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stage-3-design"/>
      <w:r>
        <w:t xml:space="preserve">Stage 3 — DESIGN</w:t>
      </w:r>
      <w:bookmarkEnd w:id="31"/>
    </w:p>
    <w:p>
      <w:pPr>
        <w:pStyle w:val="FirstParagraph"/>
      </w:pPr>
      <w:r>
        <w:rPr>
          <w:i/>
        </w:rPr>
        <w:t xml:space="preserve">Mechanism-level micro-skills. Each takes a diagnosed barrier and produces intervention options. They compose with (rather than duplicate) Kelly’s claimed framework-level skills — intervention mapping and theory of planned behavior message customizers.</w:t>
      </w:r>
    </w:p>
    <w:p>
      <w:pPr>
        <w:pStyle w:val="Heading2"/>
      </w:pPr>
      <w:bookmarkStart w:id="32" w:name="s6.-reminder-designer"/>
      <w:r>
        <w:t xml:space="preserve">S6. Reminder Designer</w:t>
      </w:r>
      <w:bookmarkEnd w:id="3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Designs timing, frequency, and content options for one reminder message stream.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Any</w:t>
      </w:r>
      <w:r>
        <w:t xml:space="preserve"> </w:t>
      </w:r>
      <w:r>
        <w:t xml:space="preserve">“</w:t>
      </w:r>
      <w:r>
        <w:t xml:space="preserve">send them a reminder</w:t>
      </w:r>
      <w:r>
        <w:t xml:space="preserve">”</w:t>
      </w:r>
      <w:r>
        <w:t xml:space="preserve"> </w:t>
      </w:r>
      <w:r>
        <w:t xml:space="preserve">moment: adherence, re-engagement, appointments, savings deposits. Triggers:</w:t>
      </w:r>
      <w:r>
        <w:t xml:space="preserve"> </w:t>
      </w:r>
      <w:r>
        <w:rPr>
          <w:i/>
        </w:rPr>
        <w:t xml:space="preserve">reminder, nudge them, follow-up message, people forget.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Strong, LMIC-heavy evidence. Savings reminders raised balances ~6%, with goal-mention content working best (Karlan, McConnell, Mullainathan &amp; Zinman 2016,</w:t>
      </w:r>
      <w:r>
        <w:t xml:space="preserve"> </w:t>
      </w:r>
      <w:r>
        <w:rPr>
          <w:i/>
        </w:rPr>
        <w:t xml:space="preserve">Management Science</w:t>
      </w:r>
      <w:r>
        <w:t xml:space="preserve">); weekly SMS raised ART adherence +13pp in Kenya while</w:t>
      </w:r>
      <w:r>
        <w:t xml:space="preserve"> </w:t>
      </w:r>
      <w:r>
        <w:rPr>
          <w:i/>
        </w:rPr>
        <w:t xml:space="preserve">daily</w:t>
      </w:r>
      <w:r>
        <w:t xml:space="preserve"> </w:t>
      </w:r>
      <w:r>
        <w:t xml:space="preserve">reminders did nothing — dosage matters (Pop-Eleches et al. 2011,</w:t>
      </w:r>
      <w:r>
        <w:t xml:space="preserve"> </w:t>
      </w:r>
      <w:r>
        <w:rPr>
          <w:i/>
        </w:rPr>
        <w:t xml:space="preserve">AIDS</w:t>
      </w:r>
      <w:r>
        <w:t xml:space="preserve">); calibration from the flu megastudy: average text effect ≈ +2pp / ~5% relative, best arm ~+4.5pp (Milkman et al. 2021,</w:t>
      </w:r>
      <w:r>
        <w:t xml:space="preserve"> </w:t>
      </w:r>
      <w:r>
        <w:rPr>
          <w:i/>
        </w:rPr>
        <w:t xml:space="preserve">PNAS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3 variants varying timing and content (with the</w:t>
      </w:r>
      <w:r>
        <w:t xml:space="preserve"> </w:t>
      </w:r>
      <w:r>
        <w:rPr>
          <w:i/>
        </w:rPr>
        <w:t xml:space="preserve">weekly-beats-daily</w:t>
      </w:r>
      <w:r>
        <w:t xml:space="preserve"> </w:t>
      </w:r>
      <w:r>
        <w:t xml:space="preserve">dosage warning built in); WhatsApp-specific constraints surfaced (template approval, 24-hour windows); a ready-to-run A/B plan with expected effect range from the calibrated literature.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Reminder fatigue and opt-outs (the cost is permanent channel loss, not just one ignored message); assuming the barrier is forgetting when it’s something else — if S3 hasn’t been run, the skill should ask; copying US send-time heuristics into contexts with shared phones and different daily rhythms.</w:t>
      </w:r>
    </w:p>
    <w:p>
      <w:pPr>
        <w:pStyle w:val="Heading2"/>
      </w:pPr>
      <w:bookmarkStart w:id="33" w:name="s7.-planning-prompt-builder"/>
      <w:r>
        <w:t xml:space="preserve">S7. Planning Prompt Builder</w:t>
      </w:r>
      <w:bookmarkEnd w:id="33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Converts a user’s stated intention into a concrete when-where-how plan prompt.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The intention–action gap: people say yes and don’t show up. Triggers:</w:t>
      </w:r>
      <w:r>
        <w:t xml:space="preserve"> </w:t>
      </w:r>
      <w:r>
        <w:rPr>
          <w:i/>
        </w:rPr>
        <w:t xml:space="preserve">they said they’d come, no-shows, follow-through, they agree but don’t do it.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Implementation intentions meta-analysis, d = 0.65 across 94 tests (Gollwitzer &amp; Sheeran 2006,</w:t>
      </w:r>
      <w:r>
        <w:t xml:space="preserve"> </w:t>
      </w:r>
      <w:r>
        <w:rPr>
          <w:i/>
        </w:rPr>
        <w:t xml:space="preserve">Advances in Experimental Social Psychology</w:t>
      </w:r>
      <w:r>
        <w:t xml:space="preserve"> </w:t>
      </w:r>
      <w:r>
        <w:t xml:space="preserve">— flagged: book-series chapter, and lab-heavy); field calibration: date-and-time flu shot prompts +4.2pp (Milkman et al. 2011,</w:t>
      </w:r>
      <w:r>
        <w:t xml:space="preserve"> </w:t>
      </w:r>
      <w:r>
        <w:rPr>
          <w:i/>
        </w:rPr>
        <w:t xml:space="preserve">PNAS</w:t>
      </w:r>
      <w:r>
        <w:t xml:space="preserve">); plan-making call scripts +4.1pp turnout (Nickerson &amp; Rogers 2010,</w:t>
      </w:r>
      <w:r>
        <w:t xml:space="preserve"> </w:t>
      </w:r>
      <w:r>
        <w:rPr>
          <w:i/>
        </w:rPr>
        <w:t xml:space="preserve">Psychological Science</w:t>
      </w:r>
      <w:r>
        <w:t xml:space="preserve">). Field effects are roughly a tenth of the lab d — the skill says so.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2–3 plan-prompt scripts (chatbot message, IVR, or interviewer-led) with slot-filling structure (which day? what time? how will you get there?); a fallback for users who can’t control logistics; an A/B hook against a standard encouragement message.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Backfires or annoys when the user lacks actual control over the logistics (an</w:t>
      </w:r>
      <w:r>
        <w:t xml:space="preserve"> </w:t>
      </w:r>
      <w:r>
        <w:rPr>
          <w:i/>
        </w:rPr>
        <w:t xml:space="preserve">opportunity</w:t>
      </w:r>
      <w:r>
        <w:t xml:space="preserve"> </w:t>
      </w:r>
      <w:r>
        <w:t xml:space="preserve">barrier wearing a motivation costume); plan questions can feel surveillance-like from an authority; treating the lab d = 0.65 as the expected field effect.</w:t>
      </w:r>
    </w:p>
    <w:p>
      <w:pPr>
        <w:pStyle w:val="Heading2"/>
      </w:pPr>
      <w:bookmarkStart w:id="34" w:name="s8.-social-norm-message-checker"/>
      <w:r>
        <w:t xml:space="preserve">S8. Social Norm Message Checker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Drafts and risk-checks a social-norm message against the actual local base rate of the behavior.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Whenever anyone proposes</w:t>
      </w:r>
      <w:r>
        <w:t xml:space="preserve"> </w:t>
      </w:r>
      <w:r>
        <w:t xml:space="preserve">“</w:t>
      </w:r>
      <w:r>
        <w:t xml:space="preserve">most people are doing X</w:t>
      </w:r>
      <w:r>
        <w:t xml:space="preserve">”</w:t>
      </w:r>
      <w:r>
        <w:t xml:space="preserve"> </w:t>
      </w:r>
      <w:r>
        <w:t xml:space="preserve">messaging. Triggers:</w:t>
      </w:r>
      <w:r>
        <w:t xml:space="preserve"> </w:t>
      </w:r>
      <w:r>
        <w:rPr>
          <w:i/>
        </w:rPr>
        <w:t xml:space="preserve">social proof, everyone else is, norm message, peer comparison.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Home energy reports −2% consumption (Allcott 2011,</w:t>
      </w:r>
      <w:r>
        <w:t xml:space="preserve"> </w:t>
      </w:r>
      <w:r>
        <w:rPr>
          <w:i/>
        </w:rPr>
        <w:t xml:space="preserve">Journal of Public Economics</w:t>
      </w:r>
      <w:r>
        <w:t xml:space="preserve">); the boomerang effect — descriptive norms</w:t>
      </w:r>
      <w:r>
        <w:t xml:space="preserve"> </w:t>
      </w:r>
      <w:r>
        <w:rPr>
          <w:i/>
        </w:rPr>
        <w:t xml:space="preserve">increased</w:t>
      </w:r>
      <w:r>
        <w:t xml:space="preserve"> </w:t>
      </w:r>
      <w:r>
        <w:t xml:space="preserve">consumption among below-average users until an injunctive signal was added (Schultz, Nolan, Cialdini, Goldstein &amp; Griskevicius 2007,</w:t>
      </w:r>
      <w:r>
        <w:t xml:space="preserve"> </w:t>
      </w:r>
      <w:r>
        <w:rPr>
          <w:i/>
        </w:rPr>
        <w:t xml:space="preserve">Psychological Science</w:t>
      </w:r>
      <w:r>
        <w:t xml:space="preserve">); when norm-nudges fail or backfire (Bicchieri &amp; Dimant 2022,</w:t>
      </w:r>
      <w:r>
        <w:t xml:space="preserve"> </w:t>
      </w:r>
      <w:r>
        <w:rPr>
          <w:i/>
        </w:rPr>
        <w:t xml:space="preserve">Public Choice</w:t>
      </w:r>
      <w:r>
        <w:t xml:space="preserve">); upper bound on social-pressure effects: the</w:t>
      </w:r>
      <w:r>
        <w:t xml:space="preserve"> </w:t>
      </w:r>
      <w:r>
        <w:t xml:space="preserve">“</w:t>
      </w:r>
      <w:r>
        <w:t xml:space="preserve">Neighbors</w:t>
      </w:r>
      <w:r>
        <w:t xml:space="preserve">”</w:t>
      </w:r>
      <w:r>
        <w:t xml:space="preserve"> </w:t>
      </w:r>
      <w:r>
        <w:t xml:space="preserve">mailer +8.1pp (Gerber, Green &amp; Larimer 2008,</w:t>
      </w:r>
      <w:r>
        <w:t xml:space="preserve"> </w:t>
      </w:r>
      <w:r>
        <w:rPr>
          <w:i/>
        </w:rPr>
        <w:t xml:space="preserve">APSR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Step one, non-negotiable:</w:t>
      </w:r>
      <w:r>
        <w:t xml:space="preserve"> </w:t>
      </w:r>
      <w:r>
        <w:rPr>
          <w:i/>
        </w:rPr>
        <w:t xml:space="preserve">what is the real base rate?</w:t>
      </w:r>
      <w:r>
        <w:t xml:space="preserve"> </w:t>
      </w:r>
      <w:r>
        <w:t xml:space="preserve">If the desirable behavior is a minority behavior, the skill blocks the descriptive norm and offers alternatives (injunctive norms, dynamic/trending norms); otherwise 2–3 message variants with reference-group choices and explicit backfire flags; validation hook: A/B with a no-norm control, monitoring the below/above-average segments separately.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Fabricated norms — unethical and trust-destroying when discovered; boomerang for users already above average; reference-group mismatch (a national statistic means nothing to a village identity); norms about contested behaviors triggering reactance.</w:t>
      </w:r>
    </w:p>
    <w:p>
      <w:pPr>
        <w:pStyle w:val="Heading2"/>
      </w:pPr>
      <w:bookmarkStart w:id="35" w:name="s9.-incentive-menu-designer"/>
      <w:r>
        <w:t xml:space="preserve">S9. Incentive Menu Designer</w:t>
      </w:r>
      <w:bookmarkEnd w:id="3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Builds a menu of incentive options — size, type, schedule — for one behavior, with crowd-out risks flagged.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“</w:t>
      </w:r>
      <w:r>
        <w:t xml:space="preserve">Should we pay people to do X?</w:t>
      </w:r>
      <w:r>
        <w:t xml:space="preserve">”</w:t>
      </w:r>
      <w:r>
        <w:t xml:space="preserve"> </w:t>
      </w:r>
      <w:r>
        <w:t xml:space="preserve">conversations, designing attendance or completion rewards. Triggers:</w:t>
      </w:r>
      <w:r>
        <w:t xml:space="preserve"> </w:t>
      </w:r>
      <w:r>
        <w:rPr>
          <w:i/>
        </w:rPr>
        <w:t xml:space="preserve">incentive, reward, pay them, prize, lottery.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When and why incentives work and backfire (Gneezy, Meier &amp; Rey-Biel 2011,</w:t>
      </w:r>
      <w:r>
        <w:t xml:space="preserve"> </w:t>
      </w:r>
      <w:r>
        <w:rPr>
          <w:i/>
        </w:rPr>
        <w:t xml:space="preserve">Journal of Economic Perspectives</w:t>
      </w:r>
      <w:r>
        <w:t xml:space="preserve"> </w:t>
      </w:r>
      <w:r>
        <w:t xml:space="preserve">— flagged: invited review); the canonical LMIC result: small in-kind incentives (lentils) at reliable immunization camps took full immunization from 18% (camps alone) to 39%, versus 6% in control — and were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cost-effective per child (Banerjee, Duflo, Glennerster &amp; Kothari 2010,</w:t>
      </w:r>
      <w:r>
        <w:t xml:space="preserve"> </w:t>
      </w:r>
      <w:r>
        <w:rPr>
          <w:i/>
        </w:rPr>
        <w:t xml:space="preserve">BMJ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3–4 options across cash / in-kind / lottery / social recognition, each with predicted failure modes (crowd-out of intrinsic motivation, gaming of the metric, fairness perceptions among non-recipients, expectations that outlast the budget); a smallest-viable-test design comparing the top two against no-incentive.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Crowding out intrinsic motivation in pro-social domains; incentivizing the measurable proxy instead of the behavior; creating entitlement cliffs when funding ends; per-unit incentives meeting shared community resources.</w:t>
      </w:r>
    </w:p>
    <w:p>
      <w:pPr>
        <w:pStyle w:val="Heading2"/>
      </w:pPr>
      <w:bookmarkStart w:id="36" w:name="s10.-commitment-device-designer"/>
      <w:r>
        <w:t xml:space="preserve">S10. Commitment Device Designer</w:t>
      </w:r>
      <w:bookmarkEnd w:id="3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Designs a soft-to-hard ladder of commitment options for a goal the user already holds.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Follow-through gaps on</w:t>
      </w:r>
      <w:r>
        <w:t xml:space="preserve"> </w:t>
      </w:r>
      <w:r>
        <w:rPr>
          <w:i/>
        </w:rPr>
        <w:t xml:space="preserve">self-set</w:t>
      </w:r>
      <w:r>
        <w:t xml:space="preserve"> </w:t>
      </w:r>
      <w:r>
        <w:t xml:space="preserve">goals: savings targets, course completion, cessation. Triggers:</w:t>
      </w:r>
      <w:r>
        <w:t xml:space="preserve"> </w:t>
      </w:r>
      <w:r>
        <w:rPr>
          <w:i/>
        </w:rPr>
        <w:t xml:space="preserve">they want to but don’t, commitment, deposit, pledge.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SEED commitment savings in the Philippines: +81% balances at 12 months (ITT of the offer; take-up ~28%; effect attenuated by 2.5 years) (Ashraf, Karlan &amp; Yin 2006,</w:t>
      </w:r>
      <w:r>
        <w:t xml:space="preserve"> </w:t>
      </w:r>
      <w:r>
        <w:rPr>
          <w:i/>
        </w:rPr>
        <w:t xml:space="preserve">QJE</w:t>
      </w:r>
      <w:r>
        <w:t xml:space="preserve">); CARES smoking deposits: +3.3–5.8pp quit rates ITT — but 66% of takers forfeited their deposits (Giné, Karlan &amp; Zinman 2010,</w:t>
      </w:r>
      <w:r>
        <w:t xml:space="preserve"> </w:t>
      </w:r>
      <w:r>
        <w:rPr>
          <w:i/>
        </w:rPr>
        <w:t xml:space="preserve">AEJ: Applied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A commitment ladder (public pledge → self-set deadline → deposit contract) with honest take-up expectations (commitment products are chosen by 11–28% of people, not everyone); explicit harm warning on hard devices — the people who fail forfeit real money; a pilot design that tracks forfeiture, not just take-up.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Hard commitments hurting exactly the people they fail; deploying commitment for externally imposed goals (it only works for wanted ones); celebrating take-up while ignoring forfeiture rates; tying up poor households’ liquidity buffers.</w:t>
      </w:r>
    </w:p>
    <w:p>
      <w:pPr>
        <w:pStyle w:val="Heading2"/>
      </w:pPr>
      <w:bookmarkStart w:id="37" w:name="s11.-default-friction-restructurer"/>
      <w:r>
        <w:t xml:space="preserve">S11. Default &amp; Friction Restructurer</w:t>
      </w:r>
      <w:bookmarkEnd w:id="37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Identifies where one choice point can be restructured through defaults or friction changes instead of persuasion.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Any enrollment, form, allocation, or renewal decision. Triggers:</w:t>
      </w:r>
      <w:r>
        <w:t xml:space="preserve"> </w:t>
      </w:r>
      <w:r>
        <w:rPr>
          <w:i/>
        </w:rPr>
        <w:t xml:space="preserve">default, opt-in vs opt-out, pre-select, make it automatic, too many steps.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The strongest evidence class in the behavioral toolkit: meta-analysis of 58 default studies, average d = 0.68 (Jachimowicz, Duncan, Weber &amp; Johnson 2019,</w:t>
      </w:r>
      <w:r>
        <w:t xml:space="preserve"> </w:t>
      </w:r>
      <w:r>
        <w:rPr>
          <w:i/>
        </w:rPr>
        <w:t xml:space="preserve">Behavioural Public Policy</w:t>
      </w:r>
      <w:r>
        <w:t xml:space="preserve">); the organ-donation policy contrast (Johnson &amp; Goldstein 2003,</w:t>
      </w:r>
      <w:r>
        <w:t xml:space="preserve"> </w:t>
      </w:r>
      <w:r>
        <w:rPr>
          <w:i/>
        </w:rPr>
        <w:t xml:space="preserve">Science</w:t>
      </w:r>
      <w:r>
        <w:t xml:space="preserve"> </w:t>
      </w:r>
      <w:r>
        <w:t xml:space="preserve">— flagged: 1-page Policy Forum, and stated</w:t>
      </w:r>
      <w:r>
        <w:t xml:space="preserve"> </w:t>
      </w:r>
      <w:r>
        <w:rPr>
          <w:i/>
        </w:rPr>
        <w:t xml:space="preserve">consent</w:t>
      </w:r>
      <w:r>
        <w:t xml:space="preserve"> </w:t>
      </w:r>
      <w:r>
        <w:t xml:space="preserve">≠ actual donation, where later evidence is mixed); crucially, defaults are the intervention class that</w:t>
      </w:r>
      <w:r>
        <w:t xml:space="preserve"> </w:t>
      </w:r>
      <w:r>
        <w:rPr>
          <w:i/>
        </w:rPr>
        <w:t xml:space="preserve">survives at scale</w:t>
      </w:r>
      <w:r>
        <w:t xml:space="preserve"> </w:t>
      </w:r>
      <w:r>
        <w:t xml:space="preserve">(DellaVigna &amp; Linos 2022,</w:t>
      </w:r>
      <w:r>
        <w:t xml:space="preserve"> </w:t>
      </w:r>
      <w:r>
        <w:rPr>
          <w:i/>
        </w:rPr>
        <w:t xml:space="preserve">Econometrica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A choice-point map of the flow; default/friction restructuring options each with an ethical guardrail check (easy reversal, transparency, alignment with the user’s own interest); calibrated expected magnitude (large by nudge standards, heterogeneous — the meta includes null and two negative results); validation hook: the cleanest A/B in the catalogue.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Defaults set against users’ interests (the dark-pattern line is one careless decision away — this skill needs the strongest escalation criteria in the repo); removing friction that served as useful deliberation; defaults on decisions communities expect to make actively and collectively.</w:t>
      </w:r>
    </w:p>
    <w:p>
      <w:pPr>
        <w:pStyle w:val="Heading2"/>
      </w:pPr>
      <w:bookmarkStart w:id="38" w:name="s12.-messenger-selector"/>
      <w:r>
        <w:t xml:space="preserve">S12. Messenger Selector</w:t>
      </w:r>
      <w:bookmarkEnd w:id="38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Recommends who should deliver one message — peer, community health worker, authority figure, or local influencer.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Choosing the sender, voice, or face for any campaign or content. Triggers:</w:t>
      </w:r>
      <w:r>
        <w:t xml:space="preserve"> </w:t>
      </w:r>
      <w:r>
        <w:rPr>
          <w:i/>
        </w:rPr>
        <w:t xml:space="preserve">who should say this, trusted messenger, should the doctor or the peer say it.</w:t>
      </w:r>
      <w:r>
        <w:t xml:space="preserve"> </w:t>
      </w:r>
      <w:r>
        <w:t xml:space="preserve">(Live for us right now: RL Experiment 3 tests peer-parent vs anganwadi-worker videos.)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Network-central</w:t>
      </w:r>
      <w:r>
        <w:t xml:space="preserve"> </w:t>
      </w:r>
      <w:r>
        <w:t xml:space="preserve">“</w:t>
      </w:r>
      <w:r>
        <w:t xml:space="preserve">gossips</w:t>
      </w:r>
      <w:r>
        <w:t xml:space="preserve">”</w:t>
      </w:r>
      <w:r>
        <w:t xml:space="preserve"> </w:t>
      </w:r>
      <w:r>
        <w:t xml:space="preserve">nominated by villagers produced significantly wider diffusion than random or status-based seeds across 521 Haryana villages (Banerjee, Chandrasekhar, Duflo &amp; Jackson 2019,</w:t>
      </w:r>
      <w:r>
        <w:t xml:space="preserve"> </w:t>
      </w:r>
      <w:r>
        <w:rPr>
          <w:i/>
        </w:rPr>
        <w:t xml:space="preserve">Review of Economic Studies</w:t>
      </w:r>
      <w:r>
        <w:t xml:space="preserve">) — directly LMIC, directly relevant.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A messenger options matrix scoring credibility, identification (</w:t>
      </w:r>
      <w:r>
        <w:t xml:space="preserve">“</w:t>
      </w:r>
      <w:r>
        <w:t xml:space="preserve">someone like me</w:t>
      </w:r>
      <w:r>
        <w:t xml:space="preserve">”</w:t>
      </w:r>
      <w:r>
        <w:t xml:space="preserve">), reach, and cost; a recommendation</w:t>
      </w:r>
      <w:r>
        <w:t xml:space="preserve"> </w:t>
      </w:r>
      <w:r>
        <w:rPr>
          <w:i/>
        </w:rPr>
        <w:t xml:space="preserve">pair</w:t>
      </w:r>
      <w:r>
        <w:t xml:space="preserve"> </w:t>
      </w:r>
      <w:r>
        <w:t xml:space="preserve">(not a single answer) with the contexts in which each wins; validation hook: a cheap two-arm horse race, which is exactly the test we have in the field now.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Importing WEIRD authority assumptions (the white coat doesn’t carry identically everywhere); messenger effects confounded with production quality in video content; reach-optimized influencers lacking trust for sensitive topics; same-gender/caste/community matching effects ignored.</w:t>
      </w:r>
    </w:p>
    <w:p>
      <w:pPr>
        <w:pStyle w:val="Heading2"/>
      </w:pPr>
      <w:bookmarkStart w:id="39" w:name="s13.-fresh-start-timing-picker"/>
      <w:r>
        <w:t xml:space="preserve">S13. Fresh Start Timing Picker</w:t>
      </w:r>
      <w:bookmarkEnd w:id="39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Picks salient temporal landmarks for launching or relaunching one behavior campaign.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“</w:t>
      </w:r>
      <w:r>
        <w:t xml:space="preserve">When should we launch?</w:t>
      </w:r>
      <w:r>
        <w:t xml:space="preserve">”</w:t>
      </w:r>
      <w:r>
        <w:t xml:space="preserve">, scheduling enrollment pushes or restart messages. Triggers:</w:t>
      </w:r>
      <w:r>
        <w:t xml:space="preserve"> </w:t>
      </w:r>
      <w:r>
        <w:rPr>
          <w:i/>
        </w:rPr>
        <w:t xml:space="preserve">timing, launch date, new year, when to send.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The fresh start effect — aspirational behavior (gym visits, goal commitments,</w:t>
      </w:r>
      <w:r>
        <w:t xml:space="preserve"> </w:t>
      </w:r>
      <w:r>
        <w:t xml:space="preserve">“</w:t>
      </w:r>
      <w:r>
        <w:t xml:space="preserve">diet</w:t>
      </w:r>
      <w:r>
        <w:t xml:space="preserve">”</w:t>
      </w:r>
      <w:r>
        <w:t xml:space="preserve"> </w:t>
      </w:r>
      <w:r>
        <w:t xml:space="preserve">searches) spikes after temporal landmarks (Dai, Milkman &amp; Riis 2014,</w:t>
      </w:r>
      <w:r>
        <w:t xml:space="preserve"> </w:t>
      </w:r>
      <w:r>
        <w:rPr>
          <w:i/>
        </w:rPr>
        <w:t xml:space="preserve">Management Science</w:t>
      </w:r>
      <w:r>
        <w:t xml:space="preserve">).</w:t>
      </w:r>
      <w:r>
        <w:t xml:space="preserve"> </w:t>
      </w:r>
      <w:r>
        <w:rPr>
          <w:b/>
        </w:rPr>
        <w:t xml:space="preserve">Flagged: the weakest evidence base in this catalogue</w:t>
      </w:r>
      <w:r>
        <w:t xml:space="preserve"> </w:t>
      </w:r>
      <w:r>
        <w:t xml:space="preserve">— archival/correlational field data plus lab studies, and the skill says so out loud. Landmark localization matters: Diwali, Eid, harvest end, school year start, payday — not January 1.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3 candidate launch moments with rationale and the local-calendar mapping; an explicit evidence-strength caveat; validation hook: staggered launch = a natural experiment for free.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Treating the US calendar as universal; fresh-start framing disrupting</w:t>
      </w:r>
      <w:r>
        <w:t xml:space="preserve"> </w:t>
      </w:r>
      <w:r>
        <w:rPr>
          <w:i/>
        </w:rPr>
        <w:t xml:space="preserve">successful ongoing</w:t>
      </w:r>
      <w:r>
        <w:t xml:space="preserve"> </w:t>
      </w:r>
      <w:r>
        <w:t xml:space="preserve">streaks; over-investing in timing optimization when content and channel dominate.</w:t>
      </w:r>
    </w:p>
    <w:p>
      <w:pPr>
        <w:pStyle w:val="Heading2"/>
      </w:pPr>
      <w:bookmarkStart w:id="40" w:name="X1049a72cbc7dd77b70d0743964384ba73d71b44"/>
      <w:r>
        <w:t xml:space="preserve">S14. Values Affirmation Drafter</w:t>
      </w:r>
      <w:r>
        <w:t xml:space="preserve"> </w:t>
      </w:r>
      <w:r>
        <w:rPr>
          <w:i/>
        </w:rPr>
        <w:t xml:space="preserve">(the doc’s own example — currently unclaimed)</w:t>
      </w:r>
      <w:bookmarkEnd w:id="40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Drafts a brief values-affirmation writing or reflection exercise adapted to a target population.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When identity threat plausibly suppresses engagement: stigma, stereotype threat,</w:t>
      </w:r>
      <w:r>
        <w:t xml:space="preserve"> </w:t>
      </w:r>
      <w:r>
        <w:t xml:space="preserve">“</w:t>
      </w:r>
      <w:r>
        <w:t xml:space="preserve">programs like this aren’t for people like me.</w:t>
      </w:r>
      <w:r>
        <w:t xml:space="preserve">”</w:t>
      </w:r>
      <w:r>
        <w:t xml:space="preserve"> </w:t>
      </w:r>
      <w:r>
        <w:t xml:space="preserve">Triggers:</w:t>
      </w:r>
      <w:r>
        <w:t xml:space="preserve"> </w:t>
      </w:r>
      <w:r>
        <w:rPr>
          <w:i/>
        </w:rPr>
        <w:t xml:space="preserve">affirmation, identity threat, stereotype, belonging.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The original striking result: a 15-minute values-writing exercise reduced the Black–White GPA gap ~40% (Cohen, Garcia, Apfel &amp; Master 2006,</w:t>
      </w:r>
      <w:r>
        <w:t xml:space="preserve"> </w:t>
      </w:r>
      <w:r>
        <w:rPr>
          <w:i/>
        </w:rPr>
        <w:t xml:space="preserve">Science</w:t>
      </w:r>
      <w:r>
        <w:t xml:space="preserve">); theory review (Cohen &amp; Sherman 2014,</w:t>
      </w:r>
      <w:r>
        <w:t xml:space="preserve"> </w:t>
      </w:r>
      <w:r>
        <w:rPr>
          <w:i/>
        </w:rPr>
        <w:t xml:space="preserve">Annual Review of Psychology</w:t>
      </w:r>
      <w:r>
        <w:t xml:space="preserve">);</w:t>
      </w:r>
      <w:r>
        <w:t xml:space="preserve"> </w:t>
      </w:r>
      <w:r>
        <w:rPr>
          <w:b/>
        </w:rPr>
        <w:t xml:space="preserve">and the honest counterweight:</w:t>
      </w:r>
      <w:r>
        <w:t xml:space="preserve"> </w:t>
      </w:r>
      <w:r>
        <w:t xml:space="preserve">a well-powered district-wide replication found</w:t>
      </w:r>
      <w:r>
        <w:t xml:space="preserve"> </w:t>
      </w:r>
      <w:r>
        <w:rPr>
          <w:i/>
        </w:rPr>
        <w:t xml:space="preserve">no detectable overall effect</w:t>
      </w:r>
      <w:r>
        <w:t xml:space="preserve">, with effects appearing context-dependent (Hanselman, Rozek, Grigg &amp; Borman 2017,</w:t>
      </w:r>
      <w:r>
        <w:t xml:space="preserve"> </w:t>
      </w:r>
      <w:r>
        <w:rPr>
          <w:i/>
        </w:rPr>
        <w:t xml:space="preserve">Journal of Educational Psychology</w:t>
      </w:r>
      <w:r>
        <w:t xml:space="preserve">). This skill is the catalogue’s poster child for</w:t>
      </w:r>
      <w:r>
        <w:t xml:space="preserve"> </w:t>
      </w:r>
      <w:r>
        <w:t xml:space="preserve">“</w:t>
      </w:r>
      <w:r>
        <w:t xml:space="preserve">options + caveats, never definitive.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2 exercise variants (written and verbal/low-literacy); the specific conditions under which effects did vs didn’t appear (threat present, timely delivery, psychological ambiguity preserved); a</w:t>
      </w:r>
      <w:r>
        <w:t xml:space="preserve"> </w:t>
      </w:r>
      <w:r>
        <w:rPr>
          <w:i/>
        </w:rPr>
        <w:t xml:space="preserve">strong</w:t>
      </w:r>
      <w:r>
        <w:t xml:space="preserve"> </w:t>
      </w:r>
      <w:r>
        <w:t xml:space="preserve">recommendation to pilot before scaling, with a pre-specified outcome.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The most likely skill in this list to produce nothing — fragile, moderator-dependent effects; values lists that don’t translate across cultures; mechanical administration destroying the psychological ingredient; teams scaling a null because the theory is appealing.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stage-4-calibrate-cross-cutting"/>
      <w:r>
        <w:t xml:space="preserve">Stage 4 — CALIBRATE</w:t>
      </w:r>
      <w:r>
        <w:t xml:space="preserve"> </w:t>
      </w:r>
      <w:r>
        <w:rPr>
          <w:i/>
        </w:rPr>
        <w:t xml:space="preserve">(cross-cutting)</w:t>
      </w:r>
      <w:bookmarkEnd w:id="41"/>
    </w:p>
    <w:p>
      <w:pPr>
        <w:pStyle w:val="Heading2"/>
      </w:pPr>
      <w:bookmarkStart w:id="42" w:name="s15.-evidence-generalizability-checker"/>
      <w:r>
        <w:t xml:space="preserve">S15. Evidence Generalizability Checker</w:t>
      </w:r>
      <w:bookmarkEnd w:id="4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Assesses whether the evidence behind one proposed intervention transports to your population and delivery context.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“</w:t>
      </w:r>
      <w:r>
        <w:t xml:space="preserve">This worked in the US / in a paper / for Duolingo — will it work here?</w:t>
      </w:r>
      <w:r>
        <w:t xml:space="preserve">”</w:t>
      </w:r>
      <w:r>
        <w:t xml:space="preserve"> </w:t>
      </w:r>
      <w:r>
        <w:t xml:space="preserve">Before adopting any borrowed intervention. Triggers:</w:t>
      </w:r>
      <w:r>
        <w:t xml:space="preserve"> </w:t>
      </w:r>
      <w:r>
        <w:rPr>
          <w:i/>
        </w:rPr>
        <w:t xml:space="preserve">will this work here, evidence for our context, has this been tested in India.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WEIRD sampling critique (Henrich, Heine &amp; Norenzayan 2010,</w:t>
      </w:r>
      <w:r>
        <w:t xml:space="preserve"> </w:t>
      </w:r>
      <w:r>
        <w:rPr>
          <w:i/>
        </w:rPr>
        <w:t xml:space="preserve">Behavioral and Brain Sciences</w:t>
      </w:r>
      <w:r>
        <w:t xml:space="preserve">); the heterogeneity revolution — treatment effects vary systematically and replication</w:t>
      </w:r>
      <w:r>
        <w:t xml:space="preserve"> </w:t>
      </w:r>
      <w:r>
        <w:t xml:space="preserve">“</w:t>
      </w:r>
      <w:r>
        <w:t xml:space="preserve">failures</w:t>
      </w:r>
      <w:r>
        <w:t xml:space="preserve">”</w:t>
      </w:r>
      <w:r>
        <w:t xml:space="preserve"> </w:t>
      </w:r>
      <w:r>
        <w:t xml:space="preserve">are expected without understanding moderators (Bryan, Tipton &amp; Yeager 2021,</w:t>
      </w:r>
      <w:r>
        <w:t xml:space="preserve"> </w:t>
      </w:r>
      <w:r>
        <w:rPr>
          <w:i/>
        </w:rPr>
        <w:t xml:space="preserve">Nature Human Behaviour</w:t>
      </w:r>
      <w:r>
        <w:t xml:space="preserve">); lab-to-scale attenuation (DellaVigna &amp; Linos 2022,</w:t>
      </w:r>
      <w:r>
        <w:t xml:space="preserve"> </w:t>
      </w:r>
      <w:r>
        <w:rPr>
          <w:i/>
        </w:rPr>
        <w:t xml:space="preserve">Econometrica</w:t>
      </w:r>
      <w:r>
        <w:t xml:space="preserve">).</w:t>
      </w:r>
      <w:r>
        <w:t xml:space="preserve"> </w:t>
      </w:r>
      <w:r>
        <w:rPr>
          <w:b/>
        </w:rPr>
        <w:t xml:space="preserve">Complementarity note:</w:t>
      </w:r>
      <w:r>
        <w:t xml:space="preserve"> </w:t>
      </w:r>
      <w:r>
        <w:t xml:space="preserve">Patricia has claimed a</w:t>
      </w:r>
      <w:r>
        <w:t xml:space="preserve"> </w:t>
      </w:r>
      <w:r>
        <w:rPr>
          <w:i/>
        </w:rPr>
        <w:t xml:space="preserve">cultural psychology lens</w:t>
      </w:r>
      <w:r>
        <w:t xml:space="preserve"> </w:t>
      </w:r>
      <w:r>
        <w:t xml:space="preserve">skill — hers audits the design through cultural-psych theory; this one audits the</w:t>
      </w:r>
      <w:r>
        <w:t xml:space="preserve"> </w:t>
      </w:r>
      <w:r>
        <w:rPr>
          <w:i/>
        </w:rPr>
        <w:t xml:space="preserve">evidence</w:t>
      </w:r>
      <w:r>
        <w:t xml:space="preserve"> </w:t>
      </w:r>
      <w:r>
        <w:t xml:space="preserve">(samples, settings, scale). They should cross-reference.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A gap report across four transport dimensions — population, delivery channel, scale, outcome distance — with a verdict in three grades:</w:t>
      </w:r>
      <w:r>
        <w:t xml:space="preserve"> </w:t>
      </w:r>
      <w:r>
        <w:rPr>
          <w:i/>
        </w:rPr>
        <w:t xml:space="preserve">adopt</w:t>
      </w:r>
      <w:r>
        <w:t xml:space="preserve"> </w:t>
      </w:r>
      <w:r>
        <w:t xml:space="preserve">(close match),</w:t>
      </w:r>
      <w:r>
        <w:t xml:space="preserve"> </w:t>
      </w:r>
      <w:r>
        <w:rPr>
          <w:i/>
        </w:rPr>
        <w:t xml:space="preserve">adapt</w:t>
      </w:r>
      <w:r>
        <w:t xml:space="preserve"> </w:t>
      </w:r>
      <w:r>
        <w:t xml:space="preserve">(theory transfers, surface doesn’t),</w:t>
      </w:r>
      <w:r>
        <w:t xml:space="preserve"> </w:t>
      </w:r>
      <w:r>
        <w:rPr>
          <w:i/>
        </w:rPr>
        <w:t xml:space="preserve">pilot-first</w:t>
      </w:r>
      <w:r>
        <w:t xml:space="preserve"> </w:t>
      </w:r>
      <w:r>
        <w:t xml:space="preserve">(evidence is too far away); plus a minimal pilot design for the third case.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False precision — transportability can’t be computed, only flagged; the cynicism failure mode where nothing ever passes and teams are paralyzed (the output must always include the</w:t>
      </w:r>
      <w:r>
        <w:t xml:space="preserve"> </w:t>
      </w:r>
      <w:r>
        <w:rPr>
          <w:i/>
        </w:rPr>
        <w:t xml:space="preserve">least-bad</w:t>
      </w:r>
      <w:r>
        <w:t xml:space="preserve"> </w:t>
      </w:r>
      <w:r>
        <w:t xml:space="preserve">option); treating</w:t>
      </w:r>
      <w:r>
        <w:t xml:space="preserve"> </w:t>
      </w:r>
      <w:r>
        <w:t xml:space="preserve">“</w:t>
      </w:r>
      <w:r>
        <w:t xml:space="preserve">no LMIC evidence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won’t work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test first.</w:t>
      </w:r>
      <w:r>
        <w:t xml:space="preserve">”</w:t>
      </w:r>
    </w:p>
    <w:p>
      <w:pPr>
        <w:pStyle w:val="Heading2"/>
      </w:pPr>
      <w:bookmarkStart w:id="43" w:name="s16.-effect-size-reality-checker"/>
      <w:r>
        <w:t xml:space="preserve">S16. Effect Size Reality Checker</w:t>
      </w:r>
      <w:bookmarkEnd w:id="43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Converts a published effect size into a realistic expectation for your deployment, and the sample size that expectation implies.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Writing proposals, setting KPIs with funders, deciding whether a test is worth running. Triggers:</w:t>
      </w:r>
      <w:r>
        <w:t xml:space="preserve"> </w:t>
      </w:r>
      <w:r>
        <w:rPr>
          <w:i/>
        </w:rPr>
        <w:t xml:space="preserve">what lift should we expect, the paper says 25%, is this worth testing, set targets.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The calibration literature, post-2020 and bracing: choice-architecture meta-analysis d = 0.43 (Mertens, Herberz, Hahnel &amp; Brosch 2022,</w:t>
      </w:r>
      <w:r>
        <w:t xml:space="preserve"> </w:t>
      </w:r>
      <w:r>
        <w:rPr>
          <w:i/>
        </w:rPr>
        <w:t xml:space="preserve">PNAS</w:t>
      </w:r>
      <w:r>
        <w:t xml:space="preserve">) versus</w:t>
      </w:r>
      <w:r>
        <w:t xml:space="preserve"> </w:t>
      </w:r>
      <w:r>
        <w:rPr>
          <w:i/>
        </w:rPr>
        <w:t xml:space="preserve">no evidence of an overall effect</w:t>
      </w:r>
      <w:r>
        <w:t xml:space="preserve"> </w:t>
      </w:r>
      <w:r>
        <w:t xml:space="preserve">after publication-bias correction (Maier et al. 2022,</w:t>
      </w:r>
      <w:r>
        <w:t xml:space="preserve"> </w:t>
      </w:r>
      <w:r>
        <w:rPr>
          <w:i/>
        </w:rPr>
        <w:t xml:space="preserve">PNAS</w:t>
      </w:r>
      <w:r>
        <w:t xml:space="preserve"> </w:t>
      </w:r>
      <w:r>
        <w:t xml:space="preserve">— itself a Bayesian model-averaging exercise); academic papers +8.7pp vs Nudge Units at scale +1.4pp (DellaVigna &amp; Linos 2022,</w:t>
      </w:r>
      <w:r>
        <w:t xml:space="preserve"> </w:t>
      </w:r>
      <w:r>
        <w:rPr>
          <w:i/>
        </w:rPr>
        <w:t xml:space="preserve">Econometrica</w:t>
      </w:r>
      <w:r>
        <w:t xml:space="preserve">); megastudies where the average text nudge moved vaccination ~+2pp and experts systematically overestimated effects (Milkman et al. 2021,</w:t>
      </w:r>
      <w:r>
        <w:t xml:space="preserve"> </w:t>
      </w:r>
      <w:r>
        <w:rPr>
          <w:i/>
        </w:rPr>
        <w:t xml:space="preserve">Nature</w:t>
      </w:r>
      <w:r>
        <w:t xml:space="preserve">; Milkman et al. 2021,</w:t>
      </w:r>
      <w:r>
        <w:t xml:space="preserve"> </w:t>
      </w:r>
      <w:r>
        <w:rPr>
          <w:i/>
        </w:rPr>
        <w:t xml:space="preserve">PNAS</w:t>
      </w:r>
      <w:r>
        <w:t xml:space="preserve">). The skill’s engine is explicitly Bayesian: the published literature is your</w:t>
      </w:r>
      <w:r>
        <w:t xml:space="preserve"> </w:t>
      </w:r>
      <w:r>
        <w:rPr>
          <w:i/>
        </w:rPr>
        <w:t xml:space="preserve">prior</w:t>
      </w:r>
      <w:r>
        <w:t xml:space="preserve">, not your prediction — and the right prior is the bias-corrected, at-scale-adjusted one. Design analysis with realistic priors also exposes the two errors that haunt small NGO experiments: Type S (your significant result has the wrong</w:t>
      </w:r>
      <w:r>
        <w:t xml:space="preserve"> </w:t>
      </w:r>
      <w:r>
        <w:rPr>
          <w:i/>
        </w:rPr>
        <w:t xml:space="preserve">sign</w:t>
      </w:r>
      <w:r>
        <w:t xml:space="preserve">) and Type M (the exaggeration ratio — significant estimates from noisy studies systematically overstate true effects) (Gelman &amp; Carlin 2014,</w:t>
      </w:r>
      <w:r>
        <w:t xml:space="preserve"> </w:t>
      </w:r>
      <w:r>
        <w:rPr>
          <w:i/>
        </w:rPr>
        <w:t xml:space="preserve">Perspectives on Psychological Science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A calibrated three-point range — optimistic / realistic / null-plausible — framed as a prior distribution in plain language (</w:t>
      </w:r>
      <w:r>
        <w:t xml:space="preserve">“</w:t>
      </w:r>
      <w:r>
        <w:t xml:space="preserve">before your test, the smart money is on +1–3pp; +10pp would be surprising</w:t>
      </w:r>
      <w:r>
        <w:t xml:space="preserve">”</w:t>
      </w:r>
      <w:r>
        <w:t xml:space="preserve">); the Type M warning made concrete (</w:t>
      </w:r>
      <w:r>
        <w:t xml:space="preserve">“</w:t>
      </w:r>
      <w:r>
        <w:t xml:space="preserve">if you run n=500 and get a significant result, expect that estimate to be ~3× the true effect</w:t>
      </w:r>
      <w:r>
        <w:t xml:space="preserve">”</w:t>
      </w:r>
      <w:r>
        <w:t xml:space="preserve">); what each scenario implies for sample size (feeding S18); funder-honest language for proposals (</w:t>
      </w:r>
      <w:r>
        <w:t xml:space="preserve">“</w:t>
      </w:r>
      <w:r>
        <w:t xml:space="preserve">published estimates range X–Y; at-scale analogues suggest Z; we will test</w:t>
      </w:r>
      <w:r>
        <w:t xml:space="preserve">”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Over-deflation killing justified ambition — some interventions DO produce large effects (lentils + camps doubled immunization, Banerjee et al. 2010; phone tutoring delivered ~0.89 SD learning per $100, Angrist, Bergman &amp; Matsheng 2022,</w:t>
      </w:r>
      <w:r>
        <w:t xml:space="preserve"> </w:t>
      </w:r>
      <w:r>
        <w:rPr>
          <w:i/>
        </w:rPr>
        <w:t xml:space="preserve">Nature Human Behaviour</w:t>
      </w:r>
      <w:r>
        <w:t xml:space="preserve">) — the skill must distinguish</w:t>
      </w:r>
      <w:r>
        <w:t xml:space="preserve"> </w:t>
      </w:r>
      <w:r>
        <w:t xml:space="preserve">“</w:t>
      </w:r>
      <w:r>
        <w:t xml:space="preserve">light-touch message nudge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structural redesign</w:t>
      </w:r>
      <w:r>
        <w:t xml:space="preserve">”</w:t>
      </w:r>
      <w:r>
        <w:t xml:space="preserve">; crude domain corrections applied across very different intervention classes.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stage-5-test-learn"/>
      <w:r>
        <w:t xml:space="preserve">Stage 5 — TEST &amp; LEARN</w:t>
      </w:r>
      <w:bookmarkEnd w:id="44"/>
    </w:p>
    <w:p>
      <w:pPr>
        <w:pStyle w:val="FirstParagraph"/>
      </w:pPr>
      <w:r>
        <w:rPr>
          <w:i/>
        </w:rPr>
        <w:t xml:space="preserve">Our strongest conviction: testing infrastructure is a foundational capability for the target user, not an appendix. These four skills are where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no behavioral scientist in the room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gets safest.</w:t>
      </w:r>
    </w:p>
    <w:p>
      <w:pPr>
        <w:pStyle w:val="Heading2"/>
      </w:pPr>
      <w:bookmarkStart w:id="45" w:name="s17.-message-ab-test-designer"/>
      <w:r>
        <w:t xml:space="preserve">S17. Message A/B Test Designer</w:t>
      </w:r>
      <w:bookmarkEnd w:id="45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Turns one message decision into a runnable randomized test for a chatbot, SMS, or WhatsApp program.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“</w:t>
      </w:r>
      <w:r>
        <w:t xml:space="preserve">Which version should we send?</w:t>
      </w:r>
      <w:r>
        <w:t xml:space="preserve">”</w:t>
      </w:r>
      <w:r>
        <w:t xml:space="preserve"> </w:t>
      </w:r>
      <w:r>
        <w:t xml:space="preserve">— the answer is almost always</w:t>
      </w:r>
      <w:r>
        <w:t xml:space="preserve"> </w:t>
      </w:r>
      <w:r>
        <w:t xml:space="preserve">“</w:t>
      </w:r>
      <w:r>
        <w:t xml:space="preserve">test it.</w:t>
      </w:r>
      <w:r>
        <w:t xml:space="preserve">”</w:t>
      </w:r>
      <w:r>
        <w:t xml:space="preserve"> </w:t>
      </w:r>
      <w:r>
        <w:t xml:space="preserve">Triggers:</w:t>
      </w:r>
      <w:r>
        <w:t xml:space="preserve"> </w:t>
      </w:r>
      <w:r>
        <w:rPr>
          <w:i/>
        </w:rPr>
        <w:t xml:space="preserve">A/B test, which message works, experiment, test variants.</w:t>
      </w:r>
      <w:r>
        <w:t xml:space="preserve"> </w:t>
      </w:r>
      <w:r>
        <w:t xml:space="preserve">(We run these weekly on WhatsApp programs; this skill encodes that practice.)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At-scale embedded experimentation practice as documented across 126 Nudge Unit RCTs (DellaVigna &amp; Linos 2022,</w:t>
      </w:r>
      <w:r>
        <w:t xml:space="preserve"> </w:t>
      </w:r>
      <w:r>
        <w:rPr>
          <w:i/>
        </w:rPr>
        <w:t xml:space="preserve">Econometrica</w:t>
      </w:r>
      <w:r>
        <w:t xml:space="preserve">); design fundamentals: randomization unit, contamination, runtime (with power from S18, analysis integrity from S19).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2–4 arms including a holdout, with each arm differing on</w:t>
      </w:r>
      <w:r>
        <w:t xml:space="preserve"> </w:t>
      </w:r>
      <w:r>
        <w:rPr>
          <w:i/>
        </w:rPr>
        <w:t xml:space="preserve">one</w:t>
      </w:r>
      <w:r>
        <w:t xml:space="preserve"> </w:t>
      </w:r>
      <w:r>
        <w:t xml:space="preserve">thing; randomization-unit recommendation with a contamination check (shared phones, village-level spillover → cluster); delivery-confirmation instrumentation — verify messages actually went out before believing any result (the silent killer; see S2/S20); runtime estimate; analysis spec feeding S19.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Randomizing at the wrong unit; peeking and stopping early on noise; arms that differ on three things at once (uninterpretable); testing trivia while the program bleeds users at a step upstream (run S2 first).</w:t>
      </w:r>
    </w:p>
    <w:p>
      <w:pPr>
        <w:pStyle w:val="Heading2"/>
      </w:pPr>
      <w:bookmarkStart w:id="46" w:name="s18.-power-mde-calculator"/>
      <w:r>
        <w:t xml:space="preserve">S18. Power &amp; MDE Calculator</w:t>
      </w:r>
      <w:bookmarkEnd w:id="46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Computes the sample size one test needs, or the smallest effect a given sample can detect.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Before any test, full stop. Triggers:</w:t>
      </w:r>
      <w:r>
        <w:t xml:space="preserve"> </w:t>
      </w:r>
      <w:r>
        <w:rPr>
          <w:i/>
        </w:rPr>
        <w:t xml:space="preserve">is n=400 enough, sample size, how long to run, can we detect.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Design-based power improvements — ANCOVA over difference-in-differences, multiple follow-ups for noisy outcomes (McKenzie 2012,</w:t>
      </w:r>
      <w:r>
        <w:t xml:space="preserve"> </w:t>
      </w:r>
      <w:r>
        <w:rPr>
          <w:i/>
        </w:rPr>
        <w:t xml:space="preserve">Journal of Development Economics</w:t>
      </w:r>
      <w:r>
        <w:t xml:space="preserve">); calibrated priors from S16 (if at-scale analogues suggest +1–3pp, powering for +10pp is self-deception); the dual-language framing of design questions — frequentist power/MDE alongside Bayesian estimation with credible intervals and a region of practical equivalence (Kruschke &amp; Liddell 2018,</w:t>
      </w:r>
      <w:r>
        <w:t xml:space="preserve"> </w:t>
      </w:r>
      <w:r>
        <w:rPr>
          <w:i/>
        </w:rPr>
        <w:t xml:space="preserve">Psychonomic Bulletin &amp; Review</w:t>
      </w:r>
      <w:r>
        <w:t xml:space="preserve">).</w:t>
      </w:r>
      <w:r>
        <w:t xml:space="preserve"> </w:t>
      </w:r>
      <w:r>
        <w:rPr>
          <w:b/>
        </w:rPr>
        <w:t xml:space="preserve">This is a procedural skill: it ships with a script and runs code — an LLM must never freehand power arithmetic.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An MDE table across scenarios (effect size × clustering/ICC × attrition);</w:t>
      </w:r>
      <w:r>
        <w:t xml:space="preserve"> </w:t>
      </w:r>
      <w:r>
        <w:rPr>
          <w:b/>
        </w:rPr>
        <w:t xml:space="preserve">the same answer in both statistical languages</w:t>
      </w:r>
      <w:r>
        <w:t xml:space="preserve">, because they serve different audiences: the</w:t>
      </w:r>
      <w:r>
        <w:t xml:space="preserve"> </w:t>
      </w:r>
      <w:r>
        <w:rPr>
          <w:i/>
        </w:rPr>
        <w:t xml:space="preserve">frequentist readout</w:t>
      </w:r>
      <w:r>
        <w:t xml:space="preserve"> </w:t>
      </w:r>
      <w:r>
        <w:t xml:space="preserve">for protocols and funders (</w:t>
      </w:r>
      <w:r>
        <w:t xml:space="preserve">“</w:t>
      </w:r>
      <w:r>
        <w:t xml:space="preserve">with n=4,000 and 80% power you can detect a 3.5pp lift at α=0.05</w:t>
      </w:r>
      <w:r>
        <w:t xml:space="preserve">”</w:t>
      </w:r>
      <w:r>
        <w:t xml:space="preserve">) and the</w:t>
      </w:r>
      <w:r>
        <w:t xml:space="preserve"> </w:t>
      </w:r>
      <w:r>
        <w:rPr>
          <w:i/>
        </w:rPr>
        <w:t xml:space="preserve">Bayesian readout</w:t>
      </w:r>
      <w:r>
        <w:t xml:space="preserve"> </w:t>
      </w:r>
      <w:r>
        <w:t xml:space="preserve">for the team’s actual decision (</w:t>
      </w:r>
      <w:r>
        <w:t xml:space="preserve">“</w:t>
      </w:r>
      <w:r>
        <w:t xml:space="preserve">with n=4,000, if the true effect is the realistic prior from S16, you’ll end the test ~85% sure the effect is positive — and a flat result will rightly move your belief most of the way toward</w:t>
      </w:r>
      <w:r>
        <w:t xml:space="preserve"> </w:t>
      </w:r>
      <w:r>
        <w:t xml:space="preserve">‘</w:t>
      </w:r>
      <w:r>
        <w:t xml:space="preserve">smaller than 1pp</w:t>
      </w:r>
      <w:r>
        <w:t xml:space="preserve">’</w:t>
      </w:r>
      <w:r>
        <w:t xml:space="preserve">”</w:t>
      </w:r>
      <w:r>
        <w:t xml:space="preserve">); options when underpowered: proximal outcomes, within-subject designs, longer runtime, or honestly not running the test.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Hand-waved ICC assumptions flipping conclusions; powering on lab effect sizes; the subtler failure — running the underpowered test anyway and then</w:t>
      </w:r>
      <w:r>
        <w:t xml:space="preserve"> </w:t>
      </w:r>
      <w:r>
        <w:rPr>
          <w:i/>
        </w:rPr>
        <w:t xml:space="preserve">interpreting</w:t>
      </w:r>
      <w:r>
        <w:t xml:space="preserve"> </w:t>
      </w:r>
      <w:r>
        <w:t xml:space="preserve">the null (see S20); attrition ignored until analysis; Bayesian language misused as a license to stop early on hopeful posteriors (stopping rules still belong in S19).</w:t>
      </w:r>
    </w:p>
    <w:p>
      <w:pPr>
        <w:pStyle w:val="Heading2"/>
      </w:pPr>
      <w:bookmarkStart w:id="47" w:name="s19.-pre-analysis-plan-drafter"/>
      <w:r>
        <w:t xml:space="preserve">S19. Pre-Analysis Plan Drafter</w:t>
      </w:r>
      <w:bookmarkEnd w:id="47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Drafts a one-page pre-analysis plan for one simple experiment.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After design is locked (S17/S18), before launch. Triggers:</w:t>
      </w:r>
      <w:r>
        <w:t xml:space="preserve"> </w:t>
      </w:r>
      <w:r>
        <w:rPr>
          <w:i/>
        </w:rPr>
        <w:t xml:space="preserve">pre-register, analysis plan, how will we judge this, what counts as success.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PAPs constrain data-mining and specification search, with honest costs acknowledged (Olken 2015,</w:t>
      </w:r>
      <w:r>
        <w:t xml:space="preserve"> </w:t>
      </w:r>
      <w:r>
        <w:rPr>
          <w:i/>
        </w:rPr>
        <w:t xml:space="preserve">Journal of Economic Perspectives</w:t>
      </w:r>
      <w:r>
        <w:t xml:space="preserve"> </w:t>
      </w:r>
      <w:r>
        <w:t xml:space="preserve">— flagged: solicited review); the canonical demonstration: in the Sierra Leone GoBifo evaluation the PAP prevented two divergent, equally plausible wrong interpretations of the same data (Casey, Glennerster &amp; Miguel 2012,</w:t>
      </w:r>
      <w:r>
        <w:t xml:space="preserve"> </w:t>
      </w:r>
      <w:r>
        <w:rPr>
          <w:i/>
        </w:rPr>
        <w:t xml:space="preserve">QJE</w:t>
      </w:r>
      <w:r>
        <w:t xml:space="preserve">).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One page: a single primary outcome, the estimation approach in plain language, subgroups declared in advance (or explicitly none), a multiple-testing stance, a stopping rule, and what result triggers what decision. Proportionate by design — one page for a message test, not forty.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Over-engineering small program tests until teams skip planning entirely (proportionality is the point); PAP theater — written, filed, ignored at analysis time; ambiguous outcome definitions that quietly recreate the garden of forking paths.</w:t>
      </w:r>
    </w:p>
    <w:p>
      <w:pPr>
        <w:pStyle w:val="Heading2"/>
      </w:pPr>
      <w:bookmarkStart w:id="48" w:name="s20.-null-result-diagnostician"/>
      <w:r>
        <w:t xml:space="preserve">S20. Null Result Diagnostician</w:t>
      </w:r>
      <w:bookmarkEnd w:id="48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Diagnoses why one experiment showed no effect, separating implementation, power, measurement, and theory failures — in that order.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“</w:t>
      </w:r>
      <w:r>
        <w:t xml:space="preserve">It didn’t work.</w:t>
      </w:r>
      <w:r>
        <w:t xml:space="preserve">”</w:t>
      </w:r>
      <w:r>
        <w:t xml:space="preserve"> </w:t>
      </w:r>
      <w:r>
        <w:t xml:space="preserve">Before killing a program, before blaming the theory, before the post-mortem meeting. Triggers:</w:t>
      </w:r>
      <w:r>
        <w:t xml:space="preserve"> </w:t>
      </w:r>
      <w:r>
        <w:rPr>
          <w:i/>
        </w:rPr>
        <w:t xml:space="preserve">no effect, null result, the test failed, didn’t move the needle.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Heterogeneity framing — a null average can hide real effects in subgroups and contexts (Bryan, Tipton &amp; Yeager 2021,</w:t>
      </w:r>
      <w:r>
        <w:t xml:space="preserve"> </w:t>
      </w:r>
      <w:r>
        <w:rPr>
          <w:i/>
        </w:rPr>
        <w:t xml:space="preserve">Nature Human Behaviour</w:t>
      </w:r>
      <w:r>
        <w:t xml:space="preserve">); systematic attenuation at scale (DellaVigna &amp; Linos 2022,</w:t>
      </w:r>
      <w:r>
        <w:t xml:space="preserve"> </w:t>
      </w:r>
      <w:r>
        <w:rPr>
          <w:i/>
        </w:rPr>
        <w:t xml:space="preserve">Econometrica</w:t>
      </w:r>
      <w:r>
        <w:t xml:space="preserve">); and our own scar tissue: a</w:t>
      </w:r>
      <w:r>
        <w:t xml:space="preserve"> </w:t>
      </w:r>
      <w:r>
        <w:t xml:space="preserve">“</w:t>
      </w:r>
      <w:r>
        <w:t xml:space="preserve">null</w:t>
      </w:r>
      <w:r>
        <w:t xml:space="preserve">”</w:t>
      </w:r>
      <w:r>
        <w:t xml:space="preserve"> </w:t>
      </w:r>
      <w:r>
        <w:t xml:space="preserve">arm that was never delivered. Implementation failure masquerades as theory failure constantly, and almost no one checks in the right order.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A fixed-order decision-tree walk: (1) delivery logs — did it reach people? (2) exposure — did they open/see it? (3) power — what could this test even detect (from S18) vs what was plausible (from S16)? (4) measurement — could the outcome move and your instrument miss it? (5) only then, theory. Verdict plus the next cheapest experiment that discriminates between surviving explanations.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Motivated-reasoning rescue (</w:t>
      </w:r>
      <w:r>
        <w:t xml:space="preserve">“</w:t>
      </w:r>
      <w:r>
        <w:t xml:space="preserve">it really works, the test was just bad</w:t>
      </w:r>
      <w:r>
        <w:t xml:space="preserve">”</w:t>
      </w:r>
      <w:r>
        <w:t xml:space="preserve">) — the skill requires pre-committed standards (S19) to cite back; the opposite failure: killing a sound program off one underpowered null; post-hoc subgroup fishing dressed up as</w:t>
      </w:r>
      <w:r>
        <w:t xml:space="preserve"> </w:t>
      </w:r>
      <w:r>
        <w:t xml:space="preserve">“</w:t>
      </w:r>
      <w:r>
        <w:t xml:space="preserve">heterogeneity analysis.</w:t>
      </w:r>
      <w:r>
        <w:t xml:space="preserve">”</w:t>
      </w:r>
    </w:p>
    <w:p>
      <w:pPr>
        <w:pStyle w:val="Heading2"/>
      </w:pPr>
      <w:bookmarkStart w:id="49" w:name="s21.-rapid-qual-pretest-designer"/>
      <w:r>
        <w:t xml:space="preserve">S21. Rapid Qual Pretest Designer</w:t>
      </w:r>
      <w:bookmarkEnd w:id="49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Designs a 5–8 user qualitative pretest of one piece of program content before launch.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A new message, video, or flow is about to ship to thousands of people and no real user has seen it. Triggers:</w:t>
      </w:r>
      <w:r>
        <w:t xml:space="preserve"> </w:t>
      </w:r>
      <w:r>
        <w:rPr>
          <w:i/>
        </w:rPr>
        <w:t xml:space="preserve">pretest, will people get this, user check, before we send it.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Think-aloud and probing methods (Beatty &amp; Willis 2007,</w:t>
      </w:r>
      <w:r>
        <w:t xml:space="preserve"> </w:t>
      </w:r>
      <w:r>
        <w:rPr>
          <w:i/>
        </w:rPr>
        <w:t xml:space="preserve">Public Opinion Quarterly</w:t>
      </w:r>
      <w:r>
        <w:t xml:space="preserve">); analysis via thematic analysis (Braun &amp; Clarke 2006,</w:t>
      </w:r>
      <w:r>
        <w:t xml:space="preserve"> </w:t>
      </w:r>
      <w:r>
        <w:rPr>
          <w:i/>
        </w:rPr>
        <w:t xml:space="preserve">Qualitative Research in Psychology</w:t>
      </w:r>
      <w:r>
        <w:t xml:space="preserve"> </w:t>
      </w:r>
      <w:r>
        <w:t xml:space="preserve">— note their later</w:t>
      </w:r>
      <w:r>
        <w:t xml:space="preserve"> </w:t>
      </w:r>
      <w:r>
        <w:t xml:space="preserve">“</w:t>
      </w:r>
      <w:r>
        <w:t xml:space="preserve">reflexive TA</w:t>
      </w:r>
      <w:r>
        <w:t xml:space="preserve">”</w:t>
      </w:r>
      <w:r>
        <w:t xml:space="preserve"> </w:t>
      </w:r>
      <w:r>
        <w:t xml:space="preserve">refinements).</w:t>
      </w:r>
      <w:r>
        <w:t xml:space="preserve"> </w:t>
      </w:r>
      <w:r>
        <w:rPr>
          <w:b/>
        </w:rPr>
        <w:t xml:space="preserve">Adjacency note:</w:t>
      </w:r>
      <w:r>
        <w:t xml:space="preserve"> </w:t>
      </w:r>
      <w:r>
        <w:t xml:space="preserve">Zezhen’s cognitive interview script generator targets survey items; this targets program content. Cross-reference, don’t duplicate.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A recruitment spec optimizing for</w:t>
      </w:r>
      <w:r>
        <w:t xml:space="preserve"> </w:t>
      </w:r>
      <w:r>
        <w:rPr>
          <w:i/>
        </w:rPr>
        <w:t xml:space="preserve">heterogeneity</w:t>
      </w:r>
      <w:r>
        <w:t xml:space="preserve"> </w:t>
      </w:r>
      <w:r>
        <w:t xml:space="preserve">(the skeptic, the low-literacy user, the edge case — not eight enthusiasts); a protocol covering comprehension (teach-back), interpretation (</w:t>
      </w:r>
      <w:r>
        <w:t xml:space="preserve">“</w:t>
      </w:r>
      <w:r>
        <w:t xml:space="preserve">what is this asking you to do?</w:t>
      </w:r>
      <w:r>
        <w:t xml:space="preserve">”</w:t>
      </w:r>
      <w:r>
        <w:t xml:space="preserve">), and honest-persuasion probes; a one-page synthesis grid; explicit go / fix / kill criteria agreed before the interviews.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Convenience-sampling the friendliest users; pretest theater — running it and shipping unchanged regardless; treating 6 interviews as effect-size evidence (it screens for catastrophe and confusion, it does not measure impact).</w:t>
      </w:r>
    </w:p>
    <w:p>
      <w:pPr>
        <w:pStyle w:val="Heading2"/>
      </w:pPr>
      <w:bookmarkStart w:id="50" w:name="Xb97af044c2e81afecbb08dd965f725f66f039b8"/>
      <w:r>
        <w:t xml:space="preserve">S22. Experiment Design Walkthrough ⭐</w:t>
      </w:r>
      <w:r>
        <w:t xml:space="preserve"> </w:t>
      </w:r>
      <w:r>
        <w:rPr>
          <w:i/>
        </w:rPr>
        <w:t xml:space="preserve">(the one deliberate molecule)</w:t>
      </w:r>
      <w:bookmarkEnd w:id="50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What it does:</w:t>
      </w:r>
      <w:r>
        <w:t xml:space="preserve"> </w:t>
      </w:r>
      <w:r>
        <w:t xml:space="preserve">Walks a non-specialist from a defined key behavior and a set of intervention ideas to a complete, honestly-powered experimental design plan.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When it should be used:</w:t>
      </w:r>
      <w:r>
        <w:t xml:space="preserve"> </w:t>
      </w:r>
      <w:r>
        <w:t xml:space="preserve">“</w:t>
      </w:r>
      <w:r>
        <w:t xml:space="preserve">We know what behavior we want and we have ideas — how do we set up a proper test?</w:t>
      </w:r>
      <w:r>
        <w:t xml:space="preserve">”</w:t>
      </w:r>
      <w:r>
        <w:t xml:space="preserve"> </w:t>
      </w:r>
      <w:r>
        <w:t xml:space="preserve">Triggers:</w:t>
      </w:r>
      <w:r>
        <w:t xml:space="preserve"> </w:t>
      </w:r>
      <w:r>
        <w:rPr>
          <w:i/>
        </w:rPr>
        <w:t xml:space="preserve">design our experiment, set up a test, we have three ideas, experiment plan, pilot design.</w:t>
      </w:r>
      <w:r>
        <w:t xml:space="preserve"> </w:t>
      </w:r>
      <w:r>
        <w:t xml:space="preserve">This is the front door for users who would never invoke five atomic skills in sequence.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What it draws on:</w:t>
      </w:r>
      <w:r>
        <w:t xml:space="preserve"> </w:t>
      </w:r>
      <w:r>
        <w:t xml:space="preserve">This skill is</w:t>
      </w:r>
      <w:r>
        <w:t xml:space="preserve"> </w:t>
      </w:r>
      <w:r>
        <w:rPr>
          <w:b/>
        </w:rPr>
        <w:t xml:space="preserve">deliberately not atomic</w:t>
      </w:r>
      <w:r>
        <w:t xml:space="preserve"> </w:t>
      </w:r>
      <w:r>
        <w:t xml:space="preserve">— it is the orchestrating layer that composes S16 → S17 → S18 → S19 in a guided conversation, and we flag that openly (it directly answers the</w:t>
      </w:r>
      <w:r>
        <w:t xml:space="preserve"> </w:t>
      </w:r>
      <w:r>
        <w:t xml:space="preserve">“</w:t>
      </w:r>
      <w:r>
        <w:t xml:space="preserve">maybe orgs want the molecule, not the atoms</w:t>
      </w:r>
      <w:r>
        <w:t xml:space="preserve">”</w:t>
      </w:r>
      <w:r>
        <w:t xml:space="preserve"> </w:t>
      </w:r>
      <w:r>
        <w:t xml:space="preserve">objection in our counterfactual check). Its statistical spine: calibrated priors and Type S/M design analysis (Gelman &amp; Carlin 2014,</w:t>
      </w:r>
      <w:r>
        <w:t xml:space="preserve"> </w:t>
      </w:r>
      <w:r>
        <w:rPr>
          <w:i/>
        </w:rPr>
        <w:t xml:space="preserve">Perspectives on Psychological Science</w:t>
      </w:r>
      <w:r>
        <w:t xml:space="preserve">); frequentist and Bayesian design framings as complements, not rivals (Kruschke &amp; Liddell 2018,</w:t>
      </w:r>
      <w:r>
        <w:t xml:space="preserve"> </w:t>
      </w:r>
      <w:r>
        <w:rPr>
          <w:i/>
        </w:rPr>
        <w:t xml:space="preserve">Psychonomic Bulletin &amp; Review</w:t>
      </w:r>
      <w:r>
        <w:t xml:space="preserve">); ANCOVA and repeated measurement for power (McKenzie 2012,</w:t>
      </w:r>
      <w:r>
        <w:t xml:space="preserve"> </w:t>
      </w:r>
      <w:r>
        <w:rPr>
          <w:i/>
        </w:rPr>
        <w:t xml:space="preserve">Journal of Development Economics</w:t>
      </w:r>
      <w:r>
        <w:t xml:space="preserve">); proportionate pre-analysis discipline (Olken 2015,</w:t>
      </w:r>
      <w:r>
        <w:t xml:space="preserve"> </w:t>
      </w:r>
      <w:r>
        <w:rPr>
          <w:i/>
        </w:rPr>
        <w:t xml:space="preserve">JEP</w:t>
      </w:r>
      <w:r>
        <w:t xml:space="preserve">; Casey, Glennerster &amp; Miguel 2012,</w:t>
      </w:r>
      <w:r>
        <w:t xml:space="preserve"> </w:t>
      </w:r>
      <w:r>
        <w:rPr>
          <w:i/>
        </w:rPr>
        <w:t xml:space="preserve">QJE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What it outputs:</w:t>
      </w:r>
      <w:r>
        <w:t xml:space="preserve"> </w:t>
      </w:r>
      <w:r>
        <w:t xml:space="preserve">A one-page design plan assembled interactively: (a) the key behavior restated as the primary outcome (from S1); (b) arms — each idea becomes at most one arm, each arm differs on one thing, plus a holdout (S17); (c) a calibrated effect-size prior with the optimistic/realistic/null-plausible range (S16); (d) the power section</w:t>
      </w:r>
      <w:r>
        <w:t xml:space="preserve"> </w:t>
      </w:r>
      <w:r>
        <w:rPr>
          <w:b/>
        </w:rPr>
        <w:t xml:space="preserve">explained twice in plain language</w:t>
      </w:r>
      <w:r>
        <w:t xml:space="preserve"> </w:t>
      </w:r>
      <w:r>
        <w:t xml:space="preserve">— frequentist:</w:t>
      </w:r>
      <w:r>
        <w:t xml:space="preserve"> </w:t>
      </w:r>
      <w:r>
        <w:t xml:space="preserve">“</w:t>
      </w:r>
      <w:r>
        <w:t xml:space="preserve">this design detects a 3pp lift or larger; anything smaller will look like a null even if real</w:t>
      </w:r>
      <w:r>
        <w:t xml:space="preserve">”</w:t>
      </w:r>
      <w:r>
        <w:t xml:space="preserve"> </w:t>
      </w:r>
      <w:r>
        <w:t xml:space="preserve">— and Bayesian:</w:t>
      </w:r>
      <w:r>
        <w:t xml:space="preserve"> </w:t>
      </w:r>
      <w:r>
        <w:t xml:space="preserve">“</w:t>
      </w:r>
      <w:r>
        <w:t xml:space="preserve">given the prior, here’s how each possible result should move your beliefs, and here’s the probability the test ends decisively rather than ambiguously</w:t>
      </w:r>
      <w:r>
        <w:t xml:space="preserve">”</w:t>
      </w:r>
      <w:r>
        <w:t xml:space="preserve">; (e) a one-page pre-analysis plan with a stopping rule (S19); (f) a go/no-go verdict — including the honest</w:t>
      </w:r>
      <w:r>
        <w:t xml:space="preserve"> </w:t>
      </w:r>
      <w:r>
        <w:t xml:space="preserve">“</w:t>
      </w:r>
      <w:r>
        <w:t xml:space="preserve">your sample can’t answer this question; here’s the cheaper proximal-outcome design that can.</w:t>
      </w:r>
      <w:r>
        <w:t xml:space="preserve">”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Where it goes wrong:</w:t>
      </w:r>
      <w:r>
        <w:t xml:space="preserve"> </w:t>
      </w:r>
      <w:r>
        <w:t xml:space="preserve">Scope creep back into</w:t>
      </w:r>
      <w:r>
        <w:t xml:space="preserve"> </w:t>
      </w:r>
      <w:r>
        <w:t xml:space="preserve">“</w:t>
      </w:r>
      <w:r>
        <w:t xml:space="preserve">design my whole program</w:t>
      </w:r>
      <w:r>
        <w:t xml:space="preserve">”</w:t>
      </w:r>
      <w:r>
        <w:t xml:space="preserve"> </w:t>
      </w:r>
      <w:r>
        <w:t xml:space="preserve">(the skill must insist on one behavior, one primary outcome); users treating the Bayesian readout as permission to peek and stop early; the walkthrough generating a beautiful plan for an idea that S2/S3 would have revealed to be aimed at the wrong barrier — it should ask</w:t>
      </w:r>
      <w:r>
        <w:t xml:space="preserve"> </w:t>
      </w:r>
      <w:r>
        <w:t xml:space="preserve">“</w:t>
      </w:r>
      <w:r>
        <w:t xml:space="preserve">have you diagnosed?</w:t>
      </w:r>
      <w:r>
        <w:t xml:space="preserve">”</w:t>
      </w:r>
      <w:r>
        <w:t xml:space="preserve"> </w:t>
      </w:r>
      <w:r>
        <w:t xml:space="preserve">before designing; false fluency — producing statistically polished plans whose delivery instrumentation (the silent killer, see S17/S20) was never checked.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1" w:name="ready-to-port-what-il-can-contribute-now"/>
      <w:r>
        <w:t xml:space="preserve">Ready to port — what IL can contribute</w:t>
      </w:r>
      <w:r>
        <w:t xml:space="preserve"> </w:t>
      </w:r>
      <w:r>
        <w:rPr>
          <w:i/>
        </w:rPr>
        <w:t xml:space="preserve">now</w:t>
      </w:r>
      <w:bookmarkEnd w:id="51"/>
    </w:p>
    <w:p>
      <w:pPr>
        <w:pStyle w:val="FirstParagraph"/>
      </w:pPr>
      <w:r>
        <w:t xml:space="preserve">Three assets exist in IL’s internal skills system today and need only de-IL-ifying (stripping internal file paths, client references, and brand assumptions):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/>
        </w:rPr>
        <w:t xml:space="preserve">key-behavior</w:t>
      </w:r>
      <w:r>
        <w:rPr>
          <w:b/>
        </w:rPr>
        <w:t xml:space="preserve"> </w:t>
      </w:r>
      <w:r>
        <w:rPr>
          <w:b/>
        </w:rPr>
        <w:t xml:space="preserve">→ S1.</w:t>
      </w:r>
      <w:r>
        <w:t xml:space="preserve"> </w:t>
      </w:r>
      <w:r>
        <w:t xml:space="preserve">A complete, battle-tested skill with mode detection (workshop facilitation vs direct definition vs critique of an existing key behavior) and the Impact/Drop-off/Control prioritization built in.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  <w:b/>
        </w:rPr>
        <w:t xml:space="preserve">generate-psych-annotations</w:t>
      </w:r>
      <w:r>
        <w:rPr>
          <w:b/>
        </w:rPr>
        <w:t xml:space="preserve"> </w:t>
      </w:r>
      <w:r>
        <w:rPr>
          <w:b/>
        </w:rPr>
        <w:t xml:space="preserve">→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Behavioral Rationale Annotator.</w:t>
      </w:r>
      <w:r>
        <w:rPr>
          <w:b/>
        </w:rPr>
        <w:t xml:space="preserve">”</w:t>
      </w:r>
      <w:r>
        <w:t xml:space="preserve"> </w:t>
      </w:r>
      <w:r>
        <w:t xml:space="preserve">Takes a design/solution and outputs mechanism-named</w:t>
      </w:r>
      <w:r>
        <w:t xml:space="preserve"> </w:t>
      </w:r>
      <w:r>
        <w:t xml:space="preserve">“</w:t>
      </w:r>
      <w:r>
        <w:t xml:space="preserve">why this works</w:t>
      </w:r>
      <w:r>
        <w:t xml:space="preserve">”</w:t>
      </w:r>
      <w:r>
        <w:t xml:space="preserve"> </w:t>
      </w:r>
      <w:r>
        <w:t xml:space="preserve">rationale. Needs its internal taxonomy dependency replaced with a public, citation-linked concept list — which this catalogue’s reference list seeds.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The skill-creation eval harness → the repo’s QA backbone.</w:t>
      </w:r>
      <w:r>
        <w:t xml:space="preserve"> </w:t>
      </w:r>
      <w:r>
        <w:t xml:space="preserve">Test-prompt evals, variance benchmarking, and trigger-description optimization (P6/P7). Plus a repo skeleton —</w:t>
      </w:r>
      <w:r>
        <w:t xml:space="preserve"> </w:t>
      </w:r>
      <w:r>
        <w:rPr>
          <w:rStyle w:val="VerbatimChar"/>
        </w:rPr>
        <w:t xml:space="preserve">skills/&lt;name&gt;/SKILL.md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evals/</w:t>
      </w:r>
      <w:r>
        <w:t xml:space="preserve"> </w:t>
      </w:r>
      <w:r>
        <w:t xml:space="preserve">— so every skill installs directly into Claude Code/Cowork, AcademicForge-style (</w:t>
      </w:r>
      <w:r>
        <w:t xml:space="preserve">“</w:t>
      </w:r>
      <w:r>
        <w:t xml:space="preserve">pick, copy, run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2" w:name="our-proposed-top-8-for-the-vote"/>
      <w:r>
        <w:t xml:space="preserve">Our proposed top 8 (for the vote)</w:t>
      </w:r>
      <w:bookmarkEnd w:id="52"/>
    </w:p>
    <w:tbl>
      <w:tblPr>
        <w:tblStyle w:val="Table"/>
        <w:tblW w:type="pct" w:w="5000.0"/>
        <w:tblLook w:firstRow="1"/>
      </w:tblPr>
      <w:tblGrid>
        <w:gridCol w:w="913"/>
        <w:gridCol w:w="2132"/>
        <w:gridCol w:w="487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it’s top-8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Key Behavior Definer</w:t>
            </w:r>
          </w:p>
        </w:tc>
        <w:tc>
          <w:p>
            <w:pPr>
              <w:pStyle w:val="Compact"/>
              <w:jc w:val="left"/>
            </w:pPr>
            <w:r>
              <w:t xml:space="preserve">Already built; the upstream skill everything else depends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COM-B Barrier Decomposer</w:t>
            </w:r>
          </w:p>
        </w:tc>
        <w:tc>
          <w:p>
            <w:pPr>
              <w:pStyle w:val="Compact"/>
              <w:jc w:val="left"/>
            </w:pPr>
            <w:r>
              <w:t xml:space="preserve">The doc’s own flagship example; canonical framework; unclaimed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p>
            <w:pPr>
              <w:pStyle w:val="Compact"/>
              <w:jc w:val="left"/>
            </w:pPr>
            <w:r>
              <w:t xml:space="preserve">Reminder Designer</w:t>
            </w:r>
          </w:p>
        </w:tc>
        <w:tc>
          <w:p>
            <w:pPr>
              <w:pStyle w:val="Compact"/>
              <w:jc w:val="left"/>
            </w:pPr>
            <w:r>
              <w:t xml:space="preserve">Every org sends reminders; best LMIC evidence in the design stage; dosage guardrail is genuinely non-obvious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p>
            <w:pPr>
              <w:pStyle w:val="Compact"/>
              <w:jc w:val="left"/>
            </w:pPr>
            <w:r>
              <w:t xml:space="preserve">Social Norm Message Checker</w:t>
            </w:r>
          </w:p>
        </w:tc>
        <w:tc>
          <w:p>
            <w:pPr>
              <w:pStyle w:val="Compact"/>
              <w:jc w:val="left"/>
            </w:pPr>
            <w:r>
              <w:t xml:space="preserve">The most-requested</w:t>
            </w:r>
            <w:r>
              <w:t xml:space="preserve"> </w:t>
            </w:r>
            <w:r>
              <w:rPr>
                <w:i/>
              </w:rPr>
              <w:t xml:space="preserve">and</w:t>
            </w:r>
            <w:r>
              <w:t xml:space="preserve"> </w:t>
            </w:r>
            <w:r>
              <w:t xml:space="preserve">most dangerous message type — guardrails earn their keep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S11</w:t>
            </w:r>
          </w:p>
        </w:tc>
        <w:tc>
          <w:p>
            <w:pPr>
              <w:pStyle w:val="Compact"/>
              <w:jc w:val="left"/>
            </w:pPr>
            <w:r>
              <w:t xml:space="preserve">Default &amp; Friction Restructurer</w:t>
            </w:r>
          </w:p>
        </w:tc>
        <w:tc>
          <w:p>
            <w:pPr>
              <w:pStyle w:val="Compact"/>
              <w:jc w:val="left"/>
            </w:pPr>
            <w:r>
              <w:t xml:space="preserve">Strongest evidence class in the toolkit; survives at 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S16</w:t>
            </w:r>
          </w:p>
        </w:tc>
        <w:tc>
          <w:p>
            <w:pPr>
              <w:pStyle w:val="Compact"/>
              <w:jc w:val="left"/>
            </w:pPr>
            <w:r>
              <w:t xml:space="preserve">Effect Size Reality Checker</w:t>
            </w:r>
          </w:p>
        </w:tc>
        <w:tc>
          <w:p>
            <w:pPr>
              <w:pStyle w:val="Compact"/>
              <w:jc w:val="left"/>
            </w:pPr>
            <w:r>
              <w:t xml:space="preserve">The calibration layer every other skill cites; prevents fantasy KPIs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S17</w:t>
            </w:r>
          </w:p>
        </w:tc>
        <w:tc>
          <w:p>
            <w:pPr>
              <w:pStyle w:val="Compact"/>
              <w:jc w:val="left"/>
            </w:pPr>
            <w:r>
              <w:t xml:space="preserve">Message A/B Test Designer</w:t>
            </w:r>
          </w:p>
        </w:tc>
        <w:tc>
          <w:p>
            <w:pPr>
              <w:pStyle w:val="Compact"/>
              <w:jc w:val="left"/>
            </w:pPr>
            <w:r>
              <w:t xml:space="preserve">Testing is the foundational capability for non-specialists, and IL’s deepest current practice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S18</w:t>
            </w:r>
          </w:p>
        </w:tc>
        <w:tc>
          <w:p>
            <w:pPr>
              <w:pStyle w:val="Compact"/>
              <w:jc w:val="left"/>
            </w:pPr>
            <w:r>
              <w:t xml:space="preserve">Power &amp; MDE Calculator</w:t>
            </w:r>
          </w:p>
        </w:tc>
        <w:tc>
          <w:p>
            <w:pPr>
              <w:pStyle w:val="Compact"/>
              <w:jc w:val="left"/>
            </w:pPr>
            <w:r>
              <w:t xml:space="preserve">The procedural complement to S17; cheap to build (script exists in our NH/RL work)</w:t>
            </w:r>
          </w:p>
        </w:tc>
      </w:tr>
    </w:tbl>
    <w:p>
      <w:pPr>
        <w:pStyle w:val="BodyText"/>
      </w:pPr>
      <w:r>
        <w:rPr>
          <w:i/>
        </w:rPr>
        <w:t xml:space="preserve">Honorable mentions:</w:t>
      </w:r>
      <w:r>
        <w:t xml:space="preserve"> </w:t>
      </w:r>
      <w:r>
        <w:t xml:space="preserve">S20 (Null Result Diagnostician — nobody else will propose it, and it encodes the most expensive lesson we’ve learned), S21 (Rapid Qual Pretest), and S22 (Experiment Design Walkthrough — if the group prefers fewer, bigger contributions, S22 subsumes S16–S19 as one guided skill and would be our single highest-value build).</w:t>
      </w:r>
    </w:p>
    <w:p>
      <w:pPr>
        <w:pStyle w:val="Heading2"/>
      </w:pPr>
      <w:bookmarkStart w:id="53" w:name="full-scoring-matrix"/>
      <w:r>
        <w:t xml:space="preserve">Full scoring matrix</w:t>
      </w:r>
      <w:bookmarkEnd w:id="53"/>
    </w:p>
    <w:tbl>
      <w:tblPr>
        <w:tblStyle w:val="Table"/>
        <w:tblW w:type="pct" w:w="5000.0"/>
        <w:tblLook w:firstRow="1"/>
      </w:tblPr>
      <w:tblGrid>
        <w:gridCol w:w="676"/>
        <w:gridCol w:w="676"/>
        <w:gridCol w:w="1062"/>
        <w:gridCol w:w="1835"/>
        <w:gridCol w:w="1448"/>
        <w:gridCol w:w="869"/>
        <w:gridCol w:w="135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Org demand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 strength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LMIC evidence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IL edge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Build 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 Key Behavior Definer</w:t>
            </w:r>
          </w:p>
        </w:tc>
        <w:tc>
          <w:p>
            <w:pPr>
              <w:pStyle w:val="Compact"/>
              <w:jc w:val="left"/>
            </w:pPr>
            <w:r>
              <w:t xml:space="preserve">Define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Methodological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 (built)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 Funnel Leak Finder</w:t>
            </w:r>
          </w:p>
        </w:tc>
        <w:tc>
          <w:p>
            <w:pPr>
              <w:pStyle w:val="Compact"/>
              <w:jc w:val="left"/>
            </w:pPr>
            <w:r>
              <w:t xml:space="preserve">Define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S3 COM-B Decomposer</w:t>
            </w:r>
          </w:p>
        </w:tc>
        <w:tc>
          <w:p>
            <w:pPr>
              <w:pStyle w:val="Compact"/>
              <w:jc w:val="left"/>
            </w:pPr>
            <w:r>
              <w:t xml:space="preserve">Diagnose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Strong (framework)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S4 Barrier Interview Guide</w:t>
            </w:r>
          </w:p>
        </w:tc>
        <w:tc>
          <w:p>
            <w:pPr>
              <w:pStyle w:val="Compact"/>
              <w:jc w:val="left"/>
            </w:pPr>
            <w:r>
              <w:t xml:space="preserve">Diagnose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Strong (method)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S5 Cognitive Load Auditor</w:t>
            </w:r>
          </w:p>
        </w:tc>
        <w:tc>
          <w:p>
            <w:pPr>
              <w:pStyle w:val="Compact"/>
              <w:jc w:val="left"/>
            </w:pPr>
            <w:r>
              <w:t xml:space="preserve">Diagnose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Moderate (flagged)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S6 Reminder Designer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S7 Planning Prompt Builder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Strong (lab) / Mod (field)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S8 Social Norm Checker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Strong incl. backfire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S9 Incentive Menu Designer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S10 Commitment Designer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Low-Med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S11 Default Restructurer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Strongest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S12 Messenger Selector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 (live test)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S13 Fresh Start Picker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Fragile (flagged)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S14 Values Affirmation</w:t>
            </w:r>
          </w:p>
        </w:tc>
        <w:tc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Fragile (flagged)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S15 Generalizability Checker</w:t>
            </w:r>
          </w:p>
        </w:tc>
        <w:tc>
          <w:p>
            <w:pPr>
              <w:pStyle w:val="Compact"/>
              <w:jc w:val="left"/>
            </w:pPr>
            <w:r>
              <w:t xml:space="preserve">Calibrate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p>
            <w:pPr>
              <w:pStyle w:val="Compact"/>
              <w:jc w:val="left"/>
            </w:pPr>
            <w:r>
              <w:t xml:space="preserve">By design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S16 Effect Size Reality Checker</w:t>
            </w:r>
          </w:p>
        </w:tc>
        <w:tc>
          <w:p>
            <w:pPr>
              <w:pStyle w:val="Compact"/>
              <w:jc w:val="left"/>
            </w:pPr>
            <w:r>
              <w:t xml:space="preserve">Calibrate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Strong, recent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S17 A/B Test Designer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 (practice)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S18 Power/MDE Calculator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 (scripts exist)</w:t>
            </w:r>
          </w:p>
        </w:tc>
        <w:tc>
          <w:p>
            <w:pPr>
              <w:pStyle w:val="Compact"/>
              <w:jc w:val="left"/>
            </w:pPr>
            <w:r>
              <w:t xml:space="preserve">S–M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S19 PAP Drafter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S20 Null Diagnostician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 (scar tissue)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S21 Qual Pretest Designer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Strong (method)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S22 Experiment Design Walkthrough</w:t>
            </w:r>
          </w:p>
        </w:tc>
        <w:tc>
          <w:p>
            <w:pPr>
              <w:pStyle w:val="Compact"/>
              <w:jc w:val="left"/>
            </w:pPr>
            <w:r>
              <w:t xml:space="preserve">Test (molecule)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 (practice + scripts)</w:t>
            </w:r>
          </w:p>
        </w:tc>
        <w:tc>
          <w:p>
            <w:pPr>
              <w:pStyle w:val="Compact"/>
              <w:jc w:val="left"/>
            </w:pPr>
            <w:r>
              <w:t xml:space="preserve">M–L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4" w:name="X780020fc89dbc3baf63feb20911812503db2edc"/>
      <w:r>
        <w:t xml:space="preserve">Collision map (against already-claimed skills)</w:t>
      </w:r>
      <w:bookmarkEnd w:id="5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Claimed (by)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adjacent skill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Cognitive interview script generator (Zezhen)</w:t>
            </w:r>
          </w:p>
        </w:tc>
        <w:tc>
          <w:p>
            <w:pPr>
              <w:pStyle w:val="Compact"/>
              <w:jc w:val="left"/>
            </w:pPr>
            <w:r>
              <w:t xml:space="preserve">S4, S21</w:t>
            </w:r>
          </w:p>
        </w:tc>
        <w:tc>
          <w:p>
            <w:pPr>
              <w:pStyle w:val="Compact"/>
              <w:jc w:val="left"/>
            </w:pPr>
            <w:r>
              <w:t xml:space="preserve">His = survey-item pretesting; ours = barrier diagnosis / content pretesting. Cross-reference, don’t merge.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Agency measurement helper (Zezhen)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No overlap.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measure finder + psychometric development (Patricia)</w:t>
            </w:r>
          </w:p>
        </w:tc>
        <w:tc>
          <w:p>
            <w:pPr>
              <w:pStyle w:val="Compact"/>
              <w:jc w:val="left"/>
            </w:pPr>
            <w:r>
              <w:t xml:space="preserve">S18, S19</w:t>
            </w:r>
          </w:p>
        </w:tc>
        <w:tc>
          <w:p>
            <w:pPr>
              <w:pStyle w:val="Compact"/>
              <w:jc w:val="left"/>
            </w:pPr>
            <w:r>
              <w:t xml:space="preserve">Hers = what to measure; ours = whether the test can detect it. Compose naturally.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Cultural psych lens (Patricia)</w:t>
            </w:r>
          </w:p>
        </w:tc>
        <w:tc>
          <w:p>
            <w:pPr>
              <w:pStyle w:val="Compact"/>
              <w:jc w:val="left"/>
            </w:pPr>
            <w:r>
              <w:t xml:space="preserve">S15</w:t>
            </w:r>
          </w:p>
        </w:tc>
        <w:tc>
          <w:p>
            <w:pPr>
              <w:pStyle w:val="Compact"/>
              <w:jc w:val="left"/>
            </w:pPr>
            <w:r>
              <w:t xml:space="preserve">Hers audits the</w:t>
            </w:r>
            <w:r>
              <w:t xml:space="preserve"> </w:t>
            </w:r>
            <w:r>
              <w:rPr>
                <w:i/>
              </w:rPr>
              <w:t xml:space="preserve">design</w:t>
            </w:r>
            <w:r>
              <w:t xml:space="preserve"> </w:t>
            </w:r>
            <w:r>
              <w:t xml:space="preserve">via theory; ours audits the</w:t>
            </w:r>
            <w:r>
              <w:t xml:space="preserve"> </w:t>
            </w:r>
            <w:r>
              <w:rPr>
                <w:i/>
              </w:rPr>
              <w:t xml:space="preserve">evidence</w:t>
            </w:r>
            <w:r>
              <w:t xml:space="preserve"> </w:t>
            </w:r>
            <w:r>
              <w:t xml:space="preserve">via samples/scale. Cross-reference.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Pre-mortem analysis (Patricia)</w:t>
            </w:r>
          </w:p>
        </w:tc>
        <w:tc>
          <w:p>
            <w:pPr>
              <w:pStyle w:val="Compact"/>
              <w:jc w:val="left"/>
            </w:pPr>
            <w:r>
              <w:t xml:space="preserve">S20</w:t>
            </w:r>
          </w:p>
        </w:tc>
        <w:tc>
          <w:p>
            <w:pPr>
              <w:pStyle w:val="Compact"/>
              <w:jc w:val="left"/>
            </w:pPr>
            <w:r>
              <w:t xml:space="preserve">Hers = before launch (prospective); ours = after a null (retrospective). Bookends. (Note for her draft: the premortem’s empirical base is thin — Klein 2007 is an HBR practitioner piece, not peer-reviewed; the underlying</w:t>
            </w:r>
            <w:r>
              <w:t xml:space="preserve"> </w:t>
            </w:r>
            <w:r>
              <w:t xml:space="preserve">“</w:t>
            </w:r>
            <w:r>
              <w:t xml:space="preserve">prospective hindsight</w:t>
            </w:r>
            <w:r>
              <w:t xml:space="preserve">”</w:t>
            </w:r>
            <w:r>
              <w:t xml:space="preserve"> </w:t>
            </w:r>
            <w:r>
              <w:t xml:space="preserve">study is pre-2000.)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Intervention mapping + TPB message customizers (Kelly)</w:t>
            </w:r>
          </w:p>
        </w:tc>
        <w:tc>
          <w:p>
            <w:pPr>
              <w:pStyle w:val="Compact"/>
              <w:jc w:val="left"/>
            </w:pPr>
            <w:r>
              <w:t xml:space="preserve">S6–S14</w:t>
            </w:r>
          </w:p>
        </w:tc>
        <w:tc>
          <w:p>
            <w:pPr>
              <w:pStyle w:val="Compact"/>
              <w:jc w:val="left"/>
            </w:pPr>
            <w:r>
              <w:t xml:space="preserve">Hers = framework-level message construction; ours = mechanism-level micro-skills that her frameworks can invoke.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5" w:name="counterfactual-check"/>
      <w:r>
        <w:t xml:space="preserve">Counterfactual check</w:t>
      </w:r>
      <w:bookmarkEnd w:id="55"/>
    </w:p>
    <w:p>
      <w:pPr>
        <w:pStyle w:val="FirstParagraph"/>
      </w:pPr>
      <w:r>
        <w:t xml:space="preserve">Four ways this list could be wrong, stated plainly: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We may be over-indexed on the i-frame.</w:t>
      </w:r>
      <w:r>
        <w:t xml:space="preserve"> </w:t>
      </w:r>
      <w:r>
        <w:t xml:space="preserve">Nearly everything above intervenes on individuals (messages, prompts, defaults) rather than systems. The strongest standing critique of applied behavioral science argues exactly this — that individual-level framing has distracted from systemic change (Chater &amp; Loewenstein 2023,</w:t>
      </w:r>
      <w:r>
        <w:t xml:space="preserve"> </w:t>
      </w:r>
      <w:r>
        <w:rPr>
          <w:i/>
        </w:rPr>
        <w:t xml:space="preserve">Behavioral and Brain Sciences</w:t>
      </w:r>
      <w:r>
        <w:t xml:space="preserve">). Counter-counter: defaults/friction (S11, S2)</w:t>
      </w:r>
      <w:r>
        <w:t xml:space="preserve"> </w:t>
      </w:r>
      <w:r>
        <w:rPr>
          <w:i/>
        </w:rPr>
        <w:t xml:space="preserve">are</w:t>
      </w:r>
      <w:r>
        <w:t xml:space="preserve"> </w:t>
      </w:r>
      <w:r>
        <w:t xml:space="preserve">small s-frame moves, and NGO program teams mostly control the i-frame levers. But the repo would be intellectually honest to include one skill we have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listed: a</w:t>
      </w:r>
      <w:r>
        <w:t xml:space="preserve"> </w:t>
      </w:r>
      <w:r>
        <w:t xml:space="preserve">“</w:t>
      </w:r>
      <w:r>
        <w:t xml:space="preserve">systemic alternative checker</w:t>
      </w:r>
      <w:r>
        <w:t xml:space="preserve">”</w:t>
      </w:r>
      <w:r>
        <w:t xml:space="preserve"> </w:t>
      </w:r>
      <w:r>
        <w:t xml:space="preserve">that asks, before any nudge, whether a structural fix would dominate.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Maybe orgs don’t want atoms — they want the molecule.</w:t>
      </w:r>
      <w:r>
        <w:t xml:space="preserve"> </w:t>
      </w:r>
      <w:r>
        <w:t xml:space="preserve">A PM under deadline may want</w:t>
      </w:r>
      <w:r>
        <w:t xml:space="preserve"> </w:t>
      </w:r>
      <w:r>
        <w:t xml:space="preserve">“</w:t>
      </w:r>
      <w:r>
        <w:t xml:space="preserve">design my campaign,</w:t>
      </w:r>
      <w:r>
        <w:t xml:space="preserve">”</w:t>
      </w:r>
      <w:r>
        <w:t xml:space="preserve"> </w:t>
      </w:r>
      <w:r>
        <w:t xml:space="preserve">not eleven composable steps. We’ve partially conceded this point: S22 (Experiment Design Walkthrough) is exactly such a molecule for the test-and-learn chain, built</w:t>
      </w:r>
      <w:r>
        <w:t xml:space="preserve"> </w:t>
      </w:r>
      <w:r>
        <w:rPr>
          <w:i/>
        </w:rPr>
        <w:t xml:space="preserve">on top of</w:t>
      </w:r>
      <w:r>
        <w:t xml:space="preserve"> </w:t>
      </w:r>
      <w:r>
        <w:t xml:space="preserve">the atoms rather than instead of them. Whether more molecules are needed should be settled by usage data, not argument (see #4).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Rigor could curdle into uselessness.</w:t>
      </w:r>
      <w:r>
        <w:t xml:space="preserve"> </w:t>
      </w:r>
      <w:r>
        <w:t xml:space="preserve">If every output is hedged ranges and caveats, the non-specialist user gets decision paralysis instead of overconfidence — trading one failure mode for another. Mitigation: every skill’s output template ends with a single</w:t>
      </w:r>
      <w:r>
        <w:t xml:space="preserve"> </w:t>
      </w:r>
      <w:r>
        <w:t xml:space="preserve">“</w:t>
      </w:r>
      <w:r>
        <w:t xml:space="preserve">if you only do one thing</w:t>
      </w:r>
      <w:r>
        <w:t xml:space="preserve">”</w:t>
      </w:r>
      <w:r>
        <w:t xml:space="preserve"> </w:t>
      </w:r>
      <w:r>
        <w:t xml:space="preserve">line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the options. That line must survive editing.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This list was generated from the literature and our practice, not from user demand.</w:t>
      </w:r>
      <w:r>
        <w:t xml:space="preserve"> </w:t>
      </w:r>
      <w:r>
        <w:t xml:space="preserve">The honest test of a skills repo for NGO teams is which skills NGO teams actually invoke. Proposal: before the group builds the top vote-getters, run our own S21 on the shortlist — 5–8 interviews with program staff at RL, Noora, and one non-TAF org, asking them to walk through last month’s decisions and flag where a skill would have been invoked. Eat the dog food before cooking more of it.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6" w:name="X13c479a4c2ea8c44e96c410e18ee17e86b45b9d"/>
      <w:r>
        <w:t xml:space="preserve">References (all verified; peer-reviewed journals unless flagged)</w:t>
      </w:r>
      <w:bookmarkEnd w:id="56"/>
    </w:p>
    <w:p>
      <w:pPr>
        <w:numPr>
          <w:ilvl w:val="0"/>
          <w:numId w:val="1027"/>
        </w:numPr>
        <w:pStyle w:val="Compact"/>
      </w:pPr>
      <w:r>
        <w:t xml:space="preserve">Allcott, H. (2011). Social norms and energy conservation.</w:t>
      </w:r>
      <w:r>
        <w:t xml:space="preserve"> </w:t>
      </w:r>
      <w:r>
        <w:rPr>
          <w:i/>
        </w:rPr>
        <w:t xml:space="preserve">Journal of Public Economics</w:t>
      </w:r>
      <w:r>
        <w:t xml:space="preserve">, 95(9–10), 1082–1095.</w:t>
      </w:r>
    </w:p>
    <w:p>
      <w:pPr>
        <w:numPr>
          <w:ilvl w:val="0"/>
          <w:numId w:val="1027"/>
        </w:numPr>
        <w:pStyle w:val="Compact"/>
      </w:pPr>
      <w:r>
        <w:t xml:space="preserve">Angrist, N., Bergman, P., &amp; Matsheng, M. (2022). Experimental evidence on learning using low-tech when school is out.</w:t>
      </w:r>
      <w:r>
        <w:t xml:space="preserve"> </w:t>
      </w:r>
      <w:r>
        <w:rPr>
          <w:i/>
        </w:rPr>
        <w:t xml:space="preserve">Nature Human Behaviour</w:t>
      </w:r>
      <w:r>
        <w:t xml:space="preserve">, 6, 941–950.</w:t>
      </w:r>
    </w:p>
    <w:p>
      <w:pPr>
        <w:numPr>
          <w:ilvl w:val="0"/>
          <w:numId w:val="1027"/>
        </w:numPr>
        <w:pStyle w:val="Compact"/>
      </w:pPr>
      <w:r>
        <w:t xml:space="preserve">Ashraf, N., Karlan, D., &amp; Yin, W. (2006). Tying Odysseus to the mast: Evidence from a commitment savings product in the Philippines.</w:t>
      </w:r>
      <w:r>
        <w:t xml:space="preserve"> </w:t>
      </w:r>
      <w:r>
        <w:rPr>
          <w:i/>
        </w:rPr>
        <w:t xml:space="preserve">Quarterly Journal of Economics</w:t>
      </w:r>
      <w:r>
        <w:t xml:space="preserve">, 121(2), 635–672.</w:t>
      </w:r>
    </w:p>
    <w:p>
      <w:pPr>
        <w:numPr>
          <w:ilvl w:val="0"/>
          <w:numId w:val="1027"/>
        </w:numPr>
        <w:pStyle w:val="Compact"/>
      </w:pPr>
      <w:r>
        <w:t xml:space="preserve">Banerjee, A., Chandrasekhar, A. G., Duflo, E., &amp; Jackson, M. O. (2019). Using gossips to spread information: Theory and evidence from two randomized controlled trials.</w:t>
      </w:r>
      <w:r>
        <w:t xml:space="preserve"> </w:t>
      </w:r>
      <w:r>
        <w:rPr>
          <w:i/>
        </w:rPr>
        <w:t xml:space="preserve">Review of Economic Studies</w:t>
      </w:r>
      <w:r>
        <w:t xml:space="preserve">, 86(6), 2453–2490.</w:t>
      </w:r>
    </w:p>
    <w:p>
      <w:pPr>
        <w:numPr>
          <w:ilvl w:val="0"/>
          <w:numId w:val="1027"/>
        </w:numPr>
        <w:pStyle w:val="Compact"/>
      </w:pPr>
      <w:r>
        <w:t xml:space="preserve">Banerjee, A. V., Duflo, E., Glennerster, R., &amp; Kothari, D. (2010). Improving immunisation coverage in rural India.</w:t>
      </w:r>
      <w:r>
        <w:t xml:space="preserve"> </w:t>
      </w:r>
      <w:r>
        <w:rPr>
          <w:i/>
        </w:rPr>
        <w:t xml:space="preserve">BMJ</w:t>
      </w:r>
      <w:r>
        <w:t xml:space="preserve">, 340, c2220.</w:t>
      </w:r>
    </w:p>
    <w:p>
      <w:pPr>
        <w:numPr>
          <w:ilvl w:val="0"/>
          <w:numId w:val="1027"/>
        </w:numPr>
        <w:pStyle w:val="Compact"/>
      </w:pPr>
      <w:r>
        <w:t xml:space="preserve">Beatty, P. C., &amp; Willis, G. B. (2007). Research synthesis: The practice of cognitive interviewing.</w:t>
      </w:r>
      <w:r>
        <w:t xml:space="preserve"> </w:t>
      </w:r>
      <w:r>
        <w:rPr>
          <w:i/>
        </w:rPr>
        <w:t xml:space="preserve">Public Opinion Quarterly</w:t>
      </w:r>
      <w:r>
        <w:t xml:space="preserve">, 71(2), 287–311.</w:t>
      </w:r>
    </w:p>
    <w:p>
      <w:pPr>
        <w:numPr>
          <w:ilvl w:val="0"/>
          <w:numId w:val="1027"/>
        </w:numPr>
        <w:pStyle w:val="Compact"/>
      </w:pPr>
      <w:r>
        <w:t xml:space="preserve">Bettinger, E. P., Long, B. T., Oreopoulos, P., &amp; Sanbonmatsu, L. (2012). The role of application assistance and information in college decisions: Results from the H&amp;R Block FAFSA experiment.</w:t>
      </w:r>
      <w:r>
        <w:t xml:space="preserve"> </w:t>
      </w:r>
      <w:r>
        <w:rPr>
          <w:i/>
        </w:rPr>
        <w:t xml:space="preserve">Quarterly Journal of Economics</w:t>
      </w:r>
      <w:r>
        <w:t xml:space="preserve">, 127(3), 1205–1242.</w:t>
      </w:r>
    </w:p>
    <w:p>
      <w:pPr>
        <w:numPr>
          <w:ilvl w:val="0"/>
          <w:numId w:val="1027"/>
        </w:numPr>
        <w:pStyle w:val="Compact"/>
      </w:pPr>
      <w:r>
        <w:t xml:space="preserve">Bicchieri, C., &amp; Dimant, E. (2022). Nudging with care: The risks and benefits of social information.</w:t>
      </w:r>
      <w:r>
        <w:t xml:space="preserve"> </w:t>
      </w:r>
      <w:r>
        <w:rPr>
          <w:i/>
        </w:rPr>
        <w:t xml:space="preserve">Public Choice</w:t>
      </w:r>
      <w:r>
        <w:t xml:space="preserve">, 191, 443–464.</w:t>
      </w:r>
    </w:p>
    <w:p>
      <w:pPr>
        <w:numPr>
          <w:ilvl w:val="0"/>
          <w:numId w:val="1027"/>
        </w:numPr>
        <w:pStyle w:val="Compact"/>
      </w:pPr>
      <w:r>
        <w:t xml:space="preserve">Boateng, G. O., Neilands, T. B., Frongillo, E. A., Melgar-Quiñonez, H. R., &amp; Young, S. L. (2018). Best practices for developing and validating scales for health, social, and behavioral research: A primer.</w:t>
      </w:r>
      <w:r>
        <w:t xml:space="preserve"> </w:t>
      </w:r>
      <w:r>
        <w:rPr>
          <w:i/>
        </w:rPr>
        <w:t xml:space="preserve">Frontiers in Public Health</w:t>
      </w:r>
      <w:r>
        <w:t xml:space="preserve">, 6, 149.</w:t>
      </w:r>
    </w:p>
    <w:p>
      <w:pPr>
        <w:numPr>
          <w:ilvl w:val="0"/>
          <w:numId w:val="1027"/>
        </w:numPr>
        <w:pStyle w:val="Compact"/>
      </w:pPr>
      <w:r>
        <w:t xml:space="preserve">Braun, V., &amp; Clarke, V. (2006). Using thematic analysis in psychology.</w:t>
      </w:r>
      <w:r>
        <w:t xml:space="preserve"> </w:t>
      </w:r>
      <w:r>
        <w:rPr>
          <w:i/>
        </w:rPr>
        <w:t xml:space="preserve">Qualitative Research in Psychology</w:t>
      </w:r>
      <w:r>
        <w:t xml:space="preserve">, 3(2), 77–101.</w:t>
      </w:r>
    </w:p>
    <w:p>
      <w:pPr>
        <w:numPr>
          <w:ilvl w:val="0"/>
          <w:numId w:val="1027"/>
        </w:numPr>
        <w:pStyle w:val="Compact"/>
      </w:pPr>
      <w:r>
        <w:t xml:space="preserve">Bryan, C. J., Tipton, E., &amp; Yeager, D. S. (2021). Behavioural science is unlikely to change the world without a heterogeneity revolution.</w:t>
      </w:r>
      <w:r>
        <w:t xml:space="preserve"> </w:t>
      </w:r>
      <w:r>
        <w:rPr>
          <w:i/>
        </w:rPr>
        <w:t xml:space="preserve">Nature Human Behaviour</w:t>
      </w:r>
      <w:r>
        <w:t xml:space="preserve">, 5(8), 980–989.</w:t>
      </w:r>
    </w:p>
    <w:p>
      <w:pPr>
        <w:numPr>
          <w:ilvl w:val="0"/>
          <w:numId w:val="1027"/>
        </w:numPr>
        <w:pStyle w:val="Compact"/>
      </w:pPr>
      <w:r>
        <w:t xml:space="preserve">Casey, K., Glennerster, R., &amp; Miguel, E. (2012). Reshaping institutions: Evidence on aid impacts using a preanalysis plan.</w:t>
      </w:r>
      <w:r>
        <w:t xml:space="preserve"> </w:t>
      </w:r>
      <w:r>
        <w:rPr>
          <w:i/>
        </w:rPr>
        <w:t xml:space="preserve">Quarterly Journal of Economics</w:t>
      </w:r>
      <w:r>
        <w:t xml:space="preserve">, 127(4), 1755–1812.</w:t>
      </w:r>
    </w:p>
    <w:p>
      <w:pPr>
        <w:numPr>
          <w:ilvl w:val="0"/>
          <w:numId w:val="1027"/>
        </w:numPr>
        <w:pStyle w:val="Compact"/>
      </w:pPr>
      <w:r>
        <w:t xml:space="preserve">Chater, N., &amp; Loewenstein, G. (2023). The i-frame and the s-frame: How focusing on individual-level solutions has led behavioral public policy astray.</w:t>
      </w:r>
      <w:r>
        <w:t xml:space="preserve"> </w:t>
      </w:r>
      <w:r>
        <w:rPr>
          <w:i/>
        </w:rPr>
        <w:t xml:space="preserve">Behavioral and Brain Sciences</w:t>
      </w:r>
      <w:r>
        <w:t xml:space="preserve">, 46, e147.</w:t>
      </w:r>
    </w:p>
    <w:p>
      <w:pPr>
        <w:numPr>
          <w:ilvl w:val="0"/>
          <w:numId w:val="1027"/>
        </w:numPr>
        <w:pStyle w:val="Compact"/>
      </w:pPr>
      <w:r>
        <w:t xml:space="preserve">Cohen, G. L., Garcia, J., Apfel, N., &amp; Master, A. (2006). Reducing the racial achievement gap: A social-psychological intervention.</w:t>
      </w:r>
      <w:r>
        <w:t xml:space="preserve"> </w:t>
      </w:r>
      <w:r>
        <w:rPr>
          <w:i/>
        </w:rPr>
        <w:t xml:space="preserve">Science</w:t>
      </w:r>
      <w:r>
        <w:t xml:space="preserve">, 313(5791), 1307–1310.</w:t>
      </w:r>
    </w:p>
    <w:p>
      <w:pPr>
        <w:numPr>
          <w:ilvl w:val="0"/>
          <w:numId w:val="1027"/>
        </w:numPr>
        <w:pStyle w:val="Compact"/>
      </w:pPr>
      <w:r>
        <w:t xml:space="preserve">Cohen, G. L., &amp; Sherman, D. K. (2014). The psychology of change: Self-affirmation and social psychological intervention.</w:t>
      </w:r>
      <w:r>
        <w:t xml:space="preserve"> </w:t>
      </w:r>
      <w:r>
        <w:rPr>
          <w:i/>
        </w:rPr>
        <w:t xml:space="preserve">Annual Review of Psychology</w:t>
      </w:r>
      <w:r>
        <w:t xml:space="preserve">, 65, 333–371.</w:t>
      </w:r>
    </w:p>
    <w:p>
      <w:pPr>
        <w:numPr>
          <w:ilvl w:val="0"/>
          <w:numId w:val="1027"/>
        </w:numPr>
        <w:pStyle w:val="Compact"/>
      </w:pPr>
      <w:r>
        <w:t xml:space="preserve">Dai, H., Milkman, K. L., &amp; Riis, J. (2014). The fresh start effect: Temporal landmarks motivate aspirational behavior.</w:t>
      </w:r>
      <w:r>
        <w:t xml:space="preserve"> </w:t>
      </w:r>
      <w:r>
        <w:rPr>
          <w:i/>
        </w:rPr>
        <w:t xml:space="preserve">Management Science</w:t>
      </w:r>
      <w:r>
        <w:t xml:space="preserve">, 60(10), 2563–2582.</w:t>
      </w:r>
    </w:p>
    <w:p>
      <w:pPr>
        <w:numPr>
          <w:ilvl w:val="0"/>
          <w:numId w:val="1027"/>
        </w:numPr>
        <w:pStyle w:val="Compact"/>
      </w:pPr>
      <w:r>
        <w:t xml:space="preserve">Datta, S., &amp; Mullainathan, S. (2014). Behavioral design: A new approach to development policy.</w:t>
      </w:r>
      <w:r>
        <w:t xml:space="preserve"> </w:t>
      </w:r>
      <w:r>
        <w:rPr>
          <w:i/>
        </w:rPr>
        <w:t xml:space="preserve">Review of Income and Wealth</w:t>
      </w:r>
      <w:r>
        <w:t xml:space="preserve">, 60(1), 7–35.</w:t>
      </w:r>
    </w:p>
    <w:p>
      <w:pPr>
        <w:numPr>
          <w:ilvl w:val="0"/>
          <w:numId w:val="1027"/>
        </w:numPr>
        <w:pStyle w:val="Compact"/>
      </w:pPr>
      <w:r>
        <w:t xml:space="preserve">DellaVigna, S., &amp; Linos, E. (2022). RCTs to scale: Comprehensive evidence from two nudge units.</w:t>
      </w:r>
      <w:r>
        <w:t xml:space="preserve"> </w:t>
      </w:r>
      <w:r>
        <w:rPr>
          <w:i/>
        </w:rPr>
        <w:t xml:space="preserve">Econometrica</w:t>
      </w:r>
      <w:r>
        <w:t xml:space="preserve">, 90(1), 81–116.</w:t>
      </w:r>
    </w:p>
    <w:p>
      <w:pPr>
        <w:numPr>
          <w:ilvl w:val="0"/>
          <w:numId w:val="1027"/>
        </w:numPr>
        <w:pStyle w:val="Compact"/>
      </w:pPr>
      <w:r>
        <w:t xml:space="preserve">Gelman, A., &amp; Carlin, J. (2014). Beyond power calculations: Assessing Type S (sign) and Type M (magnitude) errors.</w:t>
      </w:r>
      <w:r>
        <w:t xml:space="preserve"> </w:t>
      </w:r>
      <w:r>
        <w:rPr>
          <w:i/>
        </w:rPr>
        <w:t xml:space="preserve">Perspectives on Psychological Science</w:t>
      </w:r>
      <w:r>
        <w:t xml:space="preserve">, 9(6), 641–651.</w:t>
      </w:r>
    </w:p>
    <w:p>
      <w:pPr>
        <w:numPr>
          <w:ilvl w:val="0"/>
          <w:numId w:val="1027"/>
        </w:numPr>
        <w:pStyle w:val="Compact"/>
      </w:pPr>
      <w:r>
        <w:t xml:space="preserve">Gallagher, K. M., &amp; Updegraff, J. A. (2012). Health message framing effects on attitudes, intentions, and behavior: A meta-analytic review.</w:t>
      </w:r>
      <w:r>
        <w:t xml:space="preserve"> </w:t>
      </w:r>
      <w:r>
        <w:rPr>
          <w:i/>
        </w:rPr>
        <w:t xml:space="preserve">Annals of Behavioral Medicine</w:t>
      </w:r>
      <w:r>
        <w:t xml:space="preserve">, 43(1), 101–116.</w:t>
      </w:r>
    </w:p>
    <w:p>
      <w:pPr>
        <w:numPr>
          <w:ilvl w:val="0"/>
          <w:numId w:val="1027"/>
        </w:numPr>
        <w:pStyle w:val="Compact"/>
      </w:pPr>
      <w:r>
        <w:t xml:space="preserve">Gerber, A. S., Green, D. P., &amp; Larimer, C. W. (2008). Social pressure and voter turnout: Evidence from a large-scale field experiment.</w:t>
      </w:r>
      <w:r>
        <w:t xml:space="preserve"> </w:t>
      </w:r>
      <w:r>
        <w:rPr>
          <w:i/>
        </w:rPr>
        <w:t xml:space="preserve">American Political Science Review</w:t>
      </w:r>
      <w:r>
        <w:t xml:space="preserve">, 102(1), 33–48.</w:t>
      </w:r>
    </w:p>
    <w:p>
      <w:pPr>
        <w:numPr>
          <w:ilvl w:val="0"/>
          <w:numId w:val="1027"/>
        </w:numPr>
        <w:pStyle w:val="Compact"/>
      </w:pPr>
      <w:r>
        <w:t xml:space="preserve">Giné, X., Karlan, D., &amp; Zinman, J. (2010). Put your money where your butt is: A commitment contract for smoking cessation.</w:t>
      </w:r>
      <w:r>
        <w:t xml:space="preserve"> </w:t>
      </w:r>
      <w:r>
        <w:rPr>
          <w:i/>
        </w:rPr>
        <w:t xml:space="preserve">American Economic Journal: Applied Economics</w:t>
      </w:r>
      <w:r>
        <w:t xml:space="preserve">, 2(4), 213–235.</w:t>
      </w:r>
    </w:p>
    <w:p>
      <w:pPr>
        <w:numPr>
          <w:ilvl w:val="0"/>
          <w:numId w:val="1027"/>
        </w:numPr>
        <w:pStyle w:val="Compact"/>
      </w:pPr>
      <w:r>
        <w:t xml:space="preserve">Gneezy, U., Meier, S., &amp; Rey-Biel, P. (2011). When and why incentives (don’t) work to modify behavior.</w:t>
      </w:r>
      <w:r>
        <w:t xml:space="preserve"> </w:t>
      </w:r>
      <w:r>
        <w:rPr>
          <w:i/>
        </w:rPr>
        <w:t xml:space="preserve">Journal of Economic Perspectives</w:t>
      </w:r>
      <w:r>
        <w:t xml:space="preserve">, 25(4), 191–210.</w:t>
      </w:r>
      <w:r>
        <w:t xml:space="preserve"> </w:t>
      </w:r>
      <w:r>
        <w:rPr>
          <w:i/>
        </w:rPr>
        <w:t xml:space="preserve">(Invited review.)</w:t>
      </w:r>
    </w:p>
    <w:p>
      <w:pPr>
        <w:numPr>
          <w:ilvl w:val="0"/>
          <w:numId w:val="1027"/>
        </w:numPr>
        <w:pStyle w:val="Compact"/>
      </w:pPr>
      <w:r>
        <w:t xml:space="preserve">Gollwitzer, P. M., &amp; Sheeran, P. (2006). Implementation intentions and goal achievement: A meta-analysis of effects and processes.</w:t>
      </w:r>
      <w:r>
        <w:t xml:space="preserve"> </w:t>
      </w:r>
      <w:r>
        <w:rPr>
          <w:i/>
        </w:rPr>
        <w:t xml:space="preserve">Advances in Experimental Social Psychology</w:t>
      </w:r>
      <w:r>
        <w:t xml:space="preserve">, 38, 69–119.</w:t>
      </w:r>
      <w:r>
        <w:t xml:space="preserve"> </w:t>
      </w:r>
      <w:r>
        <w:rPr>
          <w:i/>
        </w:rPr>
        <w:t xml:space="preserve">(Book-series chapter.)</w:t>
      </w:r>
    </w:p>
    <w:p>
      <w:pPr>
        <w:numPr>
          <w:ilvl w:val="0"/>
          <w:numId w:val="1027"/>
        </w:numPr>
        <w:pStyle w:val="Compact"/>
      </w:pPr>
      <w:r>
        <w:t xml:space="preserve">Hanselman, P., Rozek, C. S., Grigg, J., &amp; Borman, G. D. (2017). New evidence on self-affirmation effects and theorized sources of heterogeneity from large-scale replications.</w:t>
      </w:r>
      <w:r>
        <w:t xml:space="preserve"> </w:t>
      </w:r>
      <w:r>
        <w:rPr>
          <w:i/>
        </w:rPr>
        <w:t xml:space="preserve">Journal of Educational Psychology</w:t>
      </w:r>
      <w:r>
        <w:t xml:space="preserve">, 109(3), 405–424.</w:t>
      </w:r>
    </w:p>
    <w:p>
      <w:pPr>
        <w:numPr>
          <w:ilvl w:val="0"/>
          <w:numId w:val="1027"/>
        </w:numPr>
        <w:pStyle w:val="Compact"/>
      </w:pPr>
      <w:r>
        <w:t xml:space="preserve">Henrich, J., Heine, S. J., &amp; Norenzayan, A. (2010). The weirdest people in the world?</w:t>
      </w:r>
      <w:r>
        <w:t xml:space="preserve"> </w:t>
      </w:r>
      <w:r>
        <w:rPr>
          <w:i/>
        </w:rPr>
        <w:t xml:space="preserve">Behavioral and Brain Sciences</w:t>
      </w:r>
      <w:r>
        <w:t xml:space="preserve">, 33(2–3), 61–83.</w:t>
      </w:r>
    </w:p>
    <w:p>
      <w:pPr>
        <w:numPr>
          <w:ilvl w:val="0"/>
          <w:numId w:val="1027"/>
        </w:numPr>
        <w:pStyle w:val="Compact"/>
      </w:pPr>
      <w:r>
        <w:t xml:space="preserve">Jachimowicz, J. M., Duncan, S., Weber, E. U., &amp; Johnson, E. J. (2019). When and why defaults influence decisions: A meta-analysis of default effects.</w:t>
      </w:r>
      <w:r>
        <w:t xml:space="preserve"> </w:t>
      </w:r>
      <w:r>
        <w:rPr>
          <w:i/>
        </w:rPr>
        <w:t xml:space="preserve">Behavioural Public Policy</w:t>
      </w:r>
      <w:r>
        <w:t xml:space="preserve">, 3(2), 159–186.</w:t>
      </w:r>
    </w:p>
    <w:p>
      <w:pPr>
        <w:numPr>
          <w:ilvl w:val="0"/>
          <w:numId w:val="1027"/>
        </w:numPr>
        <w:pStyle w:val="Compact"/>
      </w:pPr>
      <w:r>
        <w:t xml:space="preserve">Johnson, E. J., &amp; Goldstein, D. (2003). Do defaults save lives?</w:t>
      </w:r>
      <w:r>
        <w:t xml:space="preserve"> </w:t>
      </w:r>
      <w:r>
        <w:rPr>
          <w:i/>
        </w:rPr>
        <w:t xml:space="preserve">Science</w:t>
      </w:r>
      <w:r>
        <w:t xml:space="preserve">, 302(5649), 1338–1339.</w:t>
      </w:r>
      <w:r>
        <w:t xml:space="preserve"> </w:t>
      </w:r>
      <w:r>
        <w:rPr>
          <w:i/>
        </w:rPr>
        <w:t xml:space="preserve">(Policy Forum.)</w:t>
      </w:r>
    </w:p>
    <w:p>
      <w:pPr>
        <w:numPr>
          <w:ilvl w:val="0"/>
          <w:numId w:val="1027"/>
        </w:numPr>
        <w:pStyle w:val="Compact"/>
      </w:pPr>
      <w:r>
        <w:t xml:space="preserve">Karlan, D., McConnell, M., Mullainathan, S., &amp; Zinman, J. (2016). Getting to the top of mind: How reminders increase saving.</w:t>
      </w:r>
      <w:r>
        <w:t xml:space="preserve"> </w:t>
      </w:r>
      <w:r>
        <w:rPr>
          <w:i/>
        </w:rPr>
        <w:t xml:space="preserve">Management Science</w:t>
      </w:r>
      <w:r>
        <w:t xml:space="preserve">, 62(12), 3393–3411.</w:t>
      </w:r>
    </w:p>
    <w:p>
      <w:pPr>
        <w:numPr>
          <w:ilvl w:val="0"/>
          <w:numId w:val="1027"/>
        </w:numPr>
        <w:pStyle w:val="Compact"/>
      </w:pPr>
      <w:r>
        <w:t xml:space="preserve">Kruschke, J. K., &amp; Liddell, T. M. (2018). The Bayesian New Statistics: Hypothesis testing, estimation, meta-analysis, and power analysis from a Bayesian perspective.</w:t>
      </w:r>
      <w:r>
        <w:t xml:space="preserve"> </w:t>
      </w:r>
      <w:r>
        <w:rPr>
          <w:i/>
        </w:rPr>
        <w:t xml:space="preserve">Psychonomic Bulletin &amp; Review</w:t>
      </w:r>
      <w:r>
        <w:t xml:space="preserve">, 25(1), 178–206.</w:t>
      </w:r>
    </w:p>
    <w:p>
      <w:pPr>
        <w:numPr>
          <w:ilvl w:val="0"/>
          <w:numId w:val="1027"/>
        </w:numPr>
        <w:pStyle w:val="Compact"/>
      </w:pPr>
      <w:r>
        <w:t xml:space="preserve">Kremer, M., Rao, G., &amp; Schilbach, F. (2019). Behavioral development economics. In</w:t>
      </w:r>
      <w:r>
        <w:t xml:space="preserve"> </w:t>
      </w:r>
      <w:r>
        <w:rPr>
          <w:i/>
        </w:rPr>
        <w:t xml:space="preserve">Handbook of Behavioral Economics: Foundations and Applications 2</w:t>
      </w:r>
      <w:r>
        <w:t xml:space="preserve">. Elsevier.</w:t>
      </w:r>
      <w:r>
        <w:t xml:space="preserve"> </w:t>
      </w:r>
      <w:r>
        <w:rPr>
          <w:i/>
        </w:rPr>
        <w:t xml:space="preserve">(Handbook chapter.)</w:t>
      </w:r>
    </w:p>
    <w:p>
      <w:pPr>
        <w:numPr>
          <w:ilvl w:val="0"/>
          <w:numId w:val="1027"/>
        </w:numPr>
        <w:pStyle w:val="Compact"/>
      </w:pPr>
      <w:r>
        <w:t xml:space="preserve">Maier, M., Bartoš, F., Stanley, T. D., Shanks, D. R., Harris, A. J. L., &amp; Wagenmakers, E.-J. (2022). No evidence for nudging after adjusting for publication bias.</w:t>
      </w:r>
      <w:r>
        <w:t xml:space="preserve"> </w:t>
      </w:r>
      <w:r>
        <w:rPr>
          <w:i/>
        </w:rPr>
        <w:t xml:space="preserve">PNAS</w:t>
      </w:r>
      <w:r>
        <w:t xml:space="preserve">, 119(31), e2200300119.</w:t>
      </w:r>
    </w:p>
    <w:p>
      <w:pPr>
        <w:numPr>
          <w:ilvl w:val="0"/>
          <w:numId w:val="1027"/>
        </w:numPr>
        <w:pStyle w:val="Compact"/>
      </w:pPr>
      <w:r>
        <w:t xml:space="preserve">Mani, A., Mullainathan, S., Shafir, E., &amp; Zhao, J. (2013). Poverty impedes cognitive function.</w:t>
      </w:r>
      <w:r>
        <w:t xml:space="preserve"> </w:t>
      </w:r>
      <w:r>
        <w:rPr>
          <w:i/>
        </w:rPr>
        <w:t xml:space="preserve">Science</w:t>
      </w:r>
      <w:r>
        <w:t xml:space="preserve">, 341(6149), 976–980.</w:t>
      </w:r>
      <w:r>
        <w:t xml:space="preserve"> </w:t>
      </w:r>
      <w:r>
        <w:rPr>
          <w:i/>
        </w:rPr>
        <w:t xml:space="preserve">(Published critique: Wicherts &amp; Scholten 2013; mixed conceptual replications.)</w:t>
      </w:r>
    </w:p>
    <w:p>
      <w:pPr>
        <w:numPr>
          <w:ilvl w:val="0"/>
          <w:numId w:val="1027"/>
        </w:numPr>
        <w:pStyle w:val="Compact"/>
      </w:pPr>
      <w:r>
        <w:t xml:space="preserve">McKenzie, D. (2012). Beyond baseline and follow-up: The case for more T in experiments.</w:t>
      </w:r>
      <w:r>
        <w:t xml:space="preserve"> </w:t>
      </w:r>
      <w:r>
        <w:rPr>
          <w:i/>
        </w:rPr>
        <w:t xml:space="preserve">Journal of Development Economics</w:t>
      </w:r>
      <w:r>
        <w:t xml:space="preserve">, 99(2), 210–221.</w:t>
      </w:r>
    </w:p>
    <w:p>
      <w:pPr>
        <w:numPr>
          <w:ilvl w:val="0"/>
          <w:numId w:val="1027"/>
        </w:numPr>
        <w:pStyle w:val="Compact"/>
      </w:pPr>
      <w:r>
        <w:t xml:space="preserve">Mertens, S., Herberz, M., Hahnel, U. J. J., &amp; Brosch, T. (2022). The effectiveness of nudging: A meta-analysis of choice architecture interventions across behavioral domains.</w:t>
      </w:r>
      <w:r>
        <w:t xml:space="preserve"> </w:t>
      </w:r>
      <w:r>
        <w:rPr>
          <w:i/>
        </w:rPr>
        <w:t xml:space="preserve">PNAS</w:t>
      </w:r>
      <w:r>
        <w:t xml:space="preserve">, 119(1), e2107346118.</w:t>
      </w:r>
      <w:r>
        <w:t xml:space="preserve"> </w:t>
      </w:r>
      <w:r>
        <w:rPr>
          <w:i/>
        </w:rPr>
        <w:t xml:space="preserve">(See published correction and Maier et al. critique.)</w:t>
      </w:r>
    </w:p>
    <w:p>
      <w:pPr>
        <w:numPr>
          <w:ilvl w:val="0"/>
          <w:numId w:val="1027"/>
        </w:numPr>
        <w:pStyle w:val="Compact"/>
      </w:pPr>
      <w:r>
        <w:t xml:space="preserve">Michie, S., Richardson, M., Johnston, M., et al. (2013). The Behavior Change Technique Taxonomy (v1) of 93 hierarchically clustered techniques.</w:t>
      </w:r>
      <w:r>
        <w:t xml:space="preserve"> </w:t>
      </w:r>
      <w:r>
        <w:rPr>
          <w:i/>
        </w:rPr>
        <w:t xml:space="preserve">Annals of Behavioral Medicine</w:t>
      </w:r>
      <w:r>
        <w:t xml:space="preserve">, 46(1), 81–95.</w:t>
      </w:r>
    </w:p>
    <w:p>
      <w:pPr>
        <w:numPr>
          <w:ilvl w:val="0"/>
          <w:numId w:val="1027"/>
        </w:numPr>
        <w:pStyle w:val="Compact"/>
      </w:pPr>
      <w:r>
        <w:t xml:space="preserve">Michie, S., van Stralen, M. M., &amp; West, R. (2011). The behaviour change wheel: A new method for characterising and designing behaviour change interventions.</w:t>
      </w:r>
      <w:r>
        <w:t xml:space="preserve"> </w:t>
      </w:r>
      <w:r>
        <w:rPr>
          <w:i/>
        </w:rPr>
        <w:t xml:space="preserve">Implementation Science</w:t>
      </w:r>
      <w:r>
        <w:t xml:space="preserve">, 6, 42.</w:t>
      </w:r>
    </w:p>
    <w:p>
      <w:pPr>
        <w:numPr>
          <w:ilvl w:val="0"/>
          <w:numId w:val="1027"/>
        </w:numPr>
        <w:pStyle w:val="Compact"/>
      </w:pPr>
      <w:r>
        <w:t xml:space="preserve">Milkman, K. L., Beshears, J., Choi, J. J., Laibson, D., &amp; Madrian, B. C. (2011). Using implementation intentions prompts to enhance influenza vaccination rates.</w:t>
      </w:r>
      <w:r>
        <w:t xml:space="preserve"> </w:t>
      </w:r>
      <w:r>
        <w:rPr>
          <w:i/>
        </w:rPr>
        <w:t xml:space="preserve">PNAS</w:t>
      </w:r>
      <w:r>
        <w:t xml:space="preserve">, 108(26), 10415–10420.</w:t>
      </w:r>
    </w:p>
    <w:p>
      <w:pPr>
        <w:numPr>
          <w:ilvl w:val="0"/>
          <w:numId w:val="1027"/>
        </w:numPr>
        <w:pStyle w:val="Compact"/>
      </w:pPr>
      <w:r>
        <w:t xml:space="preserve">Milkman, K. L., et al. (2021). A megastudy of text-based nudges encouraging patients to get vaccinated at an upcoming doctor’s appointment.</w:t>
      </w:r>
      <w:r>
        <w:t xml:space="preserve"> </w:t>
      </w:r>
      <w:r>
        <w:rPr>
          <w:i/>
        </w:rPr>
        <w:t xml:space="preserve">PNAS</w:t>
      </w:r>
      <w:r>
        <w:t xml:space="preserve">, 118(20), e2101165118.</w:t>
      </w:r>
    </w:p>
    <w:p>
      <w:pPr>
        <w:numPr>
          <w:ilvl w:val="0"/>
          <w:numId w:val="1027"/>
        </w:numPr>
        <w:pStyle w:val="Compact"/>
      </w:pPr>
      <w:r>
        <w:t xml:space="preserve">Milkman, K. L., et al. (2021). Megastudies improve the impact of applied behavioural science.</w:t>
      </w:r>
      <w:r>
        <w:t xml:space="preserve"> </w:t>
      </w:r>
      <w:r>
        <w:rPr>
          <w:i/>
        </w:rPr>
        <w:t xml:space="preserve">Nature</w:t>
      </w:r>
      <w:r>
        <w:t xml:space="preserve">, 600, 478–483.</w:t>
      </w:r>
    </w:p>
    <w:p>
      <w:pPr>
        <w:numPr>
          <w:ilvl w:val="0"/>
          <w:numId w:val="1027"/>
        </w:numPr>
        <w:pStyle w:val="Compact"/>
      </w:pPr>
      <w:r>
        <w:t xml:space="preserve">Nickerson, D. W., &amp; Rogers, T. (2010). Do you have a voting plan? Implementation intentions, voter turnout, and organic plan making.</w:t>
      </w:r>
      <w:r>
        <w:t xml:space="preserve"> </w:t>
      </w:r>
      <w:r>
        <w:rPr>
          <w:i/>
        </w:rPr>
        <w:t xml:space="preserve">Psychological Science</w:t>
      </w:r>
      <w:r>
        <w:t xml:space="preserve">, 21(2), 194–199.</w:t>
      </w:r>
    </w:p>
    <w:p>
      <w:pPr>
        <w:numPr>
          <w:ilvl w:val="0"/>
          <w:numId w:val="1027"/>
        </w:numPr>
        <w:pStyle w:val="Compact"/>
      </w:pPr>
      <w:r>
        <w:t xml:space="preserve">Olken, B. A. (2015). Promises and perils of pre-analysis plans.</w:t>
      </w:r>
      <w:r>
        <w:t xml:space="preserve"> </w:t>
      </w:r>
      <w:r>
        <w:rPr>
          <w:i/>
        </w:rPr>
        <w:t xml:space="preserve">Journal of Economic Perspectives</w:t>
      </w:r>
      <w:r>
        <w:t xml:space="preserve">, 29(3), 61–80.</w:t>
      </w:r>
      <w:r>
        <w:t xml:space="preserve"> </w:t>
      </w:r>
      <w:r>
        <w:rPr>
          <w:i/>
        </w:rPr>
        <w:t xml:space="preserve">(Solicited review.)</w:t>
      </w:r>
    </w:p>
    <w:p>
      <w:pPr>
        <w:numPr>
          <w:ilvl w:val="0"/>
          <w:numId w:val="1027"/>
        </w:numPr>
        <w:pStyle w:val="Compact"/>
      </w:pPr>
      <w:r>
        <w:t xml:space="preserve">Pop-Eleches, C., et al. (2011). Mobile phone technologies improve adherence to antiretroviral treatment in a resource-limited setting: A randomized controlled trial of text message reminders.</w:t>
      </w:r>
      <w:r>
        <w:t xml:space="preserve"> </w:t>
      </w:r>
      <w:r>
        <w:rPr>
          <w:i/>
        </w:rPr>
        <w:t xml:space="preserve">AIDS</w:t>
      </w:r>
      <w:r>
        <w:t xml:space="preserve">, 25(6), 825–834.</w:t>
      </w:r>
    </w:p>
    <w:p>
      <w:pPr>
        <w:numPr>
          <w:ilvl w:val="0"/>
          <w:numId w:val="1027"/>
        </w:numPr>
        <w:pStyle w:val="Compact"/>
      </w:pPr>
      <w:r>
        <w:t xml:space="preserve">Schultz, P. W., Nolan, J. M., Cialdini, R. B., Goldstein, N. J., &amp; Griskevicius, V. (2007). The constructive, destructive, and reconstructive power of social norms.</w:t>
      </w:r>
      <w:r>
        <w:t xml:space="preserve"> </w:t>
      </w:r>
      <w:r>
        <w:rPr>
          <w:i/>
        </w:rPr>
        <w:t xml:space="preserve">Psychological Science</w:t>
      </w:r>
      <w:r>
        <w:t xml:space="preserve">, 18(5), 429–434.</w:t>
      </w:r>
    </w:p>
    <w:p>
      <w:pPr>
        <w:numPr>
          <w:ilvl w:val="0"/>
          <w:numId w:val="1027"/>
        </w:numPr>
        <w:pStyle w:val="Compact"/>
      </w:pPr>
      <w:r>
        <w:t xml:space="preserve">Shah, A. K., Mullainathan, S., &amp; Shafir, E. (2012). Some consequences of having too little.</w:t>
      </w:r>
      <w:r>
        <w:t xml:space="preserve"> </w:t>
      </w:r>
      <w:r>
        <w:rPr>
          <w:i/>
        </w:rPr>
        <w:t xml:space="preserve">Science</w:t>
      </w:r>
      <w:r>
        <w:t xml:space="preserve">, 338(6107), 682–685.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Atomic BeSci Skills — IL Contribution Candidates</dc:title>
  <dc:creator/>
  <cp:keywords/>
  <dcterms:created xsi:type="dcterms:W3CDTF">2026-06-12T05:24:23Z</dcterms:created>
  <dcterms:modified xsi:type="dcterms:W3CDTF">2026-06-12T05:24:23Z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