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rFonts w:ascii="Verdana" w:cs="Verdana" w:eastAsia="Verdana" w:hAnsi="Verdana"/>
        </w:rPr>
      </w:pPr>
      <w:bookmarkStart w:colFirst="0" w:colLast="0" w:name="_71afr4ce0rw5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Checklist</w:t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 FPV + Mavic (repeater)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qnfmw98fqqmv" w:id="1"/>
      <w:bookmarkEnd w:id="1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1. Підготовка всіх необхідних засобів для комунікації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Планшет зі стрімами в Дельті – переконатися, що сесія акаунту активна.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Планшет з мобільним застосунком Вежа – під'єднати до наземної станції, переконатися у готовності до трансляції з FPV-дрона, за потреби перезавантажити.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Планшет з Кропивою – перевірити вхід по паролю і підготувати координати цілі.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Усі необхідні ефіри в Google Meet – відкрити заздалегідь.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aci32wewib9" w:id="2"/>
      <w:bookmarkEnd w:id="2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2. Перевірка наземної станції FPV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заряд акумуляторів для: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FPV-окулярів;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пульта;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виносного блоку антен;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монітора.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Увімкнути виносну антену, монітор, окуляри.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наявність карти пам'яті в окулярах.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Увімкнути FPV-пульт, дотримуючись наступних заходів безпеки: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Уточнити у сапера тип плати ініціації на дроні.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Verdana" w:cs="Verdana" w:eastAsia="Verdana" w:hAnsi="Verdana"/>
          <w:b w:val="1"/>
          <w:color w:val="ff0000"/>
          <w:u w:val="none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hd w:fill="cfe2f3" w:val="clear"/>
          <w:rtl w:val="0"/>
        </w:rPr>
        <w:t xml:space="preserve">❗ Тумблери пульта повинні бути в мінімальному положенні, окрім випадку, коли плата інвертована – тоді тумблер, призначений на ініціацію, має бути в верхньому положенні.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26nbns118oyh" w:id="3"/>
      <w:bookmarkEnd w:id="3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3. Підготовка Mavic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Увімкнути виносну антену Alientech безпосередньо кнопкою.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заряд та роботоздатність.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надійність підключення ВЧ-кабелів.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Під'єднати додатковий змінний акумулятор (Li-Ion) до кабелю живлення Alientech: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Переконатися, що акумулятор заряджений.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Увімкнути пульт Mavic.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Увімкнути Mavic поруч з пультом (щоб не бігати, якщо потрібно перебіндити).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 пульті: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Примусово перемкнути режим на 2.4GHz.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Перевірити, що не відбувається автоматичне перемикання назад.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наявність повідомлень: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Чи потрібен повторний бінд.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Чи немає критичних помилок, що унеможливлюють зліт.</w:t>
      </w:r>
    </w:p>
    <w:p w:rsidR="00000000" w:rsidDel="00000000" w:rsidP="00000000" w:rsidRDefault="00000000" w:rsidRPr="00000000" w14:paraId="00000020">
      <w:pPr>
        <w:spacing w:befor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66461dr54f3o" w:id="4"/>
      <w:bookmarkEnd w:id="4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4. Перевірка ретранслятора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Перевірити, чи відбувся бінд приймача ExpressLRS з передавачем: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Світлодіод на приймачі має світитися постійно.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рівень потужності відеопередавача 1.2GHz: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Переконатися, що увімкнено не PIT-Mode, а мінімальний рівень потужності (зазвичай другий світлодіод).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канал на VTX – має співпадати з VRX на наземній станції.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вибраний вхід антени на VRX: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Має бути вибрано той, де фізично підключена антена (A або B).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Якщо неможливо вимкнути режим Divercity, накрутити заглушку 50 Ом на вільний SMA-роз'єм.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7bsmds7t5p1s" w:id="5"/>
      <w:bookmarkEnd w:id="5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5. Підключення FPV-дрона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Підійти з увімкненим Mavic до споттера.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Повідомити про готовність.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Очікувати в зоні видимості виносних антен.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Споттер вмикає FPV-дрон.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Перевірити зображення через монітор: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Має бути зображення та рівень LQ.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Встановити обидва дрони на точку зльоту.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Запуск двигунів Mavic та зліт – тільки після повернення споттера в бліндаж.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Повторно перевірити 2.4GHz на Mavic.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