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The Fuel Store</w:t>
      </w:r>
    </w:p>
    <w:p>
      <w:pPr>
        <w:pBdr>
          <w:bottom w:val="single" w:color="0B5394" w:sz="12" w:space="6"/>
        </w:pBdr>
        <w:spacing w:after="320"/>
      </w:pPr>
      <w:r>
        <w:rPr>
          <w:color w:val="0B5394"/>
          <w:sz w:val="28"/>
          <w:szCs w:val="28"/>
        </w:rPr>
        <w:t xml:space="preserve">QA Automation — Test Coverage Overview</w:t>
      </w:r>
    </w:p>
    <w:p>
      <w:pPr>
        <w:spacing w:after="60"/>
      </w:pPr>
      <w:r>
        <w:rPr>
          <w:i/>
          <w:iCs/>
          <w:color w:val="595959"/>
          <w:sz w:val="20"/>
          <w:szCs w:val="20"/>
        </w:rPr>
        <w:t xml:space="preserve">Prepared by: Candid Group — QA Department</w:t>
      </w:r>
    </w:p>
    <w:p>
      <w:pPr>
        <w:spacing w:after="60"/>
      </w:pPr>
      <w:r>
        <w:rPr>
          <w:i/>
          <w:iCs/>
          <w:color w:val="595959"/>
          <w:sz w:val="20"/>
          <w:szCs w:val="20"/>
        </w:rPr>
        <w:t xml:space="preserve">Date: 23 September 2026</w:t>
      </w:r>
    </w:p>
    <w:p>
      <w:pPr>
        <w:pStyle w:val="Heading1"/>
        <w:pBdr>
          <w:bottom w:val="single" w:color="0B5394" w:sz="6" w:space="4"/>
        </w:pBdr>
        <w:spacing w:after="160" w:before="360"/>
      </w:pPr>
      <w:r>
        <w:rPr>
          <w:b/>
          <w:bCs/>
          <w:color w:val="1F3864"/>
          <w:sz w:val="30"/>
          <w:szCs w:val="30"/>
        </w:rPr>
        <w:t xml:space="preserve">Introduction</w:t>
      </w:r>
    </w:p>
    <w:p>
      <w:pPr>
        <w:spacing w:after="140" w:line="276"/>
      </w:pPr>
      <w:r>
        <w:rPr>
          <w:color w:val="262626"/>
          <w:sz w:val="21"/>
          <w:szCs w:val="21"/>
        </w:rPr>
        <w:t xml:space="preserve">Candid Group's QA Department maintains an automated test suite for The Fuel Store's customer account portal (thefuelstore.co.uk). Unlike a public marketing website, every page in this portal sits behind a genuine login, so the suite signs in with real test credentials and then works through the same journeys a real fuel-card customer would take - checking account details, invoices, transactions, payments, cards, and support content. This document summarises what that suite covers, in plain business terms, so that stakeholders have a clear, current picture of the quality assurance in place for the portal.</w:t>
      </w:r>
    </w:p>
    <w:p>
      <w:pPr>
        <w:spacing w:after="140" w:line="276"/>
      </w:pPr>
      <w:r>
        <w:rPr>
          <w:color w:val="262626"/>
          <w:sz w:val="21"/>
          <w:szCs w:val="21"/>
        </w:rPr>
        <w:t xml:space="preserve">The suite is organised into four complementary areas: functional testing (does the portal work correctly for a logged-in customer), non-functional testing (is the portal secure and performant), accessibility testing (can everyone use it, regardless of ability), and cross-environment consistency checks (does the pre-release environment match what is actually live). Each run also produces a plain-language findings report, described at the end of this document.</w:t>
      </w:r>
    </w:p>
    <w:p>
      <w:pPr>
        <w:spacing w:after="140" w:line="276"/>
      </w:pPr>
      <w:r>
        <w:rPr>
          <w:color w:val="262626"/>
          <w:sz w:val="21"/>
          <w:szCs w:val="21"/>
        </w:rPr>
        <w:t xml:space="preserve">In total, the suite runs over 260 automated checks across every page of the customer portal, tested across desktop, tablet, and mobile, alongside a dedicated load-testing profile.</w:t>
      </w:r>
    </w:p>
    <w:p>
      <w:pPr>
        <w:pStyle w:val="Heading1"/>
        <w:pBdr>
          <w:bottom w:val="single" w:color="0B5394" w:sz="6" w:space="4"/>
        </w:pBdr>
        <w:spacing w:after="160" w:before="360"/>
      </w:pPr>
      <w:r>
        <w:rPr>
          <w:b/>
          <w:bCs/>
          <w:color w:val="1F3864"/>
          <w:sz w:val="30"/>
          <w:szCs w:val="30"/>
        </w:rPr>
        <w:t xml:space="preserve">Functional Testing</w:t>
      </w:r>
    </w:p>
    <w:p>
      <w:pPr>
        <w:spacing w:after="140" w:line="276"/>
      </w:pPr>
      <w:r>
        <w:rPr>
          <w:color w:val="262626"/>
          <w:sz w:val="21"/>
          <w:szCs w:val="21"/>
        </w:rPr>
        <w:t xml:space="preserve">Functional tests confirm that each part of the portal behaves as intended: the login process itself, every page a customer can reach once signed in, and the enquiry forms that route real questions to the business. Coverage is organised by portal area:</w:t>
      </w:r>
    </w:p>
    <w:p>
      <w:pPr>
        <w:pStyle w:val="Heading2"/>
        <w:spacing w:after="120" w:before="280"/>
      </w:pPr>
      <w:r>
        <w:rPr>
          <w:b/>
          <w:bCs/>
          <w:color w:val="1F3864"/>
          <w:sz w:val="24"/>
          <w:szCs w:val="24"/>
        </w:rPr>
        <w:t xml:space="preserve">Login</w:t>
      </w:r>
    </w:p>
    <w:p>
      <w:pPr>
        <w:pStyle w:val="ListParagraph"/>
        <w:numPr>
          <w:ilvl w:val="0"/>
          <w:numId w:val="2"/>
        </w:numPr>
        <w:spacing w:after="60" w:line="264"/>
      </w:pPr>
      <w:r>
        <w:rPr>
          <w:b/>
          <w:bCs/>
          <w:color w:val="262626"/>
          <w:sz w:val="21"/>
          <w:szCs w:val="21"/>
        </w:rPr>
        <w:t xml:space="preserve">Access control: </w:t>
      </w:r>
      <w:r>
        <w:rPr>
          <w:color w:val="262626"/>
          <w:sz w:val="21"/>
          <w:szCs w:val="21"/>
        </w:rPr>
        <w:t xml:space="preserve">the login form's field presence, native validation on missing input, correct error handling for invalid credentials, and a genuine successful sign-in and sign-out are all confirmed - identical behaviour on both environments.</w:t>
      </w:r>
    </w:p>
    <w:p>
      <w:pPr>
        <w:pStyle w:val="Heading2"/>
        <w:spacing w:after="120" w:before="280"/>
      </w:pPr>
      <w:r>
        <w:rPr>
          <w:b/>
          <w:bCs/>
          <w:color w:val="1F3864"/>
          <w:sz w:val="24"/>
          <w:szCs w:val="24"/>
        </w:rPr>
        <w:t xml:space="preserve">Dashboard</w:t>
      </w:r>
    </w:p>
    <w:p>
      <w:pPr>
        <w:pStyle w:val="ListParagraph"/>
        <w:numPr>
          <w:ilvl w:val="0"/>
          <w:numId w:val="2"/>
        </w:numPr>
        <w:spacing w:after="60" w:line="264"/>
      </w:pPr>
      <w:r>
        <w:rPr>
          <w:b/>
          <w:bCs/>
          <w:color w:val="262626"/>
          <w:sz w:val="21"/>
          <w:szCs w:val="21"/>
        </w:rPr>
        <w:t xml:space="preserve">Account overview: </w:t>
      </w:r>
      <w:r>
        <w:rPr>
          <w:color w:val="262626"/>
          <w:sz w:val="21"/>
          <w:szCs w:val="21"/>
        </w:rPr>
        <w:t xml:space="preserve">the header (account switcher covering all known accounts, logout, logo), collapsible sidebar, and the six summary cards are all confirmed, including a genuine sweep across five different accounts to prove the summary cards and spend chart update correctly per account.</w:t>
      </w:r>
    </w:p>
    <w:p>
      <w:pPr>
        <w:pStyle w:val="ListParagraph"/>
        <w:numPr>
          <w:ilvl w:val="0"/>
          <w:numId w:val="2"/>
        </w:numPr>
        <w:spacing w:after="60" w:line="264"/>
      </w:pPr>
      <w:r>
        <w:rPr>
          <w:b/>
          <w:bCs/>
          <w:color w:val="262626"/>
          <w:sz w:val="21"/>
          <w:szCs w:val="21"/>
        </w:rPr>
        <w:t xml:space="preserve">Payments and charts: </w:t>
      </w:r>
      <w:r>
        <w:rPr>
          <w:color w:val="262626"/>
          <w:sz w:val="21"/>
          <w:szCs w:val="21"/>
        </w:rPr>
        <w:t xml:space="preserve">the Make Payment action (opening the external payment gateway) and both spend/usage charts (hover detail, switching between value and quantity views) are confirmed working.</w:t>
      </w:r>
    </w:p>
    <w:p>
      <w:pPr>
        <w:pStyle w:val="Heading2"/>
        <w:spacing w:after="120" w:before="280"/>
      </w:pPr>
      <w:r>
        <w:rPr>
          <w:b/>
          <w:bCs/>
          <w:color w:val="1F3864"/>
          <w:sz w:val="24"/>
          <w:szCs w:val="24"/>
        </w:rPr>
        <w:t xml:space="preserve">Account Details</w:t>
      </w:r>
    </w:p>
    <w:p>
      <w:pPr>
        <w:pStyle w:val="ListParagraph"/>
        <w:numPr>
          <w:ilvl w:val="0"/>
          <w:numId w:val="2"/>
        </w:numPr>
        <w:spacing w:after="60" w:line="264"/>
      </w:pPr>
      <w:r>
        <w:rPr>
          <w:b/>
          <w:bCs/>
          <w:color w:val="262626"/>
          <w:sz w:val="21"/>
          <w:szCs w:val="21"/>
        </w:rPr>
        <w:t xml:space="preserve">Personal details and history: </w:t>
      </w:r>
      <w:r>
        <w:rPr>
          <w:color w:val="262626"/>
          <w:sz w:val="21"/>
          <w:szCs w:val="21"/>
        </w:rPr>
        <w:t xml:space="preserve">the account holder's details card and the full transaction history table are confirmed, including every filter field (document number, dates via the real calendar picker, quantity, and total).</w:t>
      </w:r>
    </w:p>
    <w:p>
      <w:pPr>
        <w:pStyle w:val="ListParagraph"/>
        <w:numPr>
          <w:ilvl w:val="0"/>
          <w:numId w:val="2"/>
        </w:numPr>
        <w:spacing w:after="60" w:line="264"/>
      </w:pPr>
      <w:r>
        <w:rPr>
          <w:b/>
          <w:bCs/>
          <w:color w:val="262626"/>
          <w:sz w:val="21"/>
          <w:szCs w:val="21"/>
        </w:rPr>
        <w:t xml:space="preserve">Sorting, downloads, and paging: </w:t>
      </w:r>
      <w:r>
        <w:rPr>
          <w:color w:val="262626"/>
          <w:sz w:val="21"/>
          <w:szCs w:val="21"/>
        </w:rPr>
        <w:t xml:space="preserve">every sort option, the header-level spreadsheet export, individual row PDF/Excel downloads (sampled across multiple rows), and full pagination (first/previous/next/last and direct page selection) are all confirmed.</w:t>
      </w:r>
    </w:p>
    <w:p>
      <w:pPr>
        <w:pStyle w:val="Heading2"/>
        <w:spacing w:after="120" w:before="280"/>
      </w:pPr>
      <w:r>
        <w:rPr>
          <w:b/>
          <w:bCs/>
          <w:color w:val="1F3864"/>
          <w:sz w:val="24"/>
          <w:szCs w:val="24"/>
        </w:rPr>
        <w:t xml:space="preserve">Invoices</w:t>
      </w:r>
    </w:p>
    <w:p>
      <w:pPr>
        <w:pStyle w:val="ListParagraph"/>
        <w:numPr>
          <w:ilvl w:val="0"/>
          <w:numId w:val="2"/>
        </w:numPr>
        <w:spacing w:after="60" w:line="264"/>
      </w:pPr>
      <w:r>
        <w:rPr>
          <w:b/>
          <w:bCs/>
          <w:color w:val="262626"/>
          <w:sz w:val="21"/>
          <w:szCs w:val="21"/>
        </w:rPr>
        <w:t xml:space="preserve">Invoice history: </w:t>
      </w:r>
      <w:r>
        <w:rPr>
          <w:color w:val="262626"/>
          <w:sz w:val="21"/>
          <w:szCs w:val="21"/>
        </w:rPr>
        <w:t xml:space="preserve">the same history-table experience as Account Details is confirmed again here, with its own simplified set of filters (document number and date range) and the same sorting, download, and pagination behaviour.</w:t>
      </w:r>
    </w:p>
    <w:p>
      <w:pPr>
        <w:pStyle w:val="Heading2"/>
        <w:spacing w:after="120" w:before="280"/>
      </w:pPr>
      <w:r>
        <w:rPr>
          <w:b/>
          <w:bCs/>
          <w:color w:val="1F3864"/>
          <w:sz w:val="24"/>
          <w:szCs w:val="24"/>
        </w:rPr>
        <w:t xml:space="preserve">Site Locator</w:t>
      </w:r>
    </w:p>
    <w:p>
      <w:pPr>
        <w:pStyle w:val="ListParagraph"/>
        <w:numPr>
          <w:ilvl w:val="0"/>
          <w:numId w:val="2"/>
        </w:numPr>
        <w:spacing w:after="60" w:line="264"/>
      </w:pPr>
      <w:r>
        <w:rPr>
          <w:b/>
          <w:bCs/>
          <w:color w:val="262626"/>
          <w:sz w:val="21"/>
          <w:szCs w:val="21"/>
        </w:rPr>
        <w:t xml:space="preserve">Station finder: </w:t>
      </w:r>
      <w:r>
        <w:rPr>
          <w:color w:val="262626"/>
          <w:sz w:val="21"/>
          <w:szCs w:val="21"/>
        </w:rPr>
        <w:t xml:space="preserve">the location search (including its required-field validation), narrowing by range, card type, and facilities, and genuine map interaction (drag, zoom, clicking a result to open its details) are all confirmed, along with the results list matching the map.</w:t>
      </w:r>
    </w:p>
    <w:p>
      <w:pPr>
        <w:pStyle w:val="Heading2"/>
        <w:spacing w:after="120" w:before="280"/>
      </w:pPr>
      <w:r>
        <w:rPr>
          <w:b/>
          <w:bCs/>
          <w:color w:val="1F3864"/>
          <w:sz w:val="24"/>
          <w:szCs w:val="24"/>
        </w:rPr>
        <w:t xml:space="preserve">Transactions</w:t>
      </w:r>
    </w:p>
    <w:p>
      <w:pPr>
        <w:pStyle w:val="ListParagraph"/>
        <w:numPr>
          <w:ilvl w:val="0"/>
          <w:numId w:val="2"/>
        </w:numPr>
        <w:spacing w:after="60" w:line="264"/>
      </w:pPr>
      <w:r>
        <w:rPr>
          <w:b/>
          <w:bCs/>
          <w:color w:val="262626"/>
          <w:sz w:val="21"/>
          <w:szCs w:val="21"/>
        </w:rPr>
        <w:t xml:space="preserve">Transaction history: </w:t>
      </w:r>
      <w:r>
        <w:rPr>
          <w:color w:val="262626"/>
          <w:sz w:val="21"/>
          <w:szCs w:val="21"/>
        </w:rPr>
        <w:t xml:space="preserve">the portal's largest history table (12 columns) and its 8-field filter panel (invoice number, card number, date range, volume range, registration, and driver name) are confirmed, including live-narrowing behaviour as a customer types.</w:t>
      </w:r>
    </w:p>
    <w:p>
      <w:pPr>
        <w:pStyle w:val="Heading2"/>
        <w:spacing w:after="120" w:before="280"/>
      </w:pPr>
      <w:r>
        <w:rPr>
          <w:b/>
          <w:bCs/>
          <w:color w:val="1F3864"/>
          <w:sz w:val="24"/>
          <w:szCs w:val="24"/>
        </w:rPr>
        <w:t xml:space="preserve">Payments</w:t>
      </w:r>
    </w:p>
    <w:p>
      <w:pPr>
        <w:pStyle w:val="ListParagraph"/>
        <w:numPr>
          <w:ilvl w:val="0"/>
          <w:numId w:val="2"/>
        </w:numPr>
        <w:spacing w:after="60" w:line="264"/>
      </w:pPr>
      <w:r>
        <w:rPr>
          <w:b/>
          <w:bCs/>
          <w:color w:val="262626"/>
          <w:sz w:val="21"/>
          <w:szCs w:val="21"/>
        </w:rPr>
        <w:t xml:space="preserve">Payment history and gateway: </w:t>
      </w:r>
      <w:r>
        <w:rPr>
          <w:color w:val="262626"/>
          <w:sz w:val="21"/>
          <w:szCs w:val="21"/>
        </w:rPr>
        <w:t xml:space="preserve">payment history filtering (status, date, type) and the Make Payment action are confirmed, including that the external payment gateway is correctly pre-filled with the right account reference for whichever account is currently selected.</w:t>
      </w:r>
    </w:p>
    <w:p>
      <w:pPr>
        <w:pStyle w:val="Heading2"/>
        <w:spacing w:after="120" w:before="280"/>
      </w:pPr>
      <w:r>
        <w:rPr>
          <w:b/>
          <w:bCs/>
          <w:color w:val="1F3864"/>
          <w:sz w:val="24"/>
          <w:szCs w:val="24"/>
        </w:rPr>
        <w:t xml:space="preserve">Manage Cards</w:t>
      </w:r>
    </w:p>
    <w:p>
      <w:pPr>
        <w:pStyle w:val="ListParagraph"/>
        <w:numPr>
          <w:ilvl w:val="0"/>
          <w:numId w:val="2"/>
        </w:numPr>
        <w:spacing w:after="60" w:line="264"/>
      </w:pPr>
      <w:r>
        <w:rPr>
          <w:b/>
          <w:bCs/>
          <w:color w:val="262626"/>
          <w:sz w:val="21"/>
          <w:szCs w:val="21"/>
        </w:rPr>
        <w:t xml:space="preserve">Card administration: </w:t>
      </w:r>
      <w:r>
        <w:rPr>
          <w:color w:val="262626"/>
          <w:sz w:val="21"/>
          <w:szCs w:val="21"/>
        </w:rPr>
        <w:t xml:space="preserve">the full card list (9 columns covering card number, type, driver, registration, expiry, last use, and status) is confirmed, along with each row's Stop Card and Request Pin Reminder actions opening their correct confirmation dialogs, and the card details panel showing the right card when clicked.</w:t>
      </w:r>
    </w:p>
    <w:p>
      <w:pPr>
        <w:pStyle w:val="ListParagraph"/>
        <w:numPr>
          <w:ilvl w:val="0"/>
          <w:numId w:val="2"/>
        </w:numPr>
        <w:spacing w:after="60" w:line="264"/>
      </w:pPr>
      <w:r>
        <w:rPr>
          <w:b/>
          <w:bCs/>
          <w:color w:val="262626"/>
          <w:sz w:val="21"/>
          <w:szCs w:val="21"/>
        </w:rPr>
        <w:t xml:space="preserve">Ordering and filtering: </w:t>
      </w:r>
      <w:r>
        <w:rPr>
          <w:color w:val="262626"/>
          <w:sz w:val="21"/>
          <w:szCs w:val="21"/>
        </w:rPr>
        <w:t xml:space="preserve">the Order Card journey (card type selection through to the driver details step) and both expiry-date filters (on-or-after, on-or-before) are confirmed working correctly.</w:t>
      </w:r>
    </w:p>
    <w:p>
      <w:pPr>
        <w:pStyle w:val="Heading2"/>
        <w:spacing w:after="120" w:before="280"/>
      </w:pPr>
      <w:r>
        <w:rPr>
          <w:b/>
          <w:bCs/>
          <w:color w:val="1F3864"/>
          <w:sz w:val="24"/>
          <w:szCs w:val="24"/>
        </w:rPr>
        <w:t xml:space="preserve">Additional Services</w:t>
      </w:r>
    </w:p>
    <w:p>
      <w:pPr>
        <w:pStyle w:val="ListParagraph"/>
        <w:numPr>
          <w:ilvl w:val="0"/>
          <w:numId w:val="2"/>
        </w:numPr>
        <w:spacing w:after="60" w:line="264"/>
      </w:pPr>
      <w:r>
        <w:rPr>
          <w:b/>
          <w:bCs/>
          <w:color w:val="262626"/>
          <w:sz w:val="21"/>
          <w:szCs w:val="21"/>
        </w:rPr>
        <w:t xml:space="preserve">Enquiry forms: </w:t>
      </w:r>
      <w:r>
        <w:rPr>
          <w:color w:val="262626"/>
          <w:sz w:val="21"/>
          <w:szCs w:val="21"/>
        </w:rPr>
        <w:t xml:space="preserve">all four service enquiry panels (FuelConnect, Clean Air Partnership, FraudGuard, and AdBlue) are confirmed, including required-field validation and a genuine, successful enquiry submission through to the portal's confirmation message.</w:t>
      </w:r>
    </w:p>
    <w:p>
      <w:pPr>
        <w:pStyle w:val="ListParagraph"/>
        <w:numPr>
          <w:ilvl w:val="0"/>
          <w:numId w:val="2"/>
        </w:numPr>
        <w:spacing w:after="60" w:line="264"/>
      </w:pPr>
      <w:r>
        <w:rPr>
          <w:b/>
          <w:bCs/>
          <w:color w:val="262626"/>
          <w:sz w:val="21"/>
          <w:szCs w:val="21"/>
        </w:rPr>
        <w:t xml:space="preserve">Safe test data: </w:t>
      </w:r>
      <w:r>
        <w:rPr>
          <w:color w:val="262626"/>
          <w:sz w:val="21"/>
          <w:szCs w:val="21"/>
        </w:rPr>
        <w:t xml:space="preserve">every real submission uses clearly-marked, automatically rotating test data, so the business's support team can immediately recognise automated test traffic rather than mistaking it for a genuine customer enquiry.</w:t>
      </w:r>
    </w:p>
    <w:p>
      <w:pPr>
        <w:pStyle w:val="Heading2"/>
        <w:spacing w:after="120" w:before="280"/>
      </w:pPr>
      <w:r>
        <w:rPr>
          <w:b/>
          <w:bCs/>
          <w:color w:val="1F3864"/>
          <w:sz w:val="24"/>
          <w:szCs w:val="24"/>
        </w:rPr>
        <w:t xml:space="preserve">FAQs</w:t>
      </w:r>
    </w:p>
    <w:p>
      <w:pPr>
        <w:pStyle w:val="ListParagraph"/>
        <w:numPr>
          <w:ilvl w:val="0"/>
          <w:numId w:val="2"/>
        </w:numPr>
        <w:spacing w:after="60" w:line="264"/>
      </w:pPr>
      <w:r>
        <w:rPr>
          <w:b/>
          <w:bCs/>
          <w:color w:val="262626"/>
          <w:sz w:val="21"/>
          <w:szCs w:val="21"/>
        </w:rPr>
        <w:t xml:space="preserve">Support content: </w:t>
      </w:r>
      <w:r>
        <w:rPr>
          <w:color w:val="262626"/>
          <w:sz w:val="21"/>
          <w:szCs w:val="21"/>
        </w:rPr>
        <w:t xml:space="preserve">all frequently-asked-questions entries are confirmed to expand and collapse correctly, one at a time, with their answer content present.</w:t>
      </w:r>
    </w:p>
    <w:p>
      <w:pPr>
        <w:pStyle w:val="Heading2"/>
        <w:spacing w:after="120" w:before="280"/>
      </w:pPr>
      <w:r>
        <w:rPr>
          <w:b/>
          <w:bCs/>
          <w:color w:val="1F3864"/>
          <w:sz w:val="24"/>
          <w:szCs w:val="24"/>
        </w:rPr>
        <w:t xml:space="preserve">Contact</w:t>
      </w:r>
    </w:p>
    <w:p>
      <w:pPr>
        <w:pStyle w:val="ListParagraph"/>
        <w:numPr>
          <w:ilvl w:val="0"/>
          <w:numId w:val="2"/>
        </w:numPr>
        <w:spacing w:after="60" w:line="264"/>
      </w:pPr>
      <w:r>
        <w:rPr>
          <w:b/>
          <w:bCs/>
          <w:color w:val="262626"/>
          <w:sz w:val="21"/>
          <w:szCs w:val="21"/>
        </w:rPr>
        <w:t xml:space="preserve">Getting in touch: </w:t>
      </w:r>
      <w:r>
        <w:rPr>
          <w:color w:val="262626"/>
          <w:sz w:val="21"/>
          <w:szCs w:val="21"/>
        </w:rPr>
        <w:t xml:space="preserve">the contact journey is confirmed on both environments; because the live site currently routes this to a different public enquiry form than the pre-release environment, the suite tests each version correctly rather than assuming they are the same page - see Cross-Environment Consistency Checks below.</w:t>
      </w:r>
    </w:p>
    <w:p>
      <w:pPr>
        <w:pStyle w:val="Heading1"/>
        <w:pBdr>
          <w:bottom w:val="single" w:color="0B5394" w:sz="6" w:space="4"/>
        </w:pBdr>
        <w:spacing w:after="160" w:before="360"/>
      </w:pPr>
      <w:r>
        <w:rPr>
          <w:b/>
          <w:bCs/>
          <w:color w:val="1F3864"/>
          <w:sz w:val="30"/>
          <w:szCs w:val="30"/>
        </w:rPr>
        <w:t xml:space="preserve">Non-Functional Testing</w:t>
      </w:r>
    </w:p>
    <w:p>
      <w:pPr>
        <w:spacing w:after="140" w:line="276"/>
      </w:pPr>
      <w:r>
        <w:rPr>
          <w:color w:val="262626"/>
          <w:sz w:val="21"/>
          <w:szCs w:val="21"/>
        </w:rPr>
        <w:t xml:space="preserve">Non-functional tests look beyond individual page content to the portal's security posture and its ability to perform under real-world load - both factors that affect customer trust and experience.</w:t>
      </w:r>
    </w:p>
    <w:p>
      <w:pPr>
        <w:pStyle w:val="Heading2"/>
        <w:spacing w:after="120" w:before="280"/>
      </w:pPr>
      <w:r>
        <w:rPr>
          <w:b/>
          <w:bCs/>
          <w:color w:val="1F3864"/>
          <w:sz w:val="24"/>
          <w:szCs w:val="24"/>
        </w:rPr>
        <w:t xml:space="preserve">Security</w:t>
      </w:r>
    </w:p>
    <w:p>
      <w:pPr>
        <w:pStyle w:val="ListParagraph"/>
        <w:numPr>
          <w:ilvl w:val="0"/>
          <w:numId w:val="2"/>
        </w:numPr>
        <w:spacing w:after="60" w:line="264"/>
      </w:pPr>
      <w:r>
        <w:rPr>
          <w:b/>
          <w:bCs/>
          <w:color w:val="262626"/>
          <w:sz w:val="21"/>
          <w:szCs w:val="21"/>
        </w:rPr>
        <w:t xml:space="preserve">Access control: </w:t>
      </w:r>
      <w:r>
        <w:rPr>
          <w:color w:val="262626"/>
          <w:sz w:val="21"/>
          <w:szCs w:val="21"/>
        </w:rPr>
        <w:t xml:space="preserve">every portal page is confirmed to correctly redirect an unauthenticated visitor to the login page rather than leaking account content.</w:t>
      </w:r>
    </w:p>
    <w:p>
      <w:pPr>
        <w:pStyle w:val="ListParagraph"/>
        <w:numPr>
          <w:ilvl w:val="0"/>
          <w:numId w:val="2"/>
        </w:numPr>
        <w:spacing w:after="60" w:line="264"/>
      </w:pPr>
      <w:r>
        <w:rPr>
          <w:b/>
          <w:bCs/>
          <w:color w:val="262626"/>
          <w:sz w:val="21"/>
          <w:szCs w:val="21"/>
        </w:rPr>
        <w:t xml:space="preserve">Hardening headers: </w:t>
      </w:r>
      <w:r>
        <w:rPr>
          <w:color w:val="262626"/>
          <w:sz w:val="21"/>
          <w:szCs w:val="21"/>
        </w:rPr>
        <w:t xml:space="preserve">the suite checks the portal's security response headers (Content-Security-Policy and related hardening headers) against current best practice; this has surfaced concrete, actionable findings - including headers that are more permissive than recommended and some standard hardening headers that are not yet present - which have been raised with the business as recommended improvements.</w:t>
      </w:r>
    </w:p>
    <w:p>
      <w:pPr>
        <w:pStyle w:val="ListParagraph"/>
        <w:numPr>
          <w:ilvl w:val="0"/>
          <w:numId w:val="2"/>
        </w:numPr>
        <w:spacing w:after="60" w:line="264"/>
      </w:pPr>
      <w:r>
        <w:rPr>
          <w:b/>
          <w:bCs/>
          <w:color w:val="262626"/>
          <w:sz w:val="21"/>
          <w:szCs w:val="21"/>
        </w:rPr>
        <w:t xml:space="preserve">Session cookie configuration: </w:t>
      </w:r>
      <w:r>
        <w:rPr>
          <w:color w:val="262626"/>
          <w:sz w:val="21"/>
          <w:szCs w:val="21"/>
        </w:rPr>
        <w:t xml:space="preserve">the session cookie set at login is checked for the standard security flags expected of an authenticated session; one inconsistency was found and reported (one of the two login cookies is missing a flag that its sibling cookie already has).</w:t>
      </w:r>
    </w:p>
    <w:p>
      <w:pPr>
        <w:pStyle w:val="Heading2"/>
        <w:spacing w:after="120" w:before="280"/>
      </w:pPr>
      <w:r>
        <w:rPr>
          <w:b/>
          <w:bCs/>
          <w:color w:val="1F3864"/>
          <w:sz w:val="24"/>
          <w:szCs w:val="24"/>
        </w:rPr>
        <w:t xml:space="preserve">Performance and Load Testing</w:t>
      </w:r>
    </w:p>
    <w:p>
      <w:pPr>
        <w:pStyle w:val="ListParagraph"/>
        <w:numPr>
          <w:ilvl w:val="0"/>
          <w:numId w:val="2"/>
        </w:numPr>
        <w:spacing w:after="60" w:line="264"/>
      </w:pPr>
      <w:r>
        <w:rPr>
          <w:b/>
          <w:bCs/>
          <w:color w:val="262626"/>
          <w:sz w:val="21"/>
          <w:szCs w:val="21"/>
        </w:rPr>
        <w:t xml:space="preserve">Realistic customer traffic: </w:t>
      </w:r>
      <w:r>
        <w:rPr>
          <w:color w:val="262626"/>
          <w:sz w:val="21"/>
          <w:szCs w:val="21"/>
        </w:rPr>
        <w:t xml:space="preserve">a dedicated load-testing profile (built with the industry-standard k6 tool) signs in once and then simulates multiple customers browsing the portal at once - across a quick smoke check, normal expected load, a sudden traffic spike, and a longer stability soak test - to confirm response times hold up under real-world conditions, not only a single-user test.</w:t>
      </w:r>
    </w:p>
    <w:p>
      <w:pPr>
        <w:pStyle w:val="ListParagraph"/>
        <w:numPr>
          <w:ilvl w:val="0"/>
          <w:numId w:val="2"/>
        </w:numPr>
        <w:spacing w:after="60" w:line="264"/>
      </w:pPr>
      <w:r>
        <w:rPr>
          <w:b/>
          <w:bCs/>
          <w:color w:val="262626"/>
          <w:sz w:val="21"/>
          <w:szCs w:val="21"/>
        </w:rPr>
        <w:t xml:space="preserve">Early value delivered: </w:t>
      </w:r>
      <w:r>
        <w:rPr>
          <w:color w:val="262626"/>
          <w:sz w:val="21"/>
          <w:szCs w:val="21"/>
        </w:rPr>
        <w:t xml:space="preserve">the very first full load-test run already surfaced a genuine, measurable finding: response times for some pages exceeded the target threshold under concurrent load, giving the business concrete data to act on ahead of any customer-facing performance issue.</w:t>
      </w:r>
    </w:p>
    <w:p>
      <w:pPr>
        <w:pStyle w:val="Heading1"/>
        <w:pBdr>
          <w:bottom w:val="single" w:color="0B5394" w:sz="6" w:space="4"/>
        </w:pBdr>
        <w:spacing w:after="160" w:before="360"/>
      </w:pPr>
      <w:r>
        <w:rPr>
          <w:b/>
          <w:bCs/>
          <w:color w:val="1F3864"/>
          <w:sz w:val="30"/>
          <w:szCs w:val="30"/>
        </w:rPr>
        <w:t xml:space="preserve">Accessibility Testing</w:t>
      </w:r>
    </w:p>
    <w:p>
      <w:pPr>
        <w:spacing w:after="140" w:line="276"/>
      </w:pPr>
      <w:r>
        <w:rPr>
          <w:color w:val="262626"/>
          <w:sz w:val="21"/>
          <w:szCs w:val="21"/>
        </w:rPr>
        <w:t xml:space="preserve">Accessibility testing confirms the portal can be used by the widest possible audience, including customers using screen readers, keyboard-only navigation, or other assistive technology.</w:t>
      </w:r>
    </w:p>
    <w:p>
      <w:pPr>
        <w:pStyle w:val="ListParagraph"/>
        <w:numPr>
          <w:ilvl w:val="0"/>
          <w:numId w:val="2"/>
        </w:numPr>
        <w:spacing w:after="60" w:line="264"/>
      </w:pPr>
      <w:r>
        <w:rPr>
          <w:b/>
          <w:bCs/>
          <w:color w:val="262626"/>
          <w:sz w:val="21"/>
          <w:szCs w:val="21"/>
        </w:rPr>
        <w:t xml:space="preserve">Automated accessibility scanning: </w:t>
      </w:r>
      <w:r>
        <w:rPr>
          <w:color w:val="262626"/>
          <w:sz w:val="21"/>
          <w:szCs w:val="21"/>
        </w:rPr>
        <w:t xml:space="preserve">every portal page is scanned using axe-core, the industry-standard automated accessibility testing engine, against WCAG accessibility guidelines.</w:t>
      </w:r>
    </w:p>
    <w:p>
      <w:pPr>
        <w:pStyle w:val="ListParagraph"/>
        <w:numPr>
          <w:ilvl w:val="0"/>
          <w:numId w:val="2"/>
        </w:numPr>
        <w:spacing w:after="60" w:line="264"/>
      </w:pPr>
      <w:r>
        <w:rPr>
          <w:b/>
          <w:bCs/>
          <w:color w:val="262626"/>
          <w:sz w:val="21"/>
          <w:szCs w:val="21"/>
        </w:rPr>
        <w:t xml:space="preserve">Page structure: </w:t>
      </w:r>
      <w:r>
        <w:rPr>
          <w:color w:val="262626"/>
          <w:sz w:val="21"/>
          <w:szCs w:val="21"/>
        </w:rPr>
        <w:t xml:space="preserve">every page is checked for a proper main content landmark; this identified that only one of the portal's ten pages currently has one, which has been raised as a genuine improvement opportunity for screen-reader users navigating the rest of the portal.</w:t>
      </w:r>
    </w:p>
    <w:p>
      <w:pPr>
        <w:pStyle w:val="ListParagraph"/>
        <w:numPr>
          <w:ilvl w:val="0"/>
          <w:numId w:val="2"/>
        </w:numPr>
        <w:spacing w:after="60" w:line="264"/>
      </w:pPr>
      <w:r>
        <w:rPr>
          <w:b/>
          <w:bCs/>
          <w:color w:val="262626"/>
          <w:sz w:val="21"/>
          <w:szCs w:val="21"/>
        </w:rPr>
        <w:t xml:space="preserve">Colour contrast: </w:t>
      </w:r>
      <w:r>
        <w:rPr>
          <w:color w:val="262626"/>
          <w:sz w:val="21"/>
          <w:szCs w:val="21"/>
        </w:rPr>
        <w:t xml:space="preserve">a genuine colour-contrast issue was found and confirmed on the shared header and sidebar used across the whole portal, and has been reported with the specific guidance needed to resolve it.</w:t>
      </w:r>
    </w:p>
    <w:p>
      <w:pPr>
        <w:pStyle w:val="Heading1"/>
        <w:pBdr>
          <w:bottom w:val="single" w:color="0B5394" w:sz="6" w:space="4"/>
        </w:pBdr>
        <w:spacing w:after="160" w:before="360"/>
      </w:pPr>
      <w:r>
        <w:rPr>
          <w:b/>
          <w:bCs/>
          <w:color w:val="1F3864"/>
          <w:sz w:val="30"/>
          <w:szCs w:val="30"/>
        </w:rPr>
        <w:t xml:space="preserve">Cross-Environment Consistency Checks</w:t>
      </w:r>
    </w:p>
    <w:p>
      <w:pPr>
        <w:spacing w:after="140" w:line="276"/>
      </w:pPr>
      <w:r>
        <w:rPr>
          <w:color w:val="262626"/>
          <w:sz w:val="21"/>
          <w:szCs w:val="21"/>
        </w:rPr>
        <w:t xml:space="preserve">Where a pre-release environment is available alongside the live site, a dedicated comparison suite checks that the two are aligned before changes go live - catching configuration drift or content that differs between what the team is testing and what customers actually see.</w:t>
      </w:r>
    </w:p>
    <w:p>
      <w:pPr>
        <w:pStyle w:val="ListParagraph"/>
        <w:numPr>
          <w:ilvl w:val="0"/>
          <w:numId w:val="2"/>
        </w:numPr>
        <w:spacing w:after="60" w:line="264"/>
      </w:pPr>
      <w:r>
        <w:rPr>
          <w:b/>
          <w:bCs/>
          <w:color w:val="262626"/>
          <w:sz w:val="21"/>
          <w:szCs w:val="21"/>
        </w:rPr>
        <w:t xml:space="preserve">Portal structure: </w:t>
      </w:r>
      <w:r>
        <w:rPr>
          <w:color w:val="262626"/>
          <w:sz w:val="21"/>
          <w:szCs w:val="21"/>
        </w:rPr>
        <w:t xml:space="preserve">page titles, sidebar navigation, header controls, and the login page itself are compared between the pre-release and live environments to confirm they match.</w:t>
      </w:r>
    </w:p>
    <w:p>
      <w:pPr>
        <w:pStyle w:val="ListParagraph"/>
        <w:numPr>
          <w:ilvl w:val="0"/>
          <w:numId w:val="2"/>
        </w:numPr>
        <w:spacing w:after="60" w:line="264"/>
      </w:pPr>
      <w:r>
        <w:rPr>
          <w:b/>
          <w:bCs/>
          <w:color w:val="262626"/>
          <w:sz w:val="21"/>
          <w:szCs w:val="21"/>
        </w:rPr>
        <w:t xml:space="preserve">Session and asset integrity: </w:t>
      </w:r>
      <w:r>
        <w:rPr>
          <w:color w:val="262626"/>
          <w:sz w:val="21"/>
          <w:szCs w:val="21"/>
        </w:rPr>
        <w:t xml:space="preserve">session cookie configuration, the site favicon, and a sweep for broken images are compared across both environments.</w:t>
      </w:r>
    </w:p>
    <w:p>
      <w:pPr>
        <w:pStyle w:val="ListParagraph"/>
        <w:numPr>
          <w:ilvl w:val="0"/>
          <w:numId w:val="2"/>
        </w:numPr>
        <w:spacing w:after="60" w:line="264"/>
      </w:pPr>
      <w:r>
        <w:rPr>
          <w:b/>
          <w:bCs/>
          <w:color w:val="262626"/>
          <w:sz w:val="21"/>
          <w:szCs w:val="21"/>
        </w:rPr>
        <w:t xml:space="preserve">A genuine, confirmed difference: </w:t>
      </w:r>
      <w:r>
        <w:rPr>
          <w:color w:val="262626"/>
          <w:sz w:val="21"/>
          <w:szCs w:val="21"/>
        </w:rPr>
        <w:t xml:space="preserve">the comparison confirmed that the "Contact" journey is not the same page on both environments - the live site currently sends customers to a different public enquiry form than the pre-release environment does. This is tracked as a known, confirmed difference rather than a defect, and the suite tests both versions correctly rather than assuming they are identical.</w:t>
      </w:r>
    </w:p>
    <w:p>
      <w:pPr>
        <w:pStyle w:val="Heading1"/>
        <w:pBdr>
          <w:bottom w:val="single" w:color="0B5394" w:sz="6" w:space="4"/>
        </w:pBdr>
        <w:spacing w:after="160" w:before="360"/>
      </w:pPr>
      <w:r>
        <w:rPr>
          <w:b/>
          <w:bCs/>
          <w:color w:val="1F3864"/>
          <w:sz w:val="30"/>
          <w:szCs w:val="30"/>
        </w:rPr>
        <w:t xml:space="preserve">Reporting and Ongoing Delivery</w:t>
      </w:r>
    </w:p>
    <w:p>
      <w:pPr>
        <w:spacing w:after="140" w:line="276"/>
      </w:pPr>
      <w:r>
        <w:rPr>
          <w:color w:val="262626"/>
          <w:sz w:val="21"/>
          <w:szCs w:val="21"/>
        </w:rPr>
        <w:t xml:space="preserve">Every test run produces a plain-language findings report in addition to the detailed technical test log, so results are accessible to both technical and non-technical stakeholders.</w:t>
      </w:r>
    </w:p>
    <w:p>
      <w:pPr>
        <w:pStyle w:val="ListParagraph"/>
        <w:numPr>
          <w:ilvl w:val="0"/>
          <w:numId w:val="2"/>
        </w:numPr>
        <w:spacing w:after="60" w:line="264"/>
      </w:pPr>
      <w:r>
        <w:rPr>
          <w:b/>
          <w:bCs/>
          <w:color w:val="262626"/>
          <w:sz w:val="21"/>
          <w:szCs w:val="21"/>
        </w:rPr>
        <w:t xml:space="preserve">Findings spreadsheet: </w:t>
      </w:r>
      <w:r>
        <w:rPr>
          <w:color w:val="262626"/>
          <w:sz w:val="21"/>
          <w:szCs w:val="21"/>
        </w:rPr>
        <w:t xml:space="preserve">a shareable spreadsheet is generated automatically after every run, listing a summary of checks performed and passed, and a clear, jargon-free description of any item that needs attention.</w:t>
      </w:r>
    </w:p>
    <w:p>
      <w:pPr>
        <w:pStyle w:val="ListParagraph"/>
        <w:numPr>
          <w:ilvl w:val="0"/>
          <w:numId w:val="2"/>
        </w:numPr>
        <w:spacing w:after="60" w:line="264"/>
      </w:pPr>
      <w:r>
        <w:rPr>
          <w:b/>
          <w:bCs/>
          <w:color w:val="262626"/>
          <w:sz w:val="21"/>
          <w:szCs w:val="21"/>
        </w:rPr>
        <w:t xml:space="preserve">Historical record: </w:t>
      </w:r>
      <w:r>
        <w:rPr>
          <w:color w:val="262626"/>
          <w:sz w:val="21"/>
          <w:szCs w:val="21"/>
        </w:rPr>
        <w:t xml:space="preserve">a timestamped copy of every report is retained, giving a running history of portal quality over time rather than only a snapshot of the most recent run.</w:t>
      </w:r>
    </w:p>
    <w:p>
      <w:pPr>
        <w:pStyle w:val="ListParagraph"/>
        <w:numPr>
          <w:ilvl w:val="0"/>
          <w:numId w:val="2"/>
        </w:numPr>
        <w:spacing w:after="60" w:line="264"/>
      </w:pPr>
      <w:r>
        <w:rPr>
          <w:b/>
          <w:bCs/>
          <w:color w:val="262626"/>
          <w:sz w:val="21"/>
          <w:szCs w:val="21"/>
        </w:rPr>
        <w:t xml:space="preserve">Continuous coverage: </w:t>
      </w:r>
      <w:r>
        <w:rPr>
          <w:color w:val="262626"/>
          <w:sz w:val="21"/>
          <w:szCs w:val="21"/>
        </w:rPr>
        <w:t xml:space="preserve">the suite is actively maintained and extended alongside the portal itself, so that new pages, sections, or features are brought under test as they are introduced.</w:t>
      </w:r>
    </w:p>
    <w:p>
      <w:pPr>
        <w:spacing w:after="200"/>
      </w:pPr>
    </w:p>
    <w:p>
      <w:pPr>
        <w:pBdr>
          <w:top w:val="single" w:color="0B5394" w:sz="6" w:space="8"/>
        </w:pBdr>
        <w:spacing w:before="200"/>
      </w:pPr>
      <w:r>
        <w:rPr>
          <w:i/>
          <w:iCs/>
          <w:color w:val="595959"/>
          <w:sz w:val="18"/>
          <w:szCs w:val="18"/>
        </w:rPr>
        <w:t xml:space="preserve">Prepared by the Candid Group QA Department. For questions about any item in this overview, please contact your Candid Group project representative.</w:t>
      </w:r>
    </w:p>
    <w:sectPr>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2026-09-23T13:00:00.000Z</dcterms:created>
  <dcterms:modified xsi:type="dcterms:W3CDTF">2026-09-23T13:00:00.000Z</dcterms:modified>
</cp:coreProperties>
</file>

<file path=docProps/custom.xml><?xml version="1.0" encoding="utf-8"?>
<Properties xmlns="http://schemas.openxmlformats.org/officeDocument/2006/custom-properties" xmlns:vt="http://schemas.openxmlformats.org/officeDocument/2006/docPropsVTypes"/>
</file>