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4"/>
          <w:szCs w:val="44"/>
        </w:rPr>
        <w:t xml:space="preserve">Marylebone Cricket Club — Lord’s Cricket Ground</w:t>
      </w:r>
    </w:p>
    <w:p>
      <w:pPr>
        <w:pBdr>
          <w:bottom w:val="single" w:color="8C1D40" w:sz="12" w:space="6"/>
        </w:pBdr>
        <w:spacing w:after="320"/>
      </w:pPr>
      <w:r>
        <w:rPr>
          <w:color w:val="8C1D40"/>
          <w:sz w:val="28"/>
          <w:szCs w:val="28"/>
        </w:rPr>
        <w:t xml:space="preserve">QA Automation — Test Coverage Overview</w:t>
      </w:r>
    </w:p>
    <w:p>
      <w:pPr>
        <w:spacing w:after="60"/>
      </w:pPr>
      <w:r>
        <w:rPr>
          <w:i/>
          <w:iCs/>
          <w:color w:val="595959"/>
          <w:sz w:val="20"/>
          <w:szCs w:val="20"/>
        </w:rPr>
        <w:t xml:space="preserve">Prepared by: Candid Group — QA Department</w:t>
      </w:r>
    </w:p>
    <w:p>
      <w:pPr>
        <w:spacing w:after="400"/>
      </w:pPr>
      <w:r>
        <w:rPr>
          <w:i/>
          <w:iCs/>
          <w:color w:val="595959"/>
          <w:sz w:val="20"/>
          <w:szCs w:val="20"/>
        </w:rPr>
        <w:t xml:space="preserve">Date: 21 September 2026</w:t>
      </w:r>
    </w:p>
    <w:p>
      <w:pPr>
        <w:pStyle w:val="Heading1"/>
        <w:pBdr>
          <w:bottom w:val="single" w:color="8C1D40" w:sz="6" w:space="4"/>
        </w:pBdr>
        <w:spacing w:after="160" w:before="360"/>
      </w:pPr>
      <w:r>
        <w:rPr>
          <w:b/>
          <w:bCs/>
          <w:color w:val="1F3864"/>
          <w:sz w:val="30"/>
          <w:szCs w:val="30"/>
        </w:rPr>
        <w:t xml:space="preserve">Introduction</w:t>
      </w:r>
    </w:p>
    <w:p>
      <w:pPr>
        <w:spacing w:after="140" w:line="276"/>
      </w:pPr>
      <w:r>
        <w:rPr>
          <w:color w:val="262626"/>
          <w:sz w:val="21"/>
          <w:szCs w:val="21"/>
        </w:rPr>
        <w:t xml:space="preserve">Candid Group’s QA Department maintains an automated test suite for lords.org that runs the site through the same journeys a real visitor, member, or ticket buyer would take — browsing fixtures and tours, buying tickets and hospitality packages, exploring the Club’s history and membership routes, and submitting genuine hospitality enquiries. This document summarises what that suite covers, in plain business terms, so that MCC stakeholders have a clear, current picture of the quality assurance in place for the site.</w:t>
      </w:r>
    </w:p>
    <w:p>
      <w:pPr>
        <w:spacing w:after="140" w:line="276"/>
      </w:pPr>
      <w:r>
        <w:rPr>
          <w:color w:val="262626"/>
          <w:sz w:val="21"/>
          <w:szCs w:val="21"/>
        </w:rPr>
        <w:t xml:space="preserve">The suite is organised into four complementary areas: functional testing (does the site work correctly for visitors), non-functional testing (is the site discoverable, secure, and performant), accessibility testing (can everyone use the site, regardless of ability), and cross-environment consistency checks (does a pre-release environment match what is actually live). Each run also produces a plain-language findings report, described at the end of this document.</w:t>
      </w:r>
    </w:p>
    <w:p>
      <w:pPr>
        <w:spacing w:after="140" w:line="276"/>
      </w:pPr>
      <w:r>
        <w:rPr>
          <w:color w:val="262626"/>
          <w:sz w:val="21"/>
          <w:szCs w:val="21"/>
        </w:rPr>
        <w:t xml:space="preserve">In total, the suite runs well over 100 automated checks spanning every top-level section of the site — Visit Lord’s, Tickets, Hospitality &amp; Experiences, Play &amp; Train, the MCC Club pages, the Shop, and the wider “More” section — tested across desktop, tablet, and mobile.</w:t>
      </w:r>
    </w:p>
    <w:p>
      <w:pPr>
        <w:pStyle w:val="Heading1"/>
        <w:pBdr>
          <w:bottom w:val="single" w:color="8C1D40" w:sz="6" w:space="4"/>
        </w:pBdr>
        <w:spacing w:after="160" w:before="360"/>
      </w:pPr>
      <w:r>
        <w:rPr>
          <w:b/>
          <w:bCs/>
          <w:color w:val="1F3864"/>
          <w:sz w:val="30"/>
          <w:szCs w:val="30"/>
        </w:rPr>
        <w:t xml:space="preserve">Functional Testing</w:t>
      </w:r>
    </w:p>
    <w:p>
      <w:pPr>
        <w:spacing w:after="140" w:line="276"/>
      </w:pPr>
      <w:r>
        <w:rPr>
          <w:color w:val="262626"/>
          <w:sz w:val="21"/>
          <w:szCs w:val="21"/>
        </w:rPr>
        <w:t xml:space="preserve">Functional tests confirm that each part of the site behaves as intended: pages load, navigation leads where it should, and forms accept and process genuine enquiries. Coverage is organised to mirror the site’s own main menu structure, so each major section of lords.org has its own dedicated, thorough test file:</w:t>
      </w:r>
    </w:p>
    <w:p>
      <w:pPr>
        <w:pStyle w:val="Heading2"/>
        <w:spacing w:after="120" w:before="280"/>
      </w:pPr>
      <w:r>
        <w:rPr>
          <w:b/>
          <w:bCs/>
          <w:color w:val="1F3864"/>
          <w:sz w:val="24"/>
          <w:szCs w:val="24"/>
        </w:rPr>
        <w:t xml:space="preserve">Homepage</w:t>
      </w:r>
    </w:p>
    <w:p>
      <w:pPr>
        <w:pStyle w:val="ListParagraph"/>
        <w:numPr>
          <w:ilvl w:val="0"/>
          <w:numId w:val="2"/>
        </w:numPr>
        <w:spacing w:after="60" w:line="264"/>
      </w:pPr>
      <w:r>
        <w:rPr>
          <w:b/>
          <w:bCs/>
          <w:color w:val="262626"/>
          <w:sz w:val="21"/>
          <w:szCs w:val="21"/>
        </w:rPr>
        <w:t xml:space="preserve">Core experience: </w:t>
      </w:r>
      <w:r>
        <w:rPr>
          <w:color w:val="262626"/>
          <w:sz w:val="21"/>
          <w:szCs w:val="21"/>
        </w:rPr>
        <w:t xml:space="preserve">page load, scrolling behaviour, and the hero carousel are confirmed, along with the header quick-links (Lord’s Insider, London Spirit, Shop, Tickets) opening correctly in new tabs.</w:t>
      </w:r>
    </w:p>
    <w:p>
      <w:pPr>
        <w:pStyle w:val="ListParagraph"/>
        <w:numPr>
          <w:ilvl w:val="0"/>
          <w:numId w:val="2"/>
        </w:numPr>
        <w:spacing w:after="60" w:line="264"/>
      </w:pPr>
      <w:r>
        <w:rPr>
          <w:b/>
          <w:bCs/>
          <w:color w:val="262626"/>
          <w:sz w:val="21"/>
          <w:szCs w:val="21"/>
        </w:rPr>
        <w:t xml:space="preserve">Body content: </w:t>
      </w:r>
      <w:r>
        <w:rPr>
          <w:color w:val="262626"/>
          <w:sz w:val="21"/>
          <w:szCs w:val="21"/>
        </w:rPr>
        <w:t xml:space="preserve">the homepage’s Quick Links (Fixtures, Getting Here, Tours &amp; Museum) and a rotating sample of further body content links are all confirmed to navigate correctly.</w:t>
      </w:r>
    </w:p>
    <w:p>
      <w:pPr>
        <w:pStyle w:val="Heading2"/>
        <w:spacing w:after="120" w:before="280"/>
      </w:pPr>
      <w:r>
        <w:rPr>
          <w:b/>
          <w:bCs/>
          <w:color w:val="1F3864"/>
          <w:sz w:val="24"/>
          <w:szCs w:val="24"/>
        </w:rPr>
        <w:t xml:space="preserve">Main Navigation and Footer</w:t>
      </w:r>
    </w:p>
    <w:p>
      <w:pPr>
        <w:pStyle w:val="ListParagraph"/>
        <w:numPr>
          <w:ilvl w:val="0"/>
          <w:numId w:val="2"/>
        </w:numPr>
        <w:spacing w:after="60" w:line="264"/>
      </w:pPr>
      <w:r>
        <w:rPr>
          <w:b/>
          <w:bCs/>
          <w:color w:val="262626"/>
          <w:sz w:val="21"/>
          <w:szCs w:val="21"/>
        </w:rPr>
        <w:t xml:space="preserve">Primary navigation: </w:t>
      </w:r>
      <w:r>
        <w:rPr>
          <w:color w:val="262626"/>
          <w:sz w:val="21"/>
          <w:szCs w:val="21"/>
        </w:rPr>
        <w:t xml:space="preserve">the full menu tree is read live at test time (rather than relying on a fixed list) and every level is expanded and confirmed, with every well-formed link across the entire menu clicked and confirmed to lead somewhere real — this approach means the tests automatically adapt as menu content changes over time.</w:t>
      </w:r>
    </w:p>
    <w:p>
      <w:pPr>
        <w:pStyle w:val="ListParagraph"/>
        <w:numPr>
          <w:ilvl w:val="0"/>
          <w:numId w:val="2"/>
        </w:numPr>
        <w:spacing w:after="60" w:line="264"/>
      </w:pPr>
      <w:r>
        <w:rPr>
          <w:b/>
          <w:bCs/>
          <w:color w:val="262626"/>
          <w:sz w:val="21"/>
          <w:szCs w:val="21"/>
        </w:rPr>
        <w:t xml:space="preserve">Site-wide footer: </w:t>
      </w:r>
      <w:r>
        <w:rPr>
          <w:color w:val="262626"/>
          <w:sz w:val="21"/>
          <w:szCs w:val="21"/>
        </w:rPr>
        <w:t xml:space="preserve">the primary and legal footer links are each followed and confirmed, along with the five social media icons (Facebook, LinkedIn, X/Twitter, Instagram, YouTube).</w:t>
      </w:r>
    </w:p>
    <w:p>
      <w:pPr>
        <w:pStyle w:val="Heading2"/>
        <w:spacing w:after="120" w:before="280"/>
      </w:pPr>
      <w:r>
        <w:rPr>
          <w:b/>
          <w:bCs/>
          <w:color w:val="1F3864"/>
          <w:sz w:val="24"/>
          <w:szCs w:val="24"/>
        </w:rPr>
        <w:t xml:space="preserve">Site Search</w:t>
      </w:r>
    </w:p>
    <w:p>
      <w:pPr>
        <w:spacing w:after="140" w:line="276"/>
      </w:pPr>
      <w:r>
        <w:rPr>
          <w:color w:val="262626"/>
          <w:sz w:val="21"/>
          <w:szCs w:val="21"/>
        </w:rPr>
        <w:t xml:space="preserve">Both search entry points — the header search overlay and the inline search box on the results page — are tested, along with the results page’s site filter (Lord’s / MCC / All Sites) and sort controls (newest/oldest).</w:t>
      </w:r>
    </w:p>
    <w:p>
      <w:pPr>
        <w:pStyle w:val="Heading2"/>
        <w:spacing w:after="120" w:before="280"/>
      </w:pPr>
      <w:r>
        <w:rPr>
          <w:b/>
          <w:bCs/>
          <w:color w:val="1F3864"/>
          <w:sz w:val="24"/>
          <w:szCs w:val="24"/>
        </w:rPr>
        <w:t xml:space="preserve">Visit Lord’s (32 tests)</w:t>
      </w:r>
    </w:p>
    <w:p>
      <w:pPr>
        <w:spacing w:after="140" w:line="276"/>
      </w:pPr>
      <w:r>
        <w:rPr>
          <w:color w:val="262626"/>
          <w:sz w:val="21"/>
          <w:szCs w:val="21"/>
        </w:rPr>
        <w:t xml:space="preserve">The most visitor-facing section of the site receives the most thorough coverage: Matchday information (including the Plan Your Day page and its seven onward topic cards), Fixtures and Results (including month navigation, calendar downloads, and results filtering), How to Get Here, Tours and Museum (including all twelve individual tour and experience card pages), Lord’s Tavern, the HOAM Coffee Shop, and Contact Us are all tested in full.</w:t>
      </w:r>
    </w:p>
    <w:p>
      <w:pPr>
        <w:pStyle w:val="Heading2"/>
        <w:spacing w:after="120" w:before="280"/>
      </w:pPr>
      <w:r>
        <w:rPr>
          <w:b/>
          <w:bCs/>
          <w:color w:val="1F3864"/>
          <w:sz w:val="24"/>
          <w:szCs w:val="24"/>
        </w:rPr>
        <w:t xml:space="preserve">Tickets</w:t>
      </w:r>
    </w:p>
    <w:p>
      <w:pPr>
        <w:spacing w:after="140" w:line="276"/>
      </w:pPr>
      <w:r>
        <w:rPr>
          <w:color w:val="262626"/>
          <w:sz w:val="21"/>
          <w:szCs w:val="21"/>
        </w:rPr>
        <w:t xml:space="preserve">Every ticketing pathway is tested: Buy Tickets, Matchday Hospitality, Men’s Internationals, London Spirit, and the Help and Information pages (Digital Ticketing FAQs, the Lord’s App, and the Refund Scheme).</w:t>
      </w:r>
    </w:p>
    <w:p>
      <w:pPr>
        <w:pStyle w:val="Heading2"/>
        <w:spacing w:after="120" w:before="280"/>
      </w:pPr>
      <w:r>
        <w:rPr>
          <w:b/>
          <w:bCs/>
          <w:color w:val="1F3864"/>
          <w:sz w:val="24"/>
          <w:szCs w:val="24"/>
        </w:rPr>
        <w:t xml:space="preserve">Hospitality &amp; Experiences</w:t>
      </w:r>
    </w:p>
    <w:p>
      <w:pPr>
        <w:spacing w:after="140" w:line="276"/>
      </w:pPr>
      <w:r>
        <w:rPr>
          <w:color w:val="262626"/>
          <w:sz w:val="21"/>
          <w:szCs w:val="21"/>
        </w:rPr>
        <w:t xml:space="preserve">The full hospitality journey is tested, including Matchday Hospitality’s in-page sections, Experiences, Conferences &amp; Events, and the hub page itself — together with genuine, end-to-end enquiry form submissions for three premium hospitality products (Debentures, Seasonal Suites, and the Old Clock Tower Club).</w:t>
      </w:r>
    </w:p>
    <w:p>
      <w:pPr>
        <w:pStyle w:val="Heading2"/>
        <w:spacing w:after="120" w:before="280"/>
      </w:pPr>
      <w:r>
        <w:rPr>
          <w:b/>
          <w:bCs/>
          <w:color w:val="1F3864"/>
          <w:sz w:val="24"/>
          <w:szCs w:val="24"/>
        </w:rPr>
        <w:t xml:space="preserve">Play &amp; Train</w:t>
      </w:r>
    </w:p>
    <w:p>
      <w:pPr>
        <w:spacing w:after="140" w:line="276"/>
      </w:pPr>
      <w:r>
        <w:rPr>
          <w:color w:val="262626"/>
          <w:sz w:val="21"/>
          <w:szCs w:val="21"/>
        </w:rPr>
        <w:t xml:space="preserve">The Vitality Performance Centre, Cricket Coaching, Private Hire, Cricket Equipment Shop, HOAM Coffee Shop, and Fitness and Health pages are all tested.</w:t>
      </w:r>
    </w:p>
    <w:p>
      <w:pPr>
        <w:pStyle w:val="Heading2"/>
        <w:spacing w:after="120" w:before="280"/>
      </w:pPr>
      <w:r>
        <w:rPr>
          <w:b/>
          <w:bCs/>
          <w:color w:val="1F3864"/>
          <w:sz w:val="24"/>
          <w:szCs w:val="24"/>
        </w:rPr>
        <w:t xml:space="preserve">MCC (The Club) — 24 tests</w:t>
      </w:r>
    </w:p>
    <w:p>
      <w:pPr>
        <w:spacing w:after="140" w:line="276"/>
      </w:pPr>
      <w:r>
        <w:rPr>
          <w:color w:val="262626"/>
          <w:sz w:val="21"/>
          <w:szCs w:val="21"/>
        </w:rPr>
        <w:t xml:space="preserve">The full breadth of Club-facing content is tested: The Club section (About us, history, membership routes, committees, and honorary members), the Cricket section (MCC Cricket, Fixtures, Overseas Tours, MCC &amp; Wormsley), direct links (the MCC Foundation, the Barclays Knight-Stokes Cup, community work, and the Laws of Cricket), and the Heritage &amp; Collections section (the Heritage Trail, historical exhibitions, and the searchable collection).</w:t>
      </w:r>
    </w:p>
    <w:p>
      <w:pPr>
        <w:pStyle w:val="Heading2"/>
        <w:spacing w:after="120" w:before="280"/>
      </w:pPr>
      <w:r>
        <w:rPr>
          <w:b/>
          <w:bCs/>
          <w:color w:val="1F3864"/>
          <w:sz w:val="24"/>
          <w:szCs w:val="24"/>
        </w:rPr>
        <w:t xml:space="preserve">Shop</w:t>
      </w:r>
    </w:p>
    <w:p>
      <w:pPr>
        <w:spacing w:after="140" w:line="276"/>
      </w:pPr>
      <w:r>
        <w:rPr>
          <w:color w:val="262626"/>
          <w:sz w:val="21"/>
          <w:szCs w:val="21"/>
        </w:rPr>
        <w:t xml:space="preserve">The Lord’s Store and the Cricket Equipment Shop each receive a full page traversal, and the externally hosted London Spirit Store is confirmed to be a working link.</w:t>
      </w:r>
    </w:p>
    <w:p>
      <w:pPr>
        <w:pStyle w:val="Heading2"/>
        <w:spacing w:after="120" w:before="280"/>
      </w:pPr>
      <w:r>
        <w:rPr>
          <w:b/>
          <w:bCs/>
          <w:color w:val="1F3864"/>
          <w:sz w:val="24"/>
          <w:szCs w:val="24"/>
        </w:rPr>
        <w:t xml:space="preserve">Sponsors and the “More” Menu (19 tests)</w:t>
      </w:r>
    </w:p>
    <w:p>
      <w:pPr>
        <w:spacing w:after="140" w:line="276"/>
      </w:pPr>
      <w:r>
        <w:rPr>
          <w:color w:val="262626"/>
          <w:sz w:val="21"/>
          <w:szCs w:val="21"/>
        </w:rPr>
        <w:t xml:space="preserve">The Our Partners page (principal partner, partners and suppliers, and partnership opportunities) is tested, along with the wider “More” section: News &amp; Stories, History (seven pages), Inside Lord’s, and the Jobs section (eight pages covering full-time and casual roles).</w:t>
      </w:r>
    </w:p>
    <w:p>
      <w:pPr>
        <w:pStyle w:val="Heading2"/>
        <w:spacing w:after="120" w:before="280"/>
      </w:pPr>
      <w:r>
        <w:rPr>
          <w:b/>
          <w:bCs/>
          <w:color w:val="1F3864"/>
          <w:sz w:val="24"/>
          <w:szCs w:val="24"/>
        </w:rPr>
        <w:t xml:space="preserve">Women’s Internationals</w:t>
      </w:r>
    </w:p>
    <w:p>
      <w:pPr>
        <w:spacing w:after="140" w:line="276"/>
      </w:pPr>
      <w:r>
        <w:rPr>
          <w:color w:val="262626"/>
          <w:sz w:val="21"/>
          <w:szCs w:val="21"/>
        </w:rPr>
        <w:t xml:space="preserve">The dedicated Women’s Internationals ticketing page is tested in full — its fixture information, FAQ accordion, refund policy, and fixtures carousel.</w:t>
      </w:r>
    </w:p>
    <w:p>
      <w:pPr>
        <w:pStyle w:val="Heading1"/>
        <w:pBdr>
          <w:bottom w:val="single" w:color="8C1D40" w:sz="6" w:space="4"/>
        </w:pBdr>
        <w:spacing w:after="160" w:before="360"/>
      </w:pPr>
      <w:r>
        <w:rPr>
          <w:b/>
          <w:bCs/>
          <w:color w:val="1F3864"/>
          <w:sz w:val="30"/>
          <w:szCs w:val="30"/>
        </w:rPr>
        <w:t xml:space="preserve">Non-Functional Testing</w:t>
      </w:r>
    </w:p>
    <w:p>
      <w:pPr>
        <w:spacing w:after="140" w:line="276"/>
      </w:pPr>
      <w:r>
        <w:rPr>
          <w:color w:val="262626"/>
          <w:sz w:val="21"/>
          <w:szCs w:val="21"/>
        </w:rPr>
        <w:t xml:space="preserve">Non-functional tests look beyond individual page content to the site’s discoverability, security posture, and ability to perform under load — all factors that affect how easily fans and visitors find and trust the site, particularly around high-demand periods like major match days and ticket releases.</w:t>
      </w:r>
    </w:p>
    <w:p>
      <w:pPr>
        <w:pStyle w:val="Heading2"/>
        <w:spacing w:after="120" w:before="280"/>
      </w:pPr>
      <w:r>
        <w:rPr>
          <w:b/>
          <w:bCs/>
          <w:color w:val="1F3864"/>
          <w:sz w:val="24"/>
          <w:szCs w:val="24"/>
        </w:rPr>
        <w:t xml:space="preserve">Search Engine Optimisation (SEO) and Crawlability</w:t>
      </w:r>
    </w:p>
    <w:p>
      <w:pPr>
        <w:pStyle w:val="ListParagraph"/>
        <w:numPr>
          <w:ilvl w:val="0"/>
          <w:numId w:val="2"/>
        </w:numPr>
        <w:spacing w:after="60" w:line="264"/>
      </w:pPr>
      <w:r>
        <w:rPr>
          <w:b/>
          <w:bCs/>
          <w:color w:val="262626"/>
          <w:sz w:val="21"/>
          <w:szCs w:val="21"/>
        </w:rPr>
        <w:t xml:space="preserve">Sitemap and crawl health: </w:t>
      </w:r>
      <w:r>
        <w:rPr>
          <w:color w:val="262626"/>
          <w:sz w:val="21"/>
          <w:szCs w:val="21"/>
        </w:rPr>
        <w:t xml:space="preserve">the sitemap and robots.txt are confirmed available and correctly configured, with a sample of sitemap URLs checked to ensure none return an error.</w:t>
      </w:r>
    </w:p>
    <w:p>
      <w:pPr>
        <w:pStyle w:val="ListParagraph"/>
        <w:numPr>
          <w:ilvl w:val="0"/>
          <w:numId w:val="2"/>
        </w:numPr>
        <w:spacing w:after="60" w:line="264"/>
      </w:pPr>
      <w:r>
        <w:rPr>
          <w:b/>
          <w:bCs/>
          <w:color w:val="262626"/>
          <w:sz w:val="21"/>
          <w:szCs w:val="21"/>
        </w:rPr>
        <w:t xml:space="preserve">Metadata: </w:t>
      </w:r>
      <w:r>
        <w:rPr>
          <w:color w:val="262626"/>
          <w:sz w:val="21"/>
          <w:szCs w:val="21"/>
        </w:rPr>
        <w:t xml:space="preserve">canonical URLs, core meta tags, Open Graph / social sharing metadata, structured data, and the analytics/tag manager tracking signal are all verified on key pages.</w:t>
      </w:r>
    </w:p>
    <w:p>
      <w:pPr>
        <w:pStyle w:val="Heading2"/>
        <w:spacing w:after="120" w:before="280"/>
      </w:pPr>
      <w:r>
        <w:rPr>
          <w:b/>
          <w:bCs/>
          <w:color w:val="1F3864"/>
          <w:sz w:val="24"/>
          <w:szCs w:val="24"/>
        </w:rPr>
        <w:t xml:space="preserve">Security</w:t>
      </w:r>
    </w:p>
    <w:p>
      <w:pPr>
        <w:pStyle w:val="ListParagraph"/>
        <w:numPr>
          <w:ilvl w:val="0"/>
          <w:numId w:val="2"/>
        </w:numPr>
        <w:spacing w:after="60" w:line="264"/>
      </w:pPr>
      <w:r>
        <w:rPr>
          <w:b/>
          <w:bCs/>
          <w:color w:val="262626"/>
          <w:sz w:val="21"/>
          <w:szCs w:val="21"/>
        </w:rPr>
        <w:t xml:space="preserve">Security headers: </w:t>
      </w:r>
      <w:r>
        <w:rPr>
          <w:color w:val="262626"/>
          <w:sz w:val="21"/>
          <w:szCs w:val="21"/>
        </w:rPr>
        <w:t xml:space="preserve">Content-Security-Policy and other hardening headers are checked to confirm the site follows current best practice.</w:t>
      </w:r>
    </w:p>
    <w:p>
      <w:pPr>
        <w:pStyle w:val="ListParagraph"/>
        <w:numPr>
          <w:ilvl w:val="0"/>
          <w:numId w:val="2"/>
        </w:numPr>
        <w:spacing w:after="60" w:line="264"/>
      </w:pPr>
      <w:r>
        <w:rPr>
          <w:b/>
          <w:bCs/>
          <w:color w:val="262626"/>
          <w:sz w:val="21"/>
          <w:szCs w:val="21"/>
        </w:rPr>
        <w:t xml:space="preserve">Mixed content: </w:t>
      </w:r>
      <w:r>
        <w:rPr>
          <w:color w:val="262626"/>
          <w:sz w:val="21"/>
          <w:szCs w:val="21"/>
        </w:rPr>
        <w:t xml:space="preserve">the homepage is scanned to confirm it does not load any insecure (non-HTTPS) resources.</w:t>
      </w:r>
    </w:p>
    <w:p>
      <w:pPr>
        <w:pStyle w:val="Heading2"/>
        <w:spacing w:after="120" w:before="280"/>
      </w:pPr>
      <w:r>
        <w:rPr>
          <w:b/>
          <w:bCs/>
          <w:color w:val="1F3864"/>
          <w:sz w:val="24"/>
          <w:szCs w:val="24"/>
        </w:rPr>
        <w:t xml:space="preserve">Performance and Load Testing</w:t>
      </w:r>
    </w:p>
    <w:p>
      <w:pPr>
        <w:spacing w:after="140" w:line="276"/>
      </w:pPr>
      <w:r>
        <w:rPr>
          <w:color w:val="262626"/>
          <w:sz w:val="21"/>
          <w:szCs w:val="21"/>
        </w:rPr>
        <w:t xml:space="preserve">A dedicated load-testing profile (built with the industry-standard k6 tool) simulates realistic and peak visitor traffic across the homepage and every core section — including Fixtures and Results, Tours and Museum, About Us, Careers, and Contact — across four scenarios: a quick smoke check, normal expected load, a sudden traffic spike (relevant around ticket on-sale moments), and a longer stability soak test.</w:t>
      </w:r>
    </w:p>
    <w:p>
      <w:pPr>
        <w:pStyle w:val="Heading1"/>
        <w:pBdr>
          <w:bottom w:val="single" w:color="8C1D40" w:sz="6" w:space="4"/>
        </w:pBdr>
        <w:spacing w:after="160" w:before="360"/>
      </w:pPr>
      <w:r>
        <w:rPr>
          <w:b/>
          <w:bCs/>
          <w:color w:val="1F3864"/>
          <w:sz w:val="30"/>
          <w:szCs w:val="30"/>
        </w:rPr>
        <w:t xml:space="preserve">Accessibility Testing</w:t>
      </w:r>
    </w:p>
    <w:p>
      <w:pPr>
        <w:spacing w:after="140" w:line="276"/>
      </w:pPr>
      <w:r>
        <w:rPr>
          <w:color w:val="262626"/>
          <w:sz w:val="21"/>
          <w:szCs w:val="21"/>
        </w:rPr>
        <w:t xml:space="preserve">Accessibility testing confirms the site can be used by the widest possible audience, including visitors using screen readers, keyboard-only navigation, or other assistive technology.</w:t>
      </w:r>
    </w:p>
    <w:p>
      <w:pPr>
        <w:pStyle w:val="ListParagraph"/>
        <w:numPr>
          <w:ilvl w:val="0"/>
          <w:numId w:val="2"/>
        </w:numPr>
        <w:spacing w:after="60" w:line="264"/>
      </w:pPr>
      <w:r>
        <w:rPr>
          <w:b/>
          <w:bCs/>
          <w:color w:val="262626"/>
          <w:sz w:val="21"/>
          <w:szCs w:val="21"/>
        </w:rPr>
        <w:t xml:space="preserve">Automated accessibility scanning: </w:t>
      </w:r>
      <w:r>
        <w:rPr>
          <w:color w:val="262626"/>
          <w:sz w:val="21"/>
          <w:szCs w:val="21"/>
        </w:rPr>
        <w:t xml:space="preserve">the homepage and a representative set of key pages (Fixtures and Results, Tours, About Us, Careers Vacancies) are scanned using axe-core, the industry-standard automated accessibility testing engine, to catch critical violations against WCAG accessibility guidelines.</w:t>
      </w:r>
    </w:p>
    <w:p>
      <w:pPr>
        <w:pStyle w:val="ListParagraph"/>
        <w:numPr>
          <w:ilvl w:val="0"/>
          <w:numId w:val="2"/>
        </w:numPr>
        <w:spacing w:after="60" w:line="264"/>
      </w:pPr>
      <w:r>
        <w:rPr>
          <w:b/>
          <w:bCs/>
          <w:color w:val="262626"/>
          <w:sz w:val="21"/>
          <w:szCs w:val="21"/>
        </w:rPr>
        <w:t xml:space="preserve">Page structure: </w:t>
      </w:r>
      <w:r>
        <w:rPr>
          <w:color w:val="262626"/>
          <w:sz w:val="21"/>
          <w:szCs w:val="21"/>
        </w:rPr>
        <w:t xml:space="preserve">key pages are checked for correct landmark regions, heading structure, interactive controls that expose a name a screen reader can announce, and appropriate alternative text on images.</w:t>
      </w:r>
    </w:p>
    <w:p>
      <w:pPr>
        <w:pStyle w:val="ListParagraph"/>
        <w:numPr>
          <w:ilvl w:val="0"/>
          <w:numId w:val="2"/>
        </w:numPr>
        <w:spacing w:after="60" w:line="264"/>
      </w:pPr>
      <w:r>
        <w:rPr>
          <w:b/>
          <w:bCs/>
          <w:color w:val="262626"/>
          <w:sz w:val="21"/>
          <w:szCs w:val="21"/>
        </w:rPr>
        <w:t xml:space="preserve">Document language: </w:t>
      </w:r>
      <w:r>
        <w:rPr>
          <w:color w:val="262626"/>
          <w:sz w:val="21"/>
          <w:szCs w:val="21"/>
        </w:rPr>
        <w:t xml:space="preserve">the page language attribute is confirmed to be correctly set to English.</w:t>
      </w:r>
    </w:p>
    <w:p>
      <w:pPr>
        <w:pStyle w:val="Heading1"/>
        <w:pBdr>
          <w:bottom w:val="single" w:color="8C1D40" w:sz="6" w:space="4"/>
        </w:pBdr>
        <w:spacing w:after="160" w:before="360"/>
      </w:pPr>
      <w:r>
        <w:rPr>
          <w:b/>
          <w:bCs/>
          <w:color w:val="1F3864"/>
          <w:sz w:val="30"/>
          <w:szCs w:val="30"/>
        </w:rPr>
        <w:t xml:space="preserve">Cross-Environment Consistency Checks</w:t>
      </w:r>
    </w:p>
    <w:p>
      <w:pPr>
        <w:spacing w:after="140" w:line="276"/>
      </w:pPr>
      <w:r>
        <w:rPr>
          <w:color w:val="262626"/>
          <w:sz w:val="21"/>
          <w:szCs w:val="21"/>
        </w:rPr>
        <w:t xml:space="preserve">Where a pre-release environment is available alongside the live site, a dedicated comparison suite checks that the two are aligned before changes go live — catching configuration drift or content that was updated on one environment but not the other.</w:t>
      </w:r>
    </w:p>
    <w:p>
      <w:pPr>
        <w:pStyle w:val="ListParagraph"/>
        <w:numPr>
          <w:ilvl w:val="0"/>
          <w:numId w:val="2"/>
        </w:numPr>
        <w:spacing w:after="60" w:line="264"/>
      </w:pPr>
      <w:r>
        <w:rPr>
          <w:b/>
          <w:bCs/>
          <w:color w:val="262626"/>
          <w:sz w:val="21"/>
          <w:szCs w:val="21"/>
        </w:rPr>
        <w:t xml:space="preserve">Page titles, navigation, and footer structure: </w:t>
      </w:r>
      <w:r>
        <w:rPr>
          <w:color w:val="262626"/>
          <w:sz w:val="21"/>
          <w:szCs w:val="21"/>
        </w:rPr>
        <w:t xml:space="preserve">browser tab titles, the header quick-link order, footer link groups, main navigation labels, and the homepage hero carousel are all compared page-by-page between environments.</w:t>
      </w:r>
    </w:p>
    <w:p>
      <w:pPr>
        <w:pStyle w:val="ListParagraph"/>
        <w:numPr>
          <w:ilvl w:val="0"/>
          <w:numId w:val="2"/>
        </w:numPr>
        <w:spacing w:after="60" w:line="264"/>
      </w:pPr>
      <w:r>
        <w:rPr>
          <w:b/>
          <w:bCs/>
          <w:color w:val="262626"/>
          <w:sz w:val="21"/>
          <w:szCs w:val="21"/>
        </w:rPr>
        <w:t xml:space="preserve">Security, caching, and tracking configuration: </w:t>
      </w:r>
      <w:r>
        <w:rPr>
          <w:color w:val="262626"/>
          <w:sz w:val="21"/>
          <w:szCs w:val="21"/>
        </w:rPr>
        <w:t xml:space="preserve">response headers, sitemap and robots.txt configuration, and the analytics/tag-manager tracking configuration are compared to confirm the two environments are configured independently and consistently.</w:t>
      </w:r>
    </w:p>
    <w:p>
      <w:pPr>
        <w:pStyle w:val="ListParagraph"/>
        <w:numPr>
          <w:ilvl w:val="0"/>
          <w:numId w:val="2"/>
        </w:numPr>
        <w:spacing w:after="60" w:line="264"/>
      </w:pPr>
      <w:r>
        <w:rPr>
          <w:b/>
          <w:bCs/>
          <w:color w:val="262626"/>
          <w:sz w:val="21"/>
          <w:szCs w:val="21"/>
        </w:rPr>
        <w:t xml:space="preserve">SEO signals and image integrity: </w:t>
      </w:r>
      <w:r>
        <w:rPr>
          <w:color w:val="262626"/>
          <w:sz w:val="21"/>
          <w:szCs w:val="21"/>
        </w:rPr>
        <w:t xml:space="preserve">social-sharing metadata and a sweep for broken images on key pages are checked across both environments.</w:t>
      </w:r>
    </w:p>
    <w:tbl>
      <w:tblPr>
        <w:tblW w:type="pct" w:w="100%"/>
        <w:tblBorders>
          <w:top w:val="single" w:color="8C1D40" w:sz="4"/>
          <w:left w:val="single" w:color="8C1D40" w:sz="4"/>
          <w:bottom w:val="single" w:color="8C1D40" w:sz="4"/>
          <w:right w:val="single" w:color="8C1D40" w:sz="4"/>
          <w:insideH w:val="none"/>
          <w:insideV w:val="none"/>
        </w:tblBorders>
      </w:tblPr>
      <w:tblGrid>
        <w:gridCol w:w="100"/>
      </w:tblGrid>
      <w:tr>
        <w:tc>
          <w:tcPr>
            <w:shd w:fill="F2F2F2" w:val="clear"/>
            <w:tcMar>
              <w:top w:type="dxa" w:w="160"/>
              <w:left w:type="dxa" w:w="200"/>
              <w:bottom w:type="dxa" w:w="160"/>
              <w:right w:type="dxa" w:w="200"/>
            </w:tcMar>
          </w:tcPr>
          <w:p>
            <w:pPr>
              <w:spacing w:after="60"/>
            </w:pPr>
            <w:r>
              <w:rPr>
                <w:b/>
                <w:bCs/>
                <w:color w:val="1F3864"/>
                <w:sz w:val="21"/>
                <w:szCs w:val="21"/>
              </w:rPr>
              <w:t xml:space="preserve">Why this matters</w:t>
            </w:r>
          </w:p>
          <w:p>
            <w:pPr>
              <w:spacing w:after="0"/>
            </w:pPr>
            <w:r>
              <w:rPr>
                <w:color w:val="404040"/>
                <w:sz w:val="20"/>
                <w:szCs w:val="20"/>
              </w:rPr>
              <w:t xml:space="preserve">This comparison has already proven its value in practice: it identified that the pre-release and live environments were sharing the same analytics tracking configuration, meaning pre-release testing traffic could mix with genuine visitor analytics data, and it also surfaced a pattern of internal links on the pre-release environment pointing directly at the live site rather than staying within pre-release — both flagged as concrete, actionable items. This is exactly the kind of cross-environment issue that is easy to miss manually but straightforward to catch automatically, and important to resolve to keep pre-release testing properly isolated and analytics reporting accurate.</w:t>
            </w:r>
          </w:p>
        </w:tc>
      </w:tr>
    </w:tbl>
    <w:p>
      <w:pPr>
        <w:pStyle w:val="Heading1"/>
        <w:pBdr>
          <w:bottom w:val="single" w:color="8C1D40" w:sz="6" w:space="4"/>
        </w:pBdr>
        <w:spacing w:after="160" w:before="360"/>
      </w:pPr>
      <w:r>
        <w:rPr>
          <w:b/>
          <w:bCs/>
          <w:color w:val="1F3864"/>
          <w:sz w:val="30"/>
          <w:szCs w:val="30"/>
        </w:rPr>
        <w:t xml:space="preserve">Reporting and Ongoing Delivery</w:t>
      </w:r>
    </w:p>
    <w:p>
      <w:pPr>
        <w:spacing w:after="140" w:line="276"/>
      </w:pPr>
      <w:r>
        <w:rPr>
          <w:color w:val="262626"/>
          <w:sz w:val="21"/>
          <w:szCs w:val="21"/>
        </w:rPr>
        <w:t xml:space="preserve">Every test run produces a plain-language findings report in addition to the detailed technical test log, so results are accessible to both technical and non-technical stakeholders.</w:t>
      </w:r>
    </w:p>
    <w:p>
      <w:pPr>
        <w:pStyle w:val="ListParagraph"/>
        <w:numPr>
          <w:ilvl w:val="0"/>
          <w:numId w:val="2"/>
        </w:numPr>
        <w:spacing w:after="60" w:line="264"/>
      </w:pPr>
      <w:r>
        <w:rPr>
          <w:b/>
          <w:bCs/>
          <w:color w:val="262626"/>
          <w:sz w:val="21"/>
          <w:szCs w:val="21"/>
        </w:rPr>
        <w:t xml:space="preserve">Findings spreadsheet: </w:t>
      </w:r>
      <w:r>
        <w:rPr>
          <w:color w:val="262626"/>
          <w:sz w:val="21"/>
          <w:szCs w:val="21"/>
        </w:rPr>
        <w:t xml:space="preserve">a shareable spreadsheet is generated automatically after every run, listing a summary of checks performed and passed, and a clear, jargon-free description of any item that needs attention — including exactly which page it was seen on and why it matters.</w:t>
      </w:r>
    </w:p>
    <w:p>
      <w:pPr>
        <w:pStyle w:val="ListParagraph"/>
        <w:numPr>
          <w:ilvl w:val="0"/>
          <w:numId w:val="2"/>
        </w:numPr>
        <w:spacing w:after="60" w:line="264"/>
      </w:pPr>
      <w:r>
        <w:rPr>
          <w:b/>
          <w:bCs/>
          <w:color w:val="262626"/>
          <w:sz w:val="21"/>
          <w:szCs w:val="21"/>
        </w:rPr>
        <w:t xml:space="preserve">Historical record: </w:t>
      </w:r>
      <w:r>
        <w:rPr>
          <w:color w:val="262626"/>
          <w:sz w:val="21"/>
          <w:szCs w:val="21"/>
        </w:rPr>
        <w:t xml:space="preserve">a timestamped copy of every report is retained, giving a running history of site quality over time rather than only a snapshot of the most recent run.</w:t>
      </w:r>
    </w:p>
    <w:p>
      <w:pPr>
        <w:pStyle w:val="ListParagraph"/>
        <w:numPr>
          <w:ilvl w:val="0"/>
          <w:numId w:val="2"/>
        </w:numPr>
        <w:spacing w:after="60" w:line="264"/>
      </w:pPr>
      <w:r>
        <w:rPr>
          <w:b/>
          <w:bCs/>
          <w:color w:val="262626"/>
          <w:sz w:val="21"/>
          <w:szCs w:val="21"/>
        </w:rPr>
        <w:t xml:space="preserve">Continuous coverage: </w:t>
      </w:r>
      <w:r>
        <w:rPr>
          <w:color w:val="262626"/>
          <w:sz w:val="21"/>
          <w:szCs w:val="21"/>
        </w:rPr>
        <w:t xml:space="preserve">the suite is actively maintained and extended alongside the site itself, so that new pages, sections, or features (including seasonal content such as new fixtures or ticketing pages) are brought under test as they are introduced.</w:t>
      </w:r>
    </w:p>
    <w:p>
      <w:pPr>
        <w:spacing w:after="200"/>
      </w:pPr>
    </w:p>
    <w:p>
      <w:pPr>
        <w:pBdr>
          <w:top w:val="single" w:color="8C1D40" w:sz="6" w:space="8"/>
        </w:pBdr>
        <w:spacing w:before="200"/>
      </w:pPr>
      <w:r>
        <w:rPr>
          <w:i/>
          <w:iCs/>
          <w:color w:val="595959"/>
          <w:sz w:val="18"/>
          <w:szCs w:val="18"/>
        </w:rPr>
        <w:t xml:space="preserve">Prepared by the Candid Group QA Department. For questions about any item in this overview, please contact your Candid Group project representative.</w:t>
      </w:r>
    </w:p>
    <w:sectPr>
      <w:pgSz w:w="11908" w:h="16833"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2026-09-21T11:08:20.444Z</dcterms:created>
  <dcterms:modified xsi:type="dcterms:W3CDTF">2026-09-21T11:08:20.445Z</dcterms:modified>
</cp:coreProperties>
</file>

<file path=docProps/custom.xml><?xml version="1.0" encoding="utf-8"?>
<Properties xmlns="http://schemas.openxmlformats.org/officeDocument/2006/custom-properties" xmlns:vt="http://schemas.openxmlformats.org/officeDocument/2006/docPropsVTypes"/>
</file>