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National Physical Laboratory</w:t>
      </w:r>
    </w:p>
    <w:p>
      <w:pPr>
        <w:pBdr>
          <w:bottom w:val="single" w:color="8C1D40" w:sz="12" w:space="6"/>
        </w:pBdr>
        <w:spacing w:after="320"/>
      </w:pPr>
      <w:r>
        <w:rPr>
          <w:color w:val="8C1D40"/>
          <w:sz w:val="28"/>
          <w:szCs w:val="28"/>
        </w:rPr>
        <w:t xml:space="preserve">QA Automation — Test Coverage Overview</w:t>
      </w:r>
    </w:p>
    <w:p>
      <w:pPr>
        <w:spacing w:after="60"/>
      </w:pPr>
      <w:r>
        <w:rPr>
          <w:i/>
          <w:iCs/>
          <w:color w:val="595959"/>
          <w:sz w:val="20"/>
          <w:szCs w:val="20"/>
        </w:rPr>
        <w:t xml:space="preserve">Prepared by: Candid Group — QA Department</w:t>
      </w:r>
    </w:p>
    <w:p>
      <w:pPr>
        <w:spacing w:after="400"/>
      </w:pPr>
      <w:r>
        <w:rPr>
          <w:i/>
          <w:iCs/>
          <w:color w:val="595959"/>
          <w:sz w:val="20"/>
          <w:szCs w:val="20"/>
        </w:rPr>
        <w:t xml:space="preserve">Date: 21 September 2026</w:t>
      </w:r>
    </w:p>
    <w:p>
      <w:pPr>
        <w:pStyle w:val="Heading1"/>
        <w:pBdr>
          <w:bottom w:val="single" w:color="8C1D40" w:sz="6" w:space="4"/>
        </w:pBdr>
        <w:spacing w:after="160" w:before="360"/>
      </w:pPr>
      <w:r>
        <w:rPr>
          <w:b/>
          <w:bCs/>
          <w:color w:val="1F3864"/>
          <w:sz w:val="30"/>
          <w:szCs w:val="30"/>
        </w:rPr>
        <w:t xml:space="preserve">Introduction</w:t>
      </w:r>
    </w:p>
    <w:p>
      <w:pPr>
        <w:spacing w:after="140" w:line="276"/>
      </w:pPr>
      <w:r>
        <w:rPr>
          <w:color w:val="262626"/>
          <w:sz w:val="21"/>
          <w:szCs w:val="21"/>
        </w:rPr>
        <w:t xml:space="preserve">Candid Group’s QA Department maintains an automated test suite for npl.co.uk that runs the site through the same journeys a real visitor — a researcher, industry partner, prospective student, or jobseeker — would take: exploring NPL’s scientific and research areas, browsing products and services, reading news, and using the site’s search, feedback, and navigation. This document summarises what that suite covers, in plain business terms, so that NPL stakeholders have a clear, current picture of the quality assurance in place for the site.</w:t>
      </w:r>
    </w:p>
    <w:p>
      <w:pPr>
        <w:spacing w:after="140" w:line="276"/>
      </w:pPr>
      <w:r>
        <w:rPr>
          <w:color w:val="262626"/>
          <w:sz w:val="21"/>
          <w:szCs w:val="21"/>
        </w:rPr>
        <w:t xml:space="preserve">The suite is organised into four complementary areas: functional testing (does the site work correctly for visitors), non-functional testing (is the site discoverable, secure, and performant), accessibility testing (can everyone use the site, regardless of ability), and cross-environment consistency checks (does a pre-release environment match what is actually live). Each run also produces a plain-language findings report, described at the end of this document.</w:t>
      </w:r>
    </w:p>
    <w:p>
      <w:pPr>
        <w:spacing w:after="140" w:line="276"/>
      </w:pPr>
      <w:r>
        <w:rPr>
          <w:color w:val="262626"/>
          <w:sz w:val="21"/>
          <w:szCs w:val="21"/>
        </w:rPr>
        <w:t xml:space="preserve">In total, the suite runs well over 100 automated checks spanning every top-level section of the site’s main menu — Research and Science, Products and Services, Strategic Programmes, Education and Learning, News and Events, and About NPL — together covering close to 90 individual pages.</w:t>
      </w:r>
    </w:p>
    <w:p>
      <w:pPr>
        <w:pStyle w:val="Heading1"/>
        <w:pBdr>
          <w:bottom w:val="single" w:color="8C1D40" w:sz="6" w:space="4"/>
        </w:pBdr>
        <w:spacing w:after="160" w:before="360"/>
      </w:pPr>
      <w:r>
        <w:rPr>
          <w:b/>
          <w:bCs/>
          <w:color w:val="1F3864"/>
          <w:sz w:val="30"/>
          <w:szCs w:val="30"/>
        </w:rPr>
        <w:t xml:space="preserve">Functional Testing</w:t>
      </w:r>
    </w:p>
    <w:p>
      <w:pPr>
        <w:spacing w:after="140" w:line="276"/>
      </w:pPr>
      <w:r>
        <w:rPr>
          <w:color w:val="262626"/>
          <w:sz w:val="21"/>
          <w:szCs w:val="21"/>
        </w:rPr>
        <w:t xml:space="preserve">Functional tests confirm that each part of the site behaves as intended: pages load, navigation leads where it should, and forms accept and process genuine submissions. Coverage is organised by site area, closely mirroring the site’s own main menu structure:</w:t>
      </w:r>
    </w:p>
    <w:p>
      <w:pPr>
        <w:pStyle w:val="Heading2"/>
        <w:spacing w:after="120" w:before="280"/>
      </w:pPr>
      <w:r>
        <w:rPr>
          <w:b/>
          <w:bCs/>
          <w:color w:val="1F3864"/>
          <w:sz w:val="24"/>
          <w:szCs w:val="24"/>
        </w:rPr>
        <w:t xml:space="preserve">Homepage</w:t>
      </w:r>
    </w:p>
    <w:p>
      <w:pPr>
        <w:spacing w:after="140" w:line="276"/>
      </w:pPr>
      <w:r>
        <w:rPr>
          <w:color w:val="262626"/>
          <w:sz w:val="21"/>
          <w:szCs w:val="21"/>
        </w:rPr>
        <w:t xml:space="preserve">Page load, scrolling behaviour, the header’s Careers and Contact utility links, and the “skip to content” link for keyboard-only visitors are all tested.</w:t>
      </w:r>
    </w:p>
    <w:p>
      <w:pPr>
        <w:pStyle w:val="Heading2"/>
        <w:spacing w:after="120" w:before="280"/>
      </w:pPr>
      <w:r>
        <w:rPr>
          <w:b/>
          <w:bCs/>
          <w:color w:val="1F3864"/>
          <w:sz w:val="24"/>
          <w:szCs w:val="24"/>
        </w:rPr>
        <w:t xml:space="preserve">Main Navigation and Footer</w:t>
      </w:r>
    </w:p>
    <w:p>
      <w:pPr>
        <w:pStyle w:val="ListParagraph"/>
        <w:numPr>
          <w:ilvl w:val="0"/>
          <w:numId w:val="2"/>
        </w:numPr>
        <w:spacing w:after="60" w:line="264"/>
      </w:pPr>
      <w:r>
        <w:rPr>
          <w:b/>
          <w:bCs/>
          <w:color w:val="262626"/>
          <w:sz w:val="21"/>
          <w:szCs w:val="21"/>
        </w:rPr>
        <w:t xml:space="preserve">Primary navigation: </w:t>
      </w:r>
      <w:r>
        <w:rPr>
          <w:color w:val="262626"/>
          <w:sz w:val="21"/>
          <w:szCs w:val="21"/>
        </w:rPr>
        <w:t xml:space="preserve">all six top-level menu sections are expanded and confirmed, with a real second-level journey followed through from each one to its expected destination.</w:t>
      </w:r>
    </w:p>
    <w:p>
      <w:pPr>
        <w:pStyle w:val="ListParagraph"/>
        <w:numPr>
          <w:ilvl w:val="0"/>
          <w:numId w:val="2"/>
        </w:numPr>
        <w:spacing w:after="60" w:line="264"/>
      </w:pPr>
      <w:r>
        <w:rPr>
          <w:b/>
          <w:bCs/>
          <w:color w:val="262626"/>
          <w:sz w:val="21"/>
          <w:szCs w:val="21"/>
        </w:rPr>
        <w:t xml:space="preserve">Site-wide footer: </w:t>
      </w:r>
      <w:r>
        <w:rPr>
          <w:color w:val="262626"/>
          <w:sz w:val="21"/>
          <w:szCs w:val="21"/>
        </w:rPr>
        <w:t xml:space="preserve">all nine legal and utility footer links receive a full, in-depth check of their destination page — covering page title, meta description, canonical link, favicon, page structure, and that every visible image and a sample of body links resolve correctly without errors — alongside the five social media icons.</w:t>
      </w:r>
    </w:p>
    <w:p>
      <w:pPr>
        <w:pStyle w:val="ListParagraph"/>
        <w:numPr>
          <w:ilvl w:val="0"/>
          <w:numId w:val="2"/>
        </w:numPr>
        <w:spacing w:after="60" w:line="264"/>
      </w:pPr>
      <w:r>
        <w:rPr>
          <w:b/>
          <w:bCs/>
          <w:color w:val="262626"/>
          <w:sz w:val="21"/>
          <w:szCs w:val="21"/>
        </w:rPr>
        <w:t xml:space="preserve">Share Your Feedback form: </w:t>
      </w:r>
      <w:r>
        <w:rPr>
          <w:color w:val="262626"/>
          <w:sz w:val="21"/>
          <w:szCs w:val="21"/>
        </w:rPr>
        <w:t xml:space="preserve">this footer-linked feedback form is tested through its full three-stage journey: an empty submission, a submission with invalid data, and a complete, genuine end-to-end submission including a real security check (reCAPTCHA).</w:t>
      </w:r>
    </w:p>
    <w:p>
      <w:pPr>
        <w:pStyle w:val="Heading2"/>
        <w:spacing w:after="120" w:before="280"/>
      </w:pPr>
      <w:r>
        <w:rPr>
          <w:b/>
          <w:bCs/>
          <w:color w:val="1F3864"/>
          <w:sz w:val="24"/>
          <w:szCs w:val="24"/>
        </w:rPr>
        <w:t xml:space="preserve">Site Search</w:t>
      </w:r>
    </w:p>
    <w:p>
      <w:pPr>
        <w:spacing w:after="140" w:line="276"/>
      </w:pPr>
      <w:r>
        <w:rPr>
          <w:color w:val="262626"/>
          <w:sz w:val="21"/>
          <w:szCs w:val="21"/>
        </w:rPr>
        <w:t xml:space="preserve">Empty searches, no-result searches, and successful searches are all tested, along with following through from a search result to confirm it leads to a real page.</w:t>
      </w:r>
    </w:p>
    <w:p>
      <w:pPr>
        <w:pStyle w:val="Heading2"/>
        <w:spacing w:after="120" w:before="280"/>
      </w:pPr>
      <w:r>
        <w:rPr>
          <w:b/>
          <w:bCs/>
          <w:color w:val="1F3864"/>
          <w:sz w:val="24"/>
          <w:szCs w:val="24"/>
        </w:rPr>
        <w:t xml:space="preserve">Research and Science (21 sections)</w:t>
      </w:r>
    </w:p>
    <w:p>
      <w:pPr>
        <w:spacing w:after="140" w:line="276"/>
      </w:pPr>
      <w:r>
        <w:rPr>
          <w:color w:val="262626"/>
          <w:sz w:val="21"/>
          <w:szCs w:val="21"/>
        </w:rPr>
        <w:t xml:space="preserve">Every one of the 21 areas under this section — from Acoustics and Biosciences through to Quantum Technologies, Time and Frequency, and published Case Studies — is opened via the real menu and checked for correct page title, properly structured headings, and correct page landmarks.</w:t>
      </w:r>
    </w:p>
    <w:p>
      <w:pPr>
        <w:pStyle w:val="Heading2"/>
        <w:spacing w:after="120" w:before="280"/>
      </w:pPr>
      <w:r>
        <w:rPr>
          <w:b/>
          <w:bCs/>
          <w:color w:val="1F3864"/>
          <w:sz w:val="24"/>
          <w:szCs w:val="24"/>
        </w:rPr>
        <w:t xml:space="preserve">Products and Services (17 sections)</w:t>
      </w:r>
    </w:p>
    <w:p>
      <w:pPr>
        <w:spacing w:after="140" w:line="276"/>
      </w:pPr>
      <w:r>
        <w:rPr>
          <w:color w:val="262626"/>
          <w:sz w:val="21"/>
          <w:szCs w:val="21"/>
        </w:rPr>
        <w:t xml:space="preserve">Every product and service area — including Calibration Services, Consultancy, and industry-specific pages covering Aerospace, Defence and Security, Energy, Healthcare, Manufacturing, and more — is opened via the real menu and checked for correct page content and structure.</w:t>
      </w:r>
    </w:p>
    <w:p>
      <w:pPr>
        <w:pStyle w:val="Heading2"/>
        <w:spacing w:after="120" w:before="280"/>
      </w:pPr>
      <w:r>
        <w:rPr>
          <w:b/>
          <w:bCs/>
          <w:color w:val="1F3864"/>
          <w:sz w:val="24"/>
          <w:szCs w:val="24"/>
        </w:rPr>
        <w:t xml:space="preserve">Strategic Programmes</w:t>
      </w:r>
    </w:p>
    <w:p>
      <w:pPr>
        <w:spacing w:after="140" w:line="276"/>
      </w:pPr>
      <w:r>
        <w:rPr>
          <w:color w:val="262626"/>
          <w:sz w:val="21"/>
          <w:szCs w:val="21"/>
        </w:rPr>
        <w:t xml:space="preserve">All six of NPL’s strategic programme pages — including the National Timing Centre, the UK Telecoms Lab, the NPL Quantum Programme, and the National Measurement System — are tested for correct navigation and page content.</w:t>
      </w:r>
    </w:p>
    <w:p>
      <w:pPr>
        <w:pStyle w:val="Heading2"/>
        <w:spacing w:after="120" w:before="280"/>
      </w:pPr>
      <w:r>
        <w:rPr>
          <w:b/>
          <w:bCs/>
          <w:color w:val="1F3864"/>
          <w:sz w:val="24"/>
          <w:szCs w:val="24"/>
        </w:rPr>
        <w:t xml:space="preserve">Education and Learning</w:t>
      </w:r>
    </w:p>
    <w:p>
      <w:pPr>
        <w:spacing w:after="140" w:line="276"/>
      </w:pPr>
      <w:r>
        <w:rPr>
          <w:color w:val="262626"/>
          <w:sz w:val="21"/>
          <w:szCs w:val="21"/>
        </w:rPr>
        <w:t xml:space="preserve">All thirteen in-scope pages under this section — covering apprenticeships, early careers, outreach programmes, and educational resources — receive the same thorough page-level checks described above, plus a check that the page loads without any browser errors.</w:t>
      </w:r>
    </w:p>
    <w:p>
      <w:pPr>
        <w:pStyle w:val="Heading2"/>
        <w:spacing w:after="120" w:before="280"/>
      </w:pPr>
      <w:r>
        <w:rPr>
          <w:b/>
          <w:bCs/>
          <w:color w:val="1F3864"/>
          <w:sz w:val="24"/>
          <w:szCs w:val="24"/>
        </w:rPr>
        <w:t xml:space="preserve">News and Events</w:t>
      </w:r>
    </w:p>
    <w:p>
      <w:pPr>
        <w:spacing w:after="140" w:line="276"/>
      </w:pPr>
      <w:r>
        <w:rPr>
          <w:color w:val="262626"/>
          <w:sz w:val="21"/>
          <w:szCs w:val="21"/>
        </w:rPr>
        <w:t xml:space="preserve">Six of the section’s pages — covering news and blog content, published case studies, and events — are tested to the same thorough depth, alongside a lighter check confirming external training-course links are working.</w:t>
      </w:r>
    </w:p>
    <w:p>
      <w:pPr>
        <w:pStyle w:val="Heading2"/>
        <w:spacing w:after="120" w:before="280"/>
      </w:pPr>
      <w:r>
        <w:rPr>
          <w:b/>
          <w:bCs/>
          <w:color w:val="1F3864"/>
          <w:sz w:val="24"/>
          <w:szCs w:val="24"/>
        </w:rPr>
        <w:t xml:space="preserve">About NPL (the largest section — 21 pages)</w:t>
      </w:r>
    </w:p>
    <w:p>
      <w:pPr>
        <w:spacing w:after="140" w:line="276"/>
      </w:pPr>
      <w:r>
        <w:rPr>
          <w:color w:val="262626"/>
          <w:sz w:val="21"/>
          <w:szCs w:val="21"/>
        </w:rPr>
        <w:t xml:space="preserve">The full About NPL section is tested in depth, including corporate information, the organisation’s history and impact, careers and people pages (executive team, board, and fellows), and contact information — with a dedicated check on every page to confirm it is a genuine page and not an error page, in addition to the full set of page-quality checks used elsewhere in the suite.</w:t>
      </w:r>
    </w:p>
    <w:p>
      <w:pPr>
        <w:pStyle w:val="Heading1"/>
        <w:pBdr>
          <w:bottom w:val="single" w:color="8C1D40" w:sz="6" w:space="4"/>
        </w:pBdr>
        <w:spacing w:after="160" w:before="360"/>
      </w:pPr>
      <w:r>
        <w:rPr>
          <w:b/>
          <w:bCs/>
          <w:color w:val="1F3864"/>
          <w:sz w:val="30"/>
          <w:szCs w:val="30"/>
        </w:rPr>
        <w:t xml:space="preserve">Non-Functional Testing</w:t>
      </w:r>
    </w:p>
    <w:p>
      <w:pPr>
        <w:spacing w:after="140" w:line="276"/>
      </w:pPr>
      <w:r>
        <w:rPr>
          <w:color w:val="262626"/>
          <w:sz w:val="21"/>
          <w:szCs w:val="21"/>
        </w:rPr>
        <w:t xml:space="preserve">Non-functional tests look beyond individual page content to the site’s discoverability, security posture, and ability to perform under load — all factors that affect how easily researchers, partners, and the public find and trust the site.</w:t>
      </w:r>
    </w:p>
    <w:p>
      <w:pPr>
        <w:pStyle w:val="Heading2"/>
        <w:spacing w:after="120" w:before="280"/>
      </w:pPr>
      <w:r>
        <w:rPr>
          <w:b/>
          <w:bCs/>
          <w:color w:val="1F3864"/>
          <w:sz w:val="24"/>
          <w:szCs w:val="24"/>
        </w:rPr>
        <w:t xml:space="preserve">Search Engine Optimisation (SEO) and Crawlability</w:t>
      </w:r>
    </w:p>
    <w:p>
      <w:pPr>
        <w:pStyle w:val="ListParagraph"/>
        <w:numPr>
          <w:ilvl w:val="0"/>
          <w:numId w:val="2"/>
        </w:numPr>
        <w:spacing w:after="60" w:line="264"/>
      </w:pPr>
      <w:r>
        <w:rPr>
          <w:b/>
          <w:bCs/>
          <w:color w:val="262626"/>
          <w:sz w:val="21"/>
          <w:szCs w:val="21"/>
        </w:rPr>
        <w:t xml:space="preserve">Sitemap and crawl health: </w:t>
      </w:r>
      <w:r>
        <w:rPr>
          <w:color w:val="262626"/>
          <w:sz w:val="21"/>
          <w:szCs w:val="21"/>
        </w:rPr>
        <w:t xml:space="preserve">the sitemap and robots.txt are confirmed available and correctly configured, with a sample of sitemap URLs checked to ensure none return an error.</w:t>
      </w:r>
    </w:p>
    <w:p>
      <w:pPr>
        <w:pStyle w:val="ListParagraph"/>
        <w:numPr>
          <w:ilvl w:val="0"/>
          <w:numId w:val="2"/>
        </w:numPr>
        <w:spacing w:after="60" w:line="264"/>
      </w:pPr>
      <w:r>
        <w:rPr>
          <w:b/>
          <w:bCs/>
          <w:color w:val="262626"/>
          <w:sz w:val="21"/>
          <w:szCs w:val="21"/>
        </w:rPr>
        <w:t xml:space="preserve">Metadata: </w:t>
      </w:r>
      <w:r>
        <w:rPr>
          <w:color w:val="262626"/>
          <w:sz w:val="21"/>
          <w:szCs w:val="21"/>
        </w:rPr>
        <w:t xml:space="preserve">canonical URLs, core meta tags, Open Graph / social sharing metadata, and the analytics/tag manager tracking signal are all verified on key pages.</w:t>
      </w:r>
    </w:p>
    <w:p>
      <w:pPr>
        <w:pStyle w:val="Heading2"/>
        <w:spacing w:after="120" w:before="280"/>
      </w:pPr>
      <w:r>
        <w:rPr>
          <w:b/>
          <w:bCs/>
          <w:color w:val="1F3864"/>
          <w:sz w:val="24"/>
          <w:szCs w:val="24"/>
        </w:rPr>
        <w:t xml:space="preserve">Security</w:t>
      </w:r>
    </w:p>
    <w:p>
      <w:pPr>
        <w:pStyle w:val="ListParagraph"/>
        <w:numPr>
          <w:ilvl w:val="0"/>
          <w:numId w:val="2"/>
        </w:numPr>
        <w:spacing w:after="60" w:line="264"/>
      </w:pPr>
      <w:r>
        <w:rPr>
          <w:b/>
          <w:bCs/>
          <w:color w:val="262626"/>
          <w:sz w:val="21"/>
          <w:szCs w:val="21"/>
        </w:rPr>
        <w:t xml:space="preserve">Security headers: </w:t>
      </w:r>
      <w:r>
        <w:rPr>
          <w:color w:val="262626"/>
          <w:sz w:val="21"/>
          <w:szCs w:val="21"/>
        </w:rPr>
        <w:t xml:space="preserve">Content-Security-Policy and other hardening headers are checked to confirm the site follows current best practice.</w:t>
      </w:r>
    </w:p>
    <w:p>
      <w:pPr>
        <w:pStyle w:val="ListParagraph"/>
        <w:numPr>
          <w:ilvl w:val="0"/>
          <w:numId w:val="2"/>
        </w:numPr>
        <w:spacing w:after="60" w:line="264"/>
      </w:pPr>
      <w:r>
        <w:rPr>
          <w:b/>
          <w:bCs/>
          <w:color w:val="262626"/>
          <w:sz w:val="21"/>
          <w:szCs w:val="21"/>
        </w:rPr>
        <w:t xml:space="preserve">Mixed content: </w:t>
      </w:r>
      <w:r>
        <w:rPr>
          <w:color w:val="262626"/>
          <w:sz w:val="21"/>
          <w:szCs w:val="21"/>
        </w:rPr>
        <w:t xml:space="preserve">the homepage is scanned to confirm it does not load any insecure (non-HTTPS) resources.</w:t>
      </w:r>
    </w:p>
    <w:p>
      <w:pPr>
        <w:pStyle w:val="Heading2"/>
        <w:spacing w:after="120" w:before="280"/>
      </w:pPr>
      <w:r>
        <w:rPr>
          <w:b/>
          <w:bCs/>
          <w:color w:val="1F3864"/>
          <w:sz w:val="24"/>
          <w:szCs w:val="24"/>
        </w:rPr>
        <w:t xml:space="preserve">Performance and Load Testing</w:t>
      </w:r>
    </w:p>
    <w:p>
      <w:pPr>
        <w:spacing w:after="140" w:line="276"/>
      </w:pPr>
      <w:r>
        <w:rPr>
          <w:color w:val="262626"/>
          <w:sz w:val="21"/>
          <w:szCs w:val="21"/>
        </w:rPr>
        <w:t xml:space="preserve">A dedicated load-testing profile (built with the industry-standard k6 tool) simulates realistic and peak visitor traffic across the homepage and core sections — including Research, Products and Services, Contact, and Search — across four scenarios: a quick smoke check, normal expected load, a sudden traffic spike, and a longer stability soak test.</w:t>
      </w:r>
    </w:p>
    <w:p>
      <w:pPr>
        <w:pStyle w:val="Heading1"/>
        <w:pBdr>
          <w:bottom w:val="single" w:color="8C1D40" w:sz="6" w:space="4"/>
        </w:pBdr>
        <w:spacing w:after="160" w:before="360"/>
      </w:pPr>
      <w:r>
        <w:rPr>
          <w:b/>
          <w:bCs/>
          <w:color w:val="1F3864"/>
          <w:sz w:val="30"/>
          <w:szCs w:val="30"/>
        </w:rPr>
        <w:t xml:space="preserve">Accessibility Testing</w:t>
      </w:r>
    </w:p>
    <w:p>
      <w:pPr>
        <w:spacing w:after="140" w:line="276"/>
      </w:pPr>
      <w:r>
        <w:rPr>
          <w:color w:val="262626"/>
          <w:sz w:val="21"/>
          <w:szCs w:val="21"/>
        </w:rPr>
        <w:t xml:space="preserve">Accessibility testing confirms the site can be used by the widest possible audience, including visitors using screen readers, keyboard-only navigation, or other assistive technology.</w:t>
      </w:r>
    </w:p>
    <w:p>
      <w:pPr>
        <w:pStyle w:val="ListParagraph"/>
        <w:numPr>
          <w:ilvl w:val="0"/>
          <w:numId w:val="2"/>
        </w:numPr>
        <w:spacing w:after="60" w:line="264"/>
      </w:pPr>
      <w:r>
        <w:rPr>
          <w:b/>
          <w:bCs/>
          <w:color w:val="262626"/>
          <w:sz w:val="21"/>
          <w:szCs w:val="21"/>
        </w:rPr>
        <w:t xml:space="preserve">Automated accessibility scanning: </w:t>
      </w:r>
      <w:r>
        <w:rPr>
          <w:color w:val="262626"/>
          <w:sz w:val="21"/>
          <w:szCs w:val="21"/>
        </w:rPr>
        <w:t xml:space="preserve">the homepage and a representative set of key pages are scanned using axe-core, the industry-standard automated accessibility testing engine, to catch critical violations against WCAG accessibility guidelines.</w:t>
      </w:r>
    </w:p>
    <w:p>
      <w:pPr>
        <w:pStyle w:val="ListParagraph"/>
        <w:numPr>
          <w:ilvl w:val="0"/>
          <w:numId w:val="2"/>
        </w:numPr>
        <w:spacing w:after="60" w:line="264"/>
      </w:pPr>
      <w:r>
        <w:rPr>
          <w:b/>
          <w:bCs/>
          <w:color w:val="262626"/>
          <w:sz w:val="21"/>
          <w:szCs w:val="21"/>
        </w:rPr>
        <w:t xml:space="preserve">Page structure: </w:t>
      </w:r>
      <w:r>
        <w:rPr>
          <w:color w:val="262626"/>
          <w:sz w:val="21"/>
          <w:szCs w:val="21"/>
        </w:rPr>
        <w:t xml:space="preserve">key pages are checked for correct landmark regions, a properly structured heading hierarchy (exactly one main heading per page), and appropriate alternative text on images.</w:t>
      </w:r>
    </w:p>
    <w:p>
      <w:pPr>
        <w:pStyle w:val="ListParagraph"/>
        <w:numPr>
          <w:ilvl w:val="0"/>
          <w:numId w:val="2"/>
        </w:numPr>
        <w:spacing w:after="60" w:line="264"/>
      </w:pPr>
      <w:r>
        <w:rPr>
          <w:b/>
          <w:bCs/>
          <w:color w:val="262626"/>
          <w:sz w:val="21"/>
          <w:szCs w:val="21"/>
        </w:rPr>
        <w:t xml:space="preserve">Keyboard navigation and language: </w:t>
      </w:r>
      <w:r>
        <w:rPr>
          <w:color w:val="262626"/>
          <w:sz w:val="21"/>
          <w:szCs w:val="21"/>
        </w:rPr>
        <w:t xml:space="preserve">the “skip to content” link is confirmed to work for keyboard-only visitors, and language signals are checked to confirm they are discoverable.</w:t>
      </w:r>
    </w:p>
    <w:p>
      <w:pPr>
        <w:pStyle w:val="Heading1"/>
        <w:pBdr>
          <w:bottom w:val="single" w:color="8C1D40" w:sz="6" w:space="4"/>
        </w:pBdr>
        <w:spacing w:after="160" w:before="360"/>
      </w:pPr>
      <w:r>
        <w:rPr>
          <w:b/>
          <w:bCs/>
          <w:color w:val="1F3864"/>
          <w:sz w:val="30"/>
          <w:szCs w:val="30"/>
        </w:rPr>
        <w:t xml:space="preserve">Cross-Environment Consistency Checks</w:t>
      </w:r>
    </w:p>
    <w:p>
      <w:pPr>
        <w:spacing w:after="140" w:line="276"/>
      </w:pPr>
      <w:r>
        <w:rPr>
          <w:color w:val="262626"/>
          <w:sz w:val="21"/>
          <w:szCs w:val="21"/>
        </w:rPr>
        <w:t xml:space="preserve">Where a pre-release environment is available alongside the live site, a dedicated comparison suite checks that the two are aligned before changes go live — catching configuration drift or content that was updated on one environment but not the other.</w:t>
      </w:r>
    </w:p>
    <w:p>
      <w:pPr>
        <w:pStyle w:val="ListParagraph"/>
        <w:numPr>
          <w:ilvl w:val="0"/>
          <w:numId w:val="2"/>
        </w:numPr>
        <w:spacing w:after="60" w:line="264"/>
      </w:pPr>
      <w:r>
        <w:rPr>
          <w:b/>
          <w:bCs/>
          <w:color w:val="262626"/>
          <w:sz w:val="21"/>
          <w:szCs w:val="21"/>
        </w:rPr>
        <w:t xml:space="preserve">Page titles, navigation, and footer structure: </w:t>
      </w:r>
      <w:r>
        <w:rPr>
          <w:color w:val="262626"/>
          <w:sz w:val="21"/>
          <w:szCs w:val="21"/>
        </w:rPr>
        <w:t xml:space="preserve">browser tab titles, the header’s quick-link order, the footer link list, and main navigation labels are all compared page-by-page between environments.</w:t>
      </w:r>
    </w:p>
    <w:p>
      <w:pPr>
        <w:pStyle w:val="ListParagraph"/>
        <w:numPr>
          <w:ilvl w:val="0"/>
          <w:numId w:val="2"/>
        </w:numPr>
        <w:spacing w:after="60" w:line="264"/>
      </w:pPr>
      <w:r>
        <w:rPr>
          <w:b/>
          <w:bCs/>
          <w:color w:val="262626"/>
          <w:sz w:val="21"/>
          <w:szCs w:val="21"/>
        </w:rPr>
        <w:t xml:space="preserve">Security, caching, and tracking configuration: </w:t>
      </w:r>
      <w:r>
        <w:rPr>
          <w:color w:val="262626"/>
          <w:sz w:val="21"/>
          <w:szCs w:val="21"/>
        </w:rPr>
        <w:t xml:space="preserve">response headers, cookie behaviour, and the analytics/tag-manager tracking configuration are compared to confirm the two environments are configured independently and consistently.</w:t>
      </w:r>
    </w:p>
    <w:p>
      <w:pPr>
        <w:pStyle w:val="ListParagraph"/>
        <w:numPr>
          <w:ilvl w:val="0"/>
          <w:numId w:val="2"/>
        </w:numPr>
        <w:spacing w:after="60" w:line="264"/>
      </w:pPr>
      <w:r>
        <w:rPr>
          <w:b/>
          <w:bCs/>
          <w:color w:val="262626"/>
          <w:sz w:val="21"/>
          <w:szCs w:val="21"/>
        </w:rPr>
        <w:t xml:space="preserve">SEO signals and image integrity: </w:t>
      </w:r>
      <w:r>
        <w:rPr>
          <w:color w:val="262626"/>
          <w:sz w:val="21"/>
          <w:szCs w:val="21"/>
        </w:rPr>
        <w:t xml:space="preserve">sitemap and robots.txt configuration, social-sharing metadata, and a sweep for broken images on key pages are all checked across both environments.</w:t>
      </w:r>
    </w:p>
    <w:tbl>
      <w:tblPr>
        <w:tblW w:type="pct" w:w="100%"/>
        <w:tblBorders>
          <w:top w:val="single" w:color="8C1D40" w:sz="4"/>
          <w:left w:val="single" w:color="8C1D40" w:sz="4"/>
          <w:bottom w:val="single" w:color="8C1D40" w:sz="4"/>
          <w:right w:val="single" w:color="8C1D40" w:sz="4"/>
          <w:insideH w:val="none"/>
          <w:insideV w:val="none"/>
        </w:tblBorders>
      </w:tblPr>
      <w:tblGrid>
        <w:gridCol w:w="100"/>
      </w:tblGrid>
      <w:tr>
        <w:tc>
          <w:tcPr>
            <w:shd w:fill="F2F2F2" w:val="clear"/>
            <w:tcMar>
              <w:top w:type="dxa" w:w="160"/>
              <w:left w:type="dxa" w:w="200"/>
              <w:bottom w:type="dxa" w:w="160"/>
              <w:right w:type="dxa" w:w="200"/>
            </w:tcMar>
          </w:tcPr>
          <w:p>
            <w:pPr>
              <w:spacing w:after="60"/>
            </w:pPr>
            <w:r>
              <w:rPr>
                <w:b/>
                <w:bCs/>
                <w:color w:val="1F3864"/>
                <w:sz w:val="21"/>
                <w:szCs w:val="21"/>
              </w:rPr>
              <w:t xml:space="preserve">Why this matters</w:t>
            </w:r>
          </w:p>
          <w:p>
            <w:pPr>
              <w:spacing w:after="0"/>
            </w:pPr>
            <w:r>
              <w:rPr>
                <w:color w:val="404040"/>
                <w:sz w:val="20"/>
                <w:szCs w:val="20"/>
              </w:rPr>
              <w:t xml:space="preserve">This comparison has already proven highly valuable in practice: it identified that the pre-release and live environments were sharing the same analytics tracking configuration, meaning pre-release testing traffic could mix with genuine visitor analytics data. The wider page-by-page testing across this suite has also surfaced a significant number of navigation links on the pre-release environment that do not yet point to their correct destination — concentrated in a small number of sections. All of these have been catalogued individually with their exact page and expected destination, giving the team a clear, ready-to-action list rather than a vague sense that "something is off" on pre-release. This is exactly the value of building this kind of coverage before a release goes live: issues are caught and documented while they are still cheap and safe to fix.</w:t>
            </w:r>
          </w:p>
        </w:tc>
      </w:tr>
    </w:tbl>
    <w:p>
      <w:pPr>
        <w:pStyle w:val="Heading1"/>
        <w:pBdr>
          <w:bottom w:val="single" w:color="8C1D40" w:sz="6" w:space="4"/>
        </w:pBdr>
        <w:spacing w:after="160" w:before="360"/>
      </w:pPr>
      <w:r>
        <w:rPr>
          <w:b/>
          <w:bCs/>
          <w:color w:val="1F3864"/>
          <w:sz w:val="30"/>
          <w:szCs w:val="30"/>
        </w:rPr>
        <w:t xml:space="preserve">Reporting and Ongoing Delivery</w:t>
      </w:r>
    </w:p>
    <w:p>
      <w:pPr>
        <w:spacing w:after="140" w:line="276"/>
      </w:pPr>
      <w:r>
        <w:rPr>
          <w:color w:val="262626"/>
          <w:sz w:val="21"/>
          <w:szCs w:val="21"/>
        </w:rPr>
        <w:t xml:space="preserve">Every test run produces a plain-language findings report in addition to the detailed technical test log, so results are accessible to both technical and non-technical stakeholders.</w:t>
      </w:r>
    </w:p>
    <w:p>
      <w:pPr>
        <w:pStyle w:val="ListParagraph"/>
        <w:numPr>
          <w:ilvl w:val="0"/>
          <w:numId w:val="2"/>
        </w:numPr>
        <w:spacing w:after="60" w:line="264"/>
      </w:pPr>
      <w:r>
        <w:rPr>
          <w:b/>
          <w:bCs/>
          <w:color w:val="262626"/>
          <w:sz w:val="21"/>
          <w:szCs w:val="21"/>
        </w:rPr>
        <w:t xml:space="preserve">Findings spreadsheet: </w:t>
      </w:r>
      <w:r>
        <w:rPr>
          <w:color w:val="262626"/>
          <w:sz w:val="21"/>
          <w:szCs w:val="21"/>
        </w:rPr>
        <w:t xml:space="preserve">a shareable spreadsheet is generated automatically after every run, listing a summary of checks performed and passed, and a clear, jargon-free description of any item that needs attention — including exactly which page it was seen on and why it matters. This spreadsheet also includes a complete record of every check run in a session, whether it passed or needed attention, giving full visibility into test coverage alongside the findings themselves.</w:t>
      </w:r>
    </w:p>
    <w:p>
      <w:pPr>
        <w:pStyle w:val="ListParagraph"/>
        <w:numPr>
          <w:ilvl w:val="0"/>
          <w:numId w:val="2"/>
        </w:numPr>
        <w:spacing w:after="60" w:line="264"/>
      </w:pPr>
      <w:r>
        <w:rPr>
          <w:b/>
          <w:bCs/>
          <w:color w:val="262626"/>
          <w:sz w:val="21"/>
          <w:szCs w:val="21"/>
        </w:rPr>
        <w:t xml:space="preserve">Historical record: </w:t>
      </w:r>
      <w:r>
        <w:rPr>
          <w:color w:val="262626"/>
          <w:sz w:val="21"/>
          <w:szCs w:val="21"/>
        </w:rPr>
        <w:t xml:space="preserve">a timestamped copy of every report is retained, giving a running history of site quality over time rather than only a snapshot of the most recent run.</w:t>
      </w:r>
    </w:p>
    <w:p>
      <w:pPr>
        <w:pStyle w:val="ListParagraph"/>
        <w:numPr>
          <w:ilvl w:val="0"/>
          <w:numId w:val="2"/>
        </w:numPr>
        <w:spacing w:after="60" w:line="264"/>
      </w:pPr>
      <w:r>
        <w:rPr>
          <w:b/>
          <w:bCs/>
          <w:color w:val="262626"/>
          <w:sz w:val="21"/>
          <w:szCs w:val="21"/>
        </w:rPr>
        <w:t xml:space="preserve">Continuous coverage: </w:t>
      </w:r>
      <w:r>
        <w:rPr>
          <w:color w:val="262626"/>
          <w:sz w:val="21"/>
          <w:szCs w:val="21"/>
        </w:rPr>
        <w:t xml:space="preserve">the suite is actively maintained and extended alongside the site itself, so that new pages, sections, or features are brought under test as they are introduced.</w:t>
      </w:r>
    </w:p>
    <w:p>
      <w:pPr>
        <w:spacing w:after="200"/>
      </w:pPr>
    </w:p>
    <w:p>
      <w:pPr>
        <w:pBdr>
          <w:top w:val="single" w:color="8C1D40" w:sz="6" w:space="8"/>
        </w:pBdr>
        <w:spacing w:before="200"/>
      </w:pPr>
      <w:r>
        <w:rPr>
          <w:i/>
          <w:iCs/>
          <w:color w:val="595959"/>
          <w:sz w:val="18"/>
          <w:szCs w:val="18"/>
        </w:rPr>
        <w:t xml:space="preserve">Prepared by the Candid Group QA Department. For questions about any item in this overview, please contact your Candid Group project representative.</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2026-09-21T11:09:13.596Z</dcterms:created>
  <dcterms:modified xsi:type="dcterms:W3CDTF">2026-09-21T11:09:13.597Z</dcterms:modified>
</cp:coreProperties>
</file>

<file path=docProps/custom.xml><?xml version="1.0" encoding="utf-8"?>
<Properties xmlns="http://schemas.openxmlformats.org/officeDocument/2006/custom-properties" xmlns:vt="http://schemas.openxmlformats.org/officeDocument/2006/docPropsVTypes"/>
</file>