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Royal Society of Chemistry</w:t>
      </w:r>
    </w:p>
    <w:p>
      <w:pPr>
        <w:pBdr>
          <w:bottom w:val="single" w:color="8C1D40" w:sz="12" w:space="6"/>
        </w:pBdr>
        <w:spacing w:after="320"/>
      </w:pPr>
      <w:r>
        <w:rPr>
          <w:color w:val="8C1D40"/>
          <w:sz w:val="28"/>
          <w:szCs w:val="28"/>
        </w:rPr>
        <w:t xml:space="preserve">QA Automation — Test Coverage Overview</w:t>
      </w:r>
    </w:p>
    <w:p>
      <w:pPr>
        <w:spacing w:after="60"/>
      </w:pPr>
      <w:r>
        <w:rPr>
          <w:i/>
          <w:iCs/>
          <w:color w:val="595959"/>
          <w:sz w:val="20"/>
          <w:szCs w:val="20"/>
        </w:rPr>
        <w:t xml:space="preserve">Prepared by: Candid Group — QA Department</w:t>
      </w:r>
    </w:p>
    <w:p>
      <w:pPr>
        <w:spacing w:after="400"/>
      </w:pPr>
      <w:r>
        <w:rPr>
          <w:i/>
          <w:iCs/>
          <w:color w:val="595959"/>
          <w:sz w:val="20"/>
          <w:szCs w:val="20"/>
        </w:rPr>
        <w:t xml:space="preserve">Date: 21 September 2026</w:t>
      </w:r>
    </w:p>
    <w:p>
      <w:pPr>
        <w:pStyle w:val="Heading1"/>
        <w:pBdr>
          <w:bottom w:val="single" w:color="8C1D40" w:sz="6" w:space="4"/>
        </w:pBdr>
        <w:spacing w:after="160" w:before="360"/>
      </w:pPr>
      <w:r>
        <w:rPr>
          <w:b/>
          <w:bCs/>
          <w:color w:val="1F3864"/>
          <w:sz w:val="30"/>
          <w:szCs w:val="30"/>
        </w:rPr>
        <w:t xml:space="preserve">Introduction</w:t>
      </w:r>
    </w:p>
    <w:p>
      <w:pPr>
        <w:spacing w:after="140" w:line="276"/>
      </w:pPr>
      <w:r>
        <w:rPr>
          <w:color w:val="262626"/>
          <w:sz w:val="21"/>
          <w:szCs w:val="21"/>
        </w:rPr>
        <w:t xml:space="preserve">Candid Group’s QA Department maintains an automated test suite for rsc.org that runs the site through the same journeys a real member, researcher, publisher, or event organiser would take — exploring membership options, browsing published research, searching news and standards content, and contacting the right team for their needs. This document summarises what that suite covers, in plain business terms, so that RSC stakeholders have a clear, current picture of the quality assurance in place for the site.</w:t>
      </w:r>
    </w:p>
    <w:p>
      <w:pPr>
        <w:spacing w:after="140" w:line="276"/>
      </w:pPr>
      <w:r>
        <w:rPr>
          <w:color w:val="262626"/>
          <w:sz w:val="21"/>
          <w:szCs w:val="21"/>
        </w:rPr>
        <w:t xml:space="preserve">The suite is organised into four complementary areas: functional testing (does the site work correctly for visitors), non-functional testing (is the site discoverable, secure, and performant), accessibility testing (can everyone use the site, regardless of ability), and cross-environment consistency checks (does a pre-release environment match what is actually live). Each run also produces a plain-language findings report, described at the end of this document.</w:t>
      </w:r>
    </w:p>
    <w:p>
      <w:pPr>
        <w:spacing w:after="140" w:line="276"/>
      </w:pPr>
      <w:r>
        <w:rPr>
          <w:color w:val="262626"/>
          <w:sz w:val="21"/>
          <w:szCs w:val="21"/>
        </w:rPr>
        <w:t xml:space="preserve">This is the most extensive suite in Candid Group’s current portfolio for this kind of site: over 250 automated checks spanning close to 190 individual pages across every top-level section of rsc.org — Membership, Publishing, Policy and Campaigning, Standards and Recognition, Funding and Support, Events and Venue Hire, News, and the About Us / Contact Us / Help and Legal footer sections — including more than a dozen genuine, end-to-end enquiry form submissions to the RSC teams behind each section.</w:t>
      </w:r>
    </w:p>
    <w:p>
      <w:pPr>
        <w:pStyle w:val="Heading1"/>
        <w:pBdr>
          <w:bottom w:val="single" w:color="8C1D40" w:sz="6" w:space="4"/>
        </w:pBdr>
        <w:spacing w:after="160" w:before="360"/>
      </w:pPr>
      <w:r>
        <w:rPr>
          <w:b/>
          <w:bCs/>
          <w:color w:val="1F3864"/>
          <w:sz w:val="30"/>
          <w:szCs w:val="30"/>
        </w:rPr>
        <w:t xml:space="preserve">Functional Testing</w:t>
      </w:r>
    </w:p>
    <w:p>
      <w:pPr>
        <w:spacing w:after="140" w:line="276"/>
      </w:pPr>
      <w:r>
        <w:rPr>
          <w:color w:val="262626"/>
          <w:sz w:val="21"/>
          <w:szCs w:val="21"/>
        </w:rPr>
        <w:t xml:space="preserve">Functional tests confirm that each part of the site behaves as intended: pages load, navigation leads where it should, interactive tools work correctly, and enquiry forms accept and process genuine submissions. Coverage is organised by site area, mirroring the site’s own main menu and footer structure:</w:t>
      </w:r>
    </w:p>
    <w:p>
      <w:pPr>
        <w:pStyle w:val="Heading2"/>
        <w:spacing w:after="120" w:before="280"/>
      </w:pPr>
      <w:r>
        <w:rPr>
          <w:b/>
          <w:bCs/>
          <w:color w:val="1F3864"/>
          <w:sz w:val="24"/>
          <w:szCs w:val="24"/>
        </w:rPr>
        <w:t xml:space="preserve">Homepage, Navigation, Footer, and Search</w:t>
      </w:r>
    </w:p>
    <w:p>
      <w:pPr>
        <w:pStyle w:val="ListParagraph"/>
        <w:numPr>
          <w:ilvl w:val="0"/>
          <w:numId w:val="2"/>
        </w:numPr>
        <w:spacing w:after="60" w:line="264"/>
      </w:pPr>
      <w:r>
        <w:rPr>
          <w:b/>
          <w:bCs/>
          <w:color w:val="262626"/>
          <w:sz w:val="21"/>
          <w:szCs w:val="21"/>
        </w:rPr>
        <w:t xml:space="preserve">Homepage: </w:t>
      </w:r>
      <w:r>
        <w:rPr>
          <w:color w:val="262626"/>
          <w:sz w:val="21"/>
          <w:szCs w:val="21"/>
        </w:rPr>
        <w:t xml:space="preserve">page load, scrolling behaviour, the header’s utility links (Donate, Join us, Sign In, Members’ Area, Journals, Books), key body calls-to-action, and the site’s keyboard “skip” links are all tested.</w:t>
      </w:r>
    </w:p>
    <w:p>
      <w:pPr>
        <w:pStyle w:val="ListParagraph"/>
        <w:numPr>
          <w:ilvl w:val="0"/>
          <w:numId w:val="2"/>
        </w:numPr>
        <w:spacing w:after="60" w:line="264"/>
      </w:pPr>
      <w:r>
        <w:rPr>
          <w:b/>
          <w:bCs/>
          <w:color w:val="262626"/>
          <w:sz w:val="21"/>
          <w:szCs w:val="21"/>
        </w:rPr>
        <w:t xml:space="preserve">Main navigation: </w:t>
      </w:r>
      <w:r>
        <w:rPr>
          <w:color w:val="262626"/>
          <w:sz w:val="21"/>
          <w:szCs w:val="21"/>
        </w:rPr>
        <w:t xml:space="preserve">the full menu tree is read live at test time and every level, down to the third tier, is expanded and confirmed, with every well-formed link across the entire menu clicked and confirmed to lead somewhere real.</w:t>
      </w:r>
    </w:p>
    <w:p>
      <w:pPr>
        <w:pStyle w:val="ListParagraph"/>
        <w:numPr>
          <w:ilvl w:val="0"/>
          <w:numId w:val="2"/>
        </w:numPr>
        <w:spacing w:after="60" w:line="264"/>
      </w:pPr>
      <w:r>
        <w:rPr>
          <w:b/>
          <w:bCs/>
          <w:color w:val="262626"/>
          <w:sz w:val="21"/>
          <w:szCs w:val="21"/>
        </w:rPr>
        <w:t xml:space="preserve">Site-wide footer: </w:t>
      </w:r>
      <w:r>
        <w:rPr>
          <w:color w:val="262626"/>
          <w:sz w:val="21"/>
          <w:szCs w:val="21"/>
        </w:rPr>
        <w:t xml:space="preserve">the About Us and Contact Us link groups, the Help and Legal group, and the social media icon row are all tested.</w:t>
      </w:r>
    </w:p>
    <w:p>
      <w:pPr>
        <w:pStyle w:val="ListParagraph"/>
        <w:numPr>
          <w:ilvl w:val="0"/>
          <w:numId w:val="2"/>
        </w:numPr>
        <w:spacing w:after="60" w:line="264"/>
      </w:pPr>
      <w:r>
        <w:rPr>
          <w:b/>
          <w:bCs/>
          <w:color w:val="262626"/>
          <w:sz w:val="21"/>
          <w:szCs w:val="21"/>
        </w:rPr>
        <w:t xml:space="preserve">Site search: </w:t>
      </w:r>
      <w:r>
        <w:rPr>
          <w:color w:val="262626"/>
          <w:sz w:val="21"/>
          <w:szCs w:val="21"/>
        </w:rPr>
        <w:t xml:space="preserve">searches with and without results, pagination through multiple pages of results, and all five sort options (relevance, alphabetical, and publication date) are tested, including confirming a chosen sort order survives navigating to a result and back.</w:t>
      </w:r>
    </w:p>
    <w:p>
      <w:pPr>
        <w:pStyle w:val="Heading2"/>
        <w:spacing w:after="120" w:before="280"/>
      </w:pPr>
      <w:r>
        <w:rPr>
          <w:b/>
          <w:bCs/>
          <w:color w:val="1F3864"/>
          <w:sz w:val="24"/>
          <w:szCs w:val="24"/>
        </w:rPr>
        <w:t xml:space="preserve">Membership</w:t>
      </w:r>
    </w:p>
    <w:p>
      <w:pPr>
        <w:spacing w:after="140" w:line="276"/>
      </w:pPr>
      <w:r>
        <w:rPr>
          <w:color w:val="262626"/>
          <w:sz w:val="21"/>
          <w:szCs w:val="21"/>
        </w:rPr>
        <w:t xml:space="preserve">Every page under the Membership section is tested, including the interactive “Which membership is right for you?” recommendation tool (run through twice with different answers to confirm it produces different, correct recommendations) and a genuine end-to-end submission of the “Contact our membership team” enquiry form.</w:t>
      </w:r>
    </w:p>
    <w:p>
      <w:pPr>
        <w:pStyle w:val="Heading2"/>
        <w:spacing w:after="120" w:before="280"/>
      </w:pPr>
      <w:r>
        <w:rPr>
          <w:b/>
          <w:bCs/>
          <w:color w:val="1F3864"/>
          <w:sz w:val="24"/>
          <w:szCs w:val="24"/>
        </w:rPr>
        <w:t xml:space="preserve">Publishing (60+ pages)</w:t>
      </w:r>
    </w:p>
    <w:p>
      <w:pPr>
        <w:spacing w:after="140" w:line="276"/>
      </w:pPr>
      <w:r>
        <w:rPr>
          <w:color w:val="262626"/>
          <w:sz w:val="21"/>
          <w:szCs w:val="21"/>
        </w:rPr>
        <w:t xml:space="preserve">The largest functional area outside Membership: every page across Our Publishing Portfolio, Publish With Us, Open Access, Journals, Books, Databases, and Product Information is tested, along with an in-depth FAQ accordion, embedded video playback, an interactive institution-lookup tool, and four separate genuine team-enquiry form submissions (the library, sales, e-journals, and technical support teams).</w:t>
      </w:r>
    </w:p>
    <w:p>
      <w:pPr>
        <w:pStyle w:val="Heading2"/>
        <w:spacing w:after="120" w:before="280"/>
      </w:pPr>
      <w:r>
        <w:rPr>
          <w:b/>
          <w:bCs/>
          <w:color w:val="1F3864"/>
          <w:sz w:val="24"/>
          <w:szCs w:val="24"/>
        </w:rPr>
        <w:t xml:space="preserve">Policy and Campaigning</w:t>
      </w:r>
    </w:p>
    <w:p>
      <w:pPr>
        <w:spacing w:after="140" w:line="276"/>
      </w:pPr>
      <w:r>
        <w:rPr>
          <w:color w:val="262626"/>
          <w:sz w:val="21"/>
          <w:szCs w:val="21"/>
        </w:rPr>
        <w:t xml:space="preserve">Every page in this section is tested, including an in-depth FAQ accordion, embedded video content, and a genuine submission of the “Contact our education team” enquiry form.</w:t>
      </w:r>
    </w:p>
    <w:p>
      <w:pPr>
        <w:pStyle w:val="Heading2"/>
        <w:spacing w:after="120" w:before="280"/>
      </w:pPr>
      <w:r>
        <w:rPr>
          <w:b/>
          <w:bCs/>
          <w:color w:val="1F3864"/>
          <w:sz w:val="24"/>
          <w:szCs w:val="24"/>
        </w:rPr>
        <w:t xml:space="preserve">Standards and Recognition (28 pages)</w:t>
      </w:r>
    </w:p>
    <w:p>
      <w:pPr>
        <w:spacing w:after="140" w:line="276"/>
      </w:pPr>
      <w:r>
        <w:rPr>
          <w:color w:val="262626"/>
          <w:sz w:val="21"/>
          <w:szCs w:val="21"/>
        </w:rPr>
        <w:t xml:space="preserve">Every page covering RSC’s awards, prizes, and accreditation programmes is tested, including the largest FAQ accordion found anywhere on the site (31 individual questions).</w:t>
      </w:r>
    </w:p>
    <w:p>
      <w:pPr>
        <w:pStyle w:val="Heading2"/>
        <w:spacing w:after="120" w:before="280"/>
      </w:pPr>
      <w:r>
        <w:rPr>
          <w:b/>
          <w:bCs/>
          <w:color w:val="1F3864"/>
          <w:sz w:val="24"/>
          <w:szCs w:val="24"/>
        </w:rPr>
        <w:t xml:space="preserve">Funding and Support (30 pages)</w:t>
      </w:r>
    </w:p>
    <w:p>
      <w:pPr>
        <w:spacing w:after="140" w:line="276"/>
      </w:pPr>
      <w:r>
        <w:rPr>
          <w:color w:val="262626"/>
          <w:sz w:val="21"/>
          <w:szCs w:val="21"/>
        </w:rPr>
        <w:t xml:space="preserve">Every page covering careers support, the Chemists’ Community Fund, and the Pan Africa Chemistry Network is tested, including an in-depth FAQ accordion and embedded video content. This section additionally checks that every real link and button within each page’s main content genuinely navigates to a working destination, not just that the elements are present on the page — a check since extended across every other section of the site too.</w:t>
      </w:r>
    </w:p>
    <w:p>
      <w:pPr>
        <w:pStyle w:val="Heading2"/>
        <w:spacing w:after="120" w:before="280"/>
      </w:pPr>
      <w:r>
        <w:rPr>
          <w:b/>
          <w:bCs/>
          <w:color w:val="1F3864"/>
          <w:sz w:val="24"/>
          <w:szCs w:val="24"/>
        </w:rPr>
        <w:t xml:space="preserve">Events and Venue Hire</w:t>
      </w:r>
    </w:p>
    <w:p>
      <w:pPr>
        <w:spacing w:after="140" w:line="276"/>
      </w:pPr>
      <w:r>
        <w:rPr>
          <w:color w:val="262626"/>
          <w:sz w:val="21"/>
          <w:szCs w:val="21"/>
        </w:rPr>
        <w:t xml:space="preserve">Every current page in this section is tested, including the events submission FAQ accordion, a full set of room-tour videos for venue hire enquiries, and a genuine submission of the “Contact our events team” enquiry form.</w:t>
      </w:r>
    </w:p>
    <w:p>
      <w:pPr>
        <w:pStyle w:val="Heading2"/>
        <w:spacing w:after="120" w:before="280"/>
      </w:pPr>
      <w:r>
        <w:rPr>
          <w:b/>
          <w:bCs/>
          <w:color w:val="1F3864"/>
          <w:sz w:val="24"/>
          <w:szCs w:val="24"/>
        </w:rPr>
        <w:t xml:space="preserve">News</w:t>
      </w:r>
    </w:p>
    <w:p>
      <w:pPr>
        <w:spacing w:after="140" w:line="276"/>
      </w:pPr>
      <w:r>
        <w:rPr>
          <w:color w:val="262626"/>
          <w:sz w:val="21"/>
          <w:szCs w:val="21"/>
        </w:rPr>
        <w:t xml:space="preserve">The News listing’s own search box, content-type filtering, all four sort options, and pagination (with close to 100 pages of results on the live site) are all tested, along with a representative sample of individual articles to confirm each displays correctly.</w:t>
      </w:r>
    </w:p>
    <w:p>
      <w:pPr>
        <w:pStyle w:val="Heading2"/>
        <w:spacing w:after="120" w:before="280"/>
      </w:pPr>
      <w:r>
        <w:rPr>
          <w:b/>
          <w:bCs/>
          <w:color w:val="1F3864"/>
          <w:sz w:val="24"/>
          <w:szCs w:val="24"/>
        </w:rPr>
        <w:t xml:space="preserve">About Us, Contact Us, and Help and Legal (Footer Sections)</w:t>
      </w:r>
    </w:p>
    <w:p>
      <w:pPr>
        <w:spacing w:after="140" w:line="276"/>
      </w:pPr>
      <w:r>
        <w:rPr>
          <w:color w:val="262626"/>
          <w:sz w:val="21"/>
          <w:szCs w:val="21"/>
        </w:rPr>
        <w:t xml:space="preserve">Every page linked from these three footer columns is tested in depth, including card counts and link verification. This includes an in-depth 27-item FAQ accordion, embedded video content, and genuine submissions of three further team-enquiry forms (fundraising, recruitment, and advertising), plus dedicated checks confirming the standalone Press Office and Make a Complaint forms load correctly.</w:t>
      </w:r>
    </w:p>
    <w:p>
      <w:pPr>
        <w:pStyle w:val="Heading1"/>
        <w:pBdr>
          <w:bottom w:val="single" w:color="8C1D40" w:sz="6" w:space="4"/>
        </w:pBdr>
        <w:spacing w:after="160" w:before="360"/>
      </w:pPr>
      <w:r>
        <w:rPr>
          <w:b/>
          <w:bCs/>
          <w:color w:val="1F3864"/>
          <w:sz w:val="30"/>
          <w:szCs w:val="30"/>
        </w:rPr>
        <w:t xml:space="preserve">Non-Functional Testing</w:t>
      </w:r>
    </w:p>
    <w:p>
      <w:pPr>
        <w:spacing w:after="140" w:line="276"/>
      </w:pPr>
      <w:r>
        <w:rPr>
          <w:color w:val="262626"/>
          <w:sz w:val="21"/>
          <w:szCs w:val="21"/>
        </w:rPr>
        <w:t xml:space="preserve">Non-functional tests look beyond individual page content to the site’s discoverability, security posture, and ability to perform under load — all factors that affect how easily members, researchers, and publishers find and trust the site.</w:t>
      </w:r>
    </w:p>
    <w:p>
      <w:pPr>
        <w:pStyle w:val="Heading2"/>
        <w:spacing w:after="120" w:before="280"/>
      </w:pPr>
      <w:r>
        <w:rPr>
          <w:b/>
          <w:bCs/>
          <w:color w:val="1F3864"/>
          <w:sz w:val="24"/>
          <w:szCs w:val="24"/>
        </w:rPr>
        <w:t xml:space="preserve">Search Engine Optimisation (SEO) and Crawlability</w:t>
      </w:r>
    </w:p>
    <w:p>
      <w:pPr>
        <w:pStyle w:val="ListParagraph"/>
        <w:numPr>
          <w:ilvl w:val="0"/>
          <w:numId w:val="2"/>
        </w:numPr>
        <w:spacing w:after="60" w:line="264"/>
      </w:pPr>
      <w:r>
        <w:rPr>
          <w:b/>
          <w:bCs/>
          <w:color w:val="262626"/>
          <w:sz w:val="21"/>
          <w:szCs w:val="21"/>
        </w:rPr>
        <w:t xml:space="preserve">Sitemap and crawl health: </w:t>
      </w:r>
      <w:r>
        <w:rPr>
          <w:color w:val="262626"/>
          <w:sz w:val="21"/>
          <w:szCs w:val="21"/>
        </w:rPr>
        <w:t xml:space="preserve">the sitemap and robots.txt are confirmed available and correctly configured, with a sample of sitemap URLs checked to ensure none return an error.</w:t>
      </w:r>
    </w:p>
    <w:p>
      <w:pPr>
        <w:pStyle w:val="ListParagraph"/>
        <w:numPr>
          <w:ilvl w:val="0"/>
          <w:numId w:val="2"/>
        </w:numPr>
        <w:spacing w:after="60" w:line="264"/>
      </w:pPr>
      <w:r>
        <w:rPr>
          <w:b/>
          <w:bCs/>
          <w:color w:val="262626"/>
          <w:sz w:val="21"/>
          <w:szCs w:val="21"/>
        </w:rPr>
        <w:t xml:space="preserve">Metadata: </w:t>
      </w:r>
      <w:r>
        <w:rPr>
          <w:color w:val="262626"/>
          <w:sz w:val="21"/>
          <w:szCs w:val="21"/>
        </w:rPr>
        <w:t xml:space="preserve">canonical URLs, core meta tags, Open Graph / social sharing metadata, structured data, and the analytics/tag manager tracking signal are all verified on key pages across every major section of the site.</w:t>
      </w:r>
    </w:p>
    <w:p>
      <w:pPr>
        <w:pStyle w:val="Heading2"/>
        <w:spacing w:after="120" w:before="280"/>
      </w:pPr>
      <w:r>
        <w:rPr>
          <w:b/>
          <w:bCs/>
          <w:color w:val="1F3864"/>
          <w:sz w:val="24"/>
          <w:szCs w:val="24"/>
        </w:rPr>
        <w:t xml:space="preserve">Security</w:t>
      </w:r>
    </w:p>
    <w:p>
      <w:pPr>
        <w:pStyle w:val="ListParagraph"/>
        <w:numPr>
          <w:ilvl w:val="0"/>
          <w:numId w:val="2"/>
        </w:numPr>
        <w:spacing w:after="60" w:line="264"/>
      </w:pPr>
      <w:r>
        <w:rPr>
          <w:b/>
          <w:bCs/>
          <w:color w:val="262626"/>
          <w:sz w:val="21"/>
          <w:szCs w:val="21"/>
        </w:rPr>
        <w:t xml:space="preserve">Security headers: </w:t>
      </w:r>
      <w:r>
        <w:rPr>
          <w:color w:val="262626"/>
          <w:sz w:val="21"/>
          <w:szCs w:val="21"/>
        </w:rPr>
        <w:t xml:space="preserve">Content-Security-Policy and other hardening headers are checked to confirm the site follows current best practice.</w:t>
      </w:r>
    </w:p>
    <w:p>
      <w:pPr>
        <w:pStyle w:val="ListParagraph"/>
        <w:numPr>
          <w:ilvl w:val="0"/>
          <w:numId w:val="2"/>
        </w:numPr>
        <w:spacing w:after="60" w:line="264"/>
      </w:pPr>
      <w:r>
        <w:rPr>
          <w:b/>
          <w:bCs/>
          <w:color w:val="262626"/>
          <w:sz w:val="21"/>
          <w:szCs w:val="21"/>
        </w:rPr>
        <w:t xml:space="preserve">Mixed content: </w:t>
      </w:r>
      <w:r>
        <w:rPr>
          <w:color w:val="262626"/>
          <w:sz w:val="21"/>
          <w:szCs w:val="21"/>
        </w:rPr>
        <w:t xml:space="preserve">the homepage is scanned to confirm it does not load any insecure (non-HTTPS) resources.</w:t>
      </w:r>
    </w:p>
    <w:p>
      <w:pPr>
        <w:pStyle w:val="Heading2"/>
        <w:spacing w:after="120" w:before="280"/>
      </w:pPr>
      <w:r>
        <w:rPr>
          <w:b/>
          <w:bCs/>
          <w:color w:val="1F3864"/>
          <w:sz w:val="24"/>
          <w:szCs w:val="24"/>
        </w:rPr>
        <w:t xml:space="preserve">Performance and Load Testing</w:t>
      </w:r>
    </w:p>
    <w:p>
      <w:pPr>
        <w:spacing w:after="140" w:line="276"/>
      </w:pPr>
      <w:r>
        <w:rPr>
          <w:color w:val="262626"/>
          <w:sz w:val="21"/>
          <w:szCs w:val="21"/>
        </w:rPr>
        <w:t xml:space="preserve">A dedicated load-testing profile (built with the industry-standard k6 tool) simulates realistic and peak visitor traffic across the homepage and every major section — Membership, Publishing, Policy and Campaigning, Standards and Recognition, Funding and Support, Events, News, About Us, Contact Us, and Help and Legal — across four scenarios: a quick smoke check, normal expected load, a sudden traffic spike, and a longer stability soak test.</w:t>
      </w:r>
    </w:p>
    <w:p>
      <w:pPr>
        <w:pStyle w:val="Heading1"/>
        <w:pBdr>
          <w:bottom w:val="single" w:color="8C1D40" w:sz="6" w:space="4"/>
        </w:pBdr>
        <w:spacing w:after="160" w:before="360"/>
      </w:pPr>
      <w:r>
        <w:rPr>
          <w:b/>
          <w:bCs/>
          <w:color w:val="1F3864"/>
          <w:sz w:val="30"/>
          <w:szCs w:val="30"/>
        </w:rPr>
        <w:t xml:space="preserve">Accessibility Testing</w:t>
      </w:r>
    </w:p>
    <w:p>
      <w:pPr>
        <w:spacing w:after="140" w:line="276"/>
      </w:pPr>
      <w:r>
        <w:rPr>
          <w:color w:val="262626"/>
          <w:sz w:val="21"/>
          <w:szCs w:val="21"/>
        </w:rPr>
        <w:t xml:space="preserve">Accessibility testing confirms the site can be used by the widest possible audience, including visitors using screen readers, keyboard-only navigation, or other assistive technology.</w:t>
      </w:r>
    </w:p>
    <w:p>
      <w:pPr>
        <w:pStyle w:val="ListParagraph"/>
        <w:numPr>
          <w:ilvl w:val="0"/>
          <w:numId w:val="2"/>
        </w:numPr>
        <w:spacing w:after="60" w:line="264"/>
      </w:pPr>
      <w:r>
        <w:rPr>
          <w:b/>
          <w:bCs/>
          <w:color w:val="262626"/>
          <w:sz w:val="21"/>
          <w:szCs w:val="21"/>
        </w:rPr>
        <w:t xml:space="preserve">Automated accessibility scanning: </w:t>
      </w:r>
      <w:r>
        <w:rPr>
          <w:color w:val="262626"/>
          <w:sz w:val="21"/>
          <w:szCs w:val="21"/>
        </w:rPr>
        <w:t xml:space="preserve">the homepage and a representative page from every major section are scanned using axe-core, the industry-standard automated accessibility testing engine, to catch critical violations against WCAG accessibility guidelines.</w:t>
      </w:r>
    </w:p>
    <w:p>
      <w:pPr>
        <w:pStyle w:val="ListParagraph"/>
        <w:numPr>
          <w:ilvl w:val="0"/>
          <w:numId w:val="2"/>
        </w:numPr>
        <w:spacing w:after="60" w:line="264"/>
      </w:pPr>
      <w:r>
        <w:rPr>
          <w:b/>
          <w:bCs/>
          <w:color w:val="262626"/>
          <w:sz w:val="21"/>
          <w:szCs w:val="21"/>
        </w:rPr>
        <w:t xml:space="preserve">Page structure: </w:t>
      </w:r>
      <w:r>
        <w:rPr>
          <w:color w:val="262626"/>
          <w:sz w:val="21"/>
          <w:szCs w:val="21"/>
        </w:rPr>
        <w:t xml:space="preserve">key pages are checked for correct landmark regions, heading structure, interactive controls that expose a name a screen reader can announce, and appropriate alternative text on images.</w:t>
      </w:r>
    </w:p>
    <w:p>
      <w:pPr>
        <w:pStyle w:val="ListParagraph"/>
        <w:numPr>
          <w:ilvl w:val="0"/>
          <w:numId w:val="2"/>
        </w:numPr>
        <w:spacing w:after="60" w:line="264"/>
      </w:pPr>
      <w:r>
        <w:rPr>
          <w:b/>
          <w:bCs/>
          <w:color w:val="262626"/>
          <w:sz w:val="21"/>
          <w:szCs w:val="21"/>
        </w:rPr>
        <w:t xml:space="preserve">Keyboard navigation: </w:t>
      </w:r>
      <w:r>
        <w:rPr>
          <w:color w:val="262626"/>
          <w:sz w:val="21"/>
          <w:szCs w:val="21"/>
        </w:rPr>
        <w:t xml:space="preserve">the site’s keyboard “skip” links are tested across desktop, tablet, and mobile.</w:t>
      </w:r>
    </w:p>
    <w:tbl>
      <w:tblPr>
        <w:tblW w:type="pct" w:w="100%"/>
        <w:tblBorders>
          <w:top w:val="single" w:color="8C1D40" w:sz="4"/>
          <w:left w:val="single" w:color="8C1D40" w:sz="4"/>
          <w:bottom w:val="single" w:color="8C1D40" w:sz="4"/>
          <w:right w:val="single" w:color="8C1D40" w:sz="4"/>
          <w:insideH w:val="none"/>
          <w:insideV w:val="none"/>
        </w:tblBorders>
      </w:tblPr>
      <w:tblGrid>
        <w:gridCol w:w="100"/>
      </w:tblGrid>
      <w:tr>
        <w:tc>
          <w:tcPr>
            <w:shd w:fill="F2F2F2" w:val="clear"/>
            <w:tcMar>
              <w:top w:type="dxa" w:w="160"/>
              <w:left w:type="dxa" w:w="200"/>
              <w:bottom w:type="dxa" w:w="160"/>
              <w:right w:type="dxa" w:w="200"/>
            </w:tcMar>
          </w:tcPr>
          <w:p>
            <w:pPr>
              <w:spacing w:after="60"/>
            </w:pPr>
            <w:r>
              <w:rPr>
                <w:b/>
                <w:bCs/>
                <w:color w:val="1F3864"/>
                <w:sz w:val="21"/>
                <w:szCs w:val="21"/>
              </w:rPr>
              <w:t xml:space="preserve">Why this matters</w:t>
            </w:r>
          </w:p>
          <w:p>
            <w:pPr>
              <w:spacing w:after="0"/>
            </w:pPr>
            <w:r>
              <w:rPr>
                <w:color w:val="404040"/>
                <w:sz w:val="20"/>
                <w:szCs w:val="20"/>
              </w:rPr>
              <w:t xml:space="preserve">This testing has already identified a genuine, sitewide accessibility issue worth the team’s attention: the header search box carries a technical attribute (aria-expanded) that isn’t valid for a plain text input, which the automated accessibility scanner correctly flags as a critical violation on every page of the site. It has also confirmed that one of the site’s two keyboard “skip to” links doesn’t work correctly on tablet and mobile screens. Both are small, well-understood fixes, and both are exactly the kind of sitewide issue that is easy to overlook without dedicated, repeatable accessibility testing in place.</w:t>
            </w:r>
          </w:p>
        </w:tc>
      </w:tr>
    </w:tbl>
    <w:p>
      <w:pPr>
        <w:pStyle w:val="Heading1"/>
        <w:pBdr>
          <w:bottom w:val="single" w:color="8C1D40" w:sz="6" w:space="4"/>
        </w:pBdr>
        <w:spacing w:after="160" w:before="360"/>
      </w:pPr>
      <w:r>
        <w:rPr>
          <w:b/>
          <w:bCs/>
          <w:color w:val="1F3864"/>
          <w:sz w:val="30"/>
          <w:szCs w:val="30"/>
        </w:rPr>
        <w:t xml:space="preserve">Cross-Environment Consistency Checks</w:t>
      </w:r>
    </w:p>
    <w:p>
      <w:pPr>
        <w:spacing w:after="140" w:line="276"/>
      </w:pPr>
      <w:r>
        <w:rPr>
          <w:color w:val="262626"/>
          <w:sz w:val="21"/>
          <w:szCs w:val="21"/>
        </w:rPr>
        <w:t xml:space="preserve">Where a pre-release environment is available alongside the live site, a dedicated comparison suite checks that the two are aligned before changes go live — catching configuration drift or content that was updated on one environment but not the other.</w:t>
      </w:r>
    </w:p>
    <w:p>
      <w:pPr>
        <w:pStyle w:val="ListParagraph"/>
        <w:numPr>
          <w:ilvl w:val="0"/>
          <w:numId w:val="2"/>
        </w:numPr>
        <w:spacing w:after="60" w:line="264"/>
      </w:pPr>
      <w:r>
        <w:rPr>
          <w:b/>
          <w:bCs/>
          <w:color w:val="262626"/>
          <w:sz w:val="21"/>
          <w:szCs w:val="21"/>
        </w:rPr>
        <w:t xml:space="preserve">Page titles, navigation, and footer structure: </w:t>
      </w:r>
      <w:r>
        <w:rPr>
          <w:color w:val="262626"/>
          <w:sz w:val="21"/>
          <w:szCs w:val="21"/>
        </w:rPr>
        <w:t xml:space="preserve">browser tab titles, header utility-link order, footer link groups, and main navigation labels are all compared between environments.</w:t>
      </w:r>
    </w:p>
    <w:p>
      <w:pPr>
        <w:pStyle w:val="ListParagraph"/>
        <w:numPr>
          <w:ilvl w:val="0"/>
          <w:numId w:val="2"/>
        </w:numPr>
        <w:spacing w:after="60" w:line="264"/>
      </w:pPr>
      <w:r>
        <w:rPr>
          <w:b/>
          <w:bCs/>
          <w:color w:val="262626"/>
          <w:sz w:val="21"/>
          <w:szCs w:val="21"/>
        </w:rPr>
        <w:t xml:space="preserve">Security, caching, and tracking configuration: </w:t>
      </w:r>
      <w:r>
        <w:rPr>
          <w:color w:val="262626"/>
          <w:sz w:val="21"/>
          <w:szCs w:val="21"/>
        </w:rPr>
        <w:t xml:space="preserve">response headers, cookie behaviour, and the analytics/tag-manager tracking configuration are compared to confirm the two environments are configured independently and consistently.</w:t>
      </w:r>
    </w:p>
    <w:p>
      <w:pPr>
        <w:pStyle w:val="ListParagraph"/>
        <w:numPr>
          <w:ilvl w:val="0"/>
          <w:numId w:val="2"/>
        </w:numPr>
        <w:spacing w:after="60" w:line="264"/>
      </w:pPr>
      <w:r>
        <w:rPr>
          <w:b/>
          <w:bCs/>
          <w:color w:val="262626"/>
          <w:sz w:val="21"/>
          <w:szCs w:val="21"/>
        </w:rPr>
        <w:t xml:space="preserve">SEO signals and image integrity: </w:t>
      </w:r>
      <w:r>
        <w:rPr>
          <w:color w:val="262626"/>
          <w:sz w:val="21"/>
          <w:szCs w:val="21"/>
        </w:rPr>
        <w:t xml:space="preserve">sitemap and robots.txt configuration, social-sharing metadata, and a sweep for broken images on key pages are all checked across both environments.</w:t>
      </w:r>
    </w:p>
    <w:tbl>
      <w:tblPr>
        <w:tblW w:type="pct" w:w="100%"/>
        <w:tblBorders>
          <w:top w:val="single" w:color="8C1D40" w:sz="4"/>
          <w:left w:val="single" w:color="8C1D40" w:sz="4"/>
          <w:bottom w:val="single" w:color="8C1D40" w:sz="4"/>
          <w:right w:val="single" w:color="8C1D40" w:sz="4"/>
          <w:insideH w:val="none"/>
          <w:insideV w:val="none"/>
        </w:tblBorders>
      </w:tblPr>
      <w:tblGrid>
        <w:gridCol w:w="100"/>
      </w:tblGrid>
      <w:tr>
        <w:tc>
          <w:tcPr>
            <w:shd w:fill="F2F2F2" w:val="clear"/>
            <w:tcMar>
              <w:top w:type="dxa" w:w="160"/>
              <w:left w:type="dxa" w:w="200"/>
              <w:bottom w:type="dxa" w:w="160"/>
              <w:right w:type="dxa" w:w="200"/>
            </w:tcMar>
          </w:tcPr>
          <w:p>
            <w:pPr>
              <w:spacing w:after="60"/>
            </w:pPr>
            <w:r>
              <w:rPr>
                <w:b/>
                <w:bCs/>
                <w:color w:val="1F3864"/>
                <w:sz w:val="21"/>
                <w:szCs w:val="21"/>
              </w:rPr>
              <w:t xml:space="preserve">Why this matters</w:t>
            </w:r>
          </w:p>
          <w:p>
            <w:pPr>
              <w:spacing w:after="0"/>
            </w:pPr>
            <w:r>
              <w:rPr>
                <w:color w:val="404040"/>
                <w:sz w:val="20"/>
                <w:szCs w:val="20"/>
              </w:rPr>
              <w:t xml:space="preserve">The wider testing across this suite has surfaced that the pre-release environment currently differs from the live site in several places — most notably that the Events and Venue Hire section is still running on an earlier site structure that the live site has since moved on from, and that a small number of individual pages and enquiry forms exist on one environment but not yet the other. Each of these has been catalogued individually with its exact page and expected destination, giving the team a clear, ready-to-action list rather than a vague sense that "something is off" on pre-release — exactly the value of building this kind of coverage before a release goes live.</w:t>
            </w:r>
          </w:p>
        </w:tc>
      </w:tr>
    </w:tbl>
    <w:p>
      <w:pPr>
        <w:pStyle w:val="Heading1"/>
        <w:pBdr>
          <w:bottom w:val="single" w:color="8C1D40" w:sz="6" w:space="4"/>
        </w:pBdr>
        <w:spacing w:after="160" w:before="360"/>
      </w:pPr>
      <w:r>
        <w:rPr>
          <w:b/>
          <w:bCs/>
          <w:color w:val="1F3864"/>
          <w:sz w:val="30"/>
          <w:szCs w:val="30"/>
        </w:rPr>
        <w:t xml:space="preserve">Reporting and Ongoing Delivery</w:t>
      </w:r>
    </w:p>
    <w:p>
      <w:pPr>
        <w:spacing w:after="140" w:line="276"/>
      </w:pPr>
      <w:r>
        <w:rPr>
          <w:color w:val="262626"/>
          <w:sz w:val="21"/>
          <w:szCs w:val="21"/>
        </w:rPr>
        <w:t xml:space="preserve">Every test run produces a plain-language findings report in addition to the detailed technical test log, so results are accessible to both technical and non-technical stakeholders.</w:t>
      </w:r>
    </w:p>
    <w:p>
      <w:pPr>
        <w:pStyle w:val="ListParagraph"/>
        <w:numPr>
          <w:ilvl w:val="0"/>
          <w:numId w:val="2"/>
        </w:numPr>
        <w:spacing w:after="60" w:line="264"/>
      </w:pPr>
      <w:r>
        <w:rPr>
          <w:b/>
          <w:bCs/>
          <w:color w:val="262626"/>
          <w:sz w:val="21"/>
          <w:szCs w:val="21"/>
        </w:rPr>
        <w:t xml:space="preserve">Findings spreadsheet: </w:t>
      </w:r>
      <w:r>
        <w:rPr>
          <w:color w:val="262626"/>
          <w:sz w:val="21"/>
          <w:szCs w:val="21"/>
        </w:rPr>
        <w:t xml:space="preserve">a shareable spreadsheet is generated automatically after every run, listing a summary of checks performed and passed, and a clear, jargon-free description of any item that needs attention — including exactly which page it was seen on and why it matters.</w:t>
      </w:r>
    </w:p>
    <w:p>
      <w:pPr>
        <w:pStyle w:val="ListParagraph"/>
        <w:numPr>
          <w:ilvl w:val="0"/>
          <w:numId w:val="2"/>
        </w:numPr>
        <w:spacing w:after="60" w:line="264"/>
      </w:pPr>
      <w:r>
        <w:rPr>
          <w:b/>
          <w:bCs/>
          <w:color w:val="262626"/>
          <w:sz w:val="21"/>
          <w:szCs w:val="21"/>
        </w:rPr>
        <w:t xml:space="preserve">Historical record: </w:t>
      </w:r>
      <w:r>
        <w:rPr>
          <w:color w:val="262626"/>
          <w:sz w:val="21"/>
          <w:szCs w:val="21"/>
        </w:rPr>
        <w:t xml:space="preserve">a timestamped copy of every report is retained, giving a running history of site quality over time rather than only a snapshot of the most recent run.</w:t>
      </w:r>
    </w:p>
    <w:p>
      <w:pPr>
        <w:pStyle w:val="ListParagraph"/>
        <w:numPr>
          <w:ilvl w:val="0"/>
          <w:numId w:val="2"/>
        </w:numPr>
        <w:spacing w:after="60" w:line="264"/>
      </w:pPr>
      <w:r>
        <w:rPr>
          <w:b/>
          <w:bCs/>
          <w:color w:val="262626"/>
          <w:sz w:val="21"/>
          <w:szCs w:val="21"/>
        </w:rPr>
        <w:t xml:space="preserve">Continuous coverage: </w:t>
      </w:r>
      <w:r>
        <w:rPr>
          <w:color w:val="262626"/>
          <w:sz w:val="21"/>
          <w:szCs w:val="21"/>
        </w:rPr>
        <w:t xml:space="preserve">the suite is actively maintained and extended alongside the site itself — it has already grown substantially since it was first built, with new sections and deeper checks added as the site itself has grown, so that new pages, sections, or features continue to be brought under test as they are introduced.</w:t>
      </w:r>
    </w:p>
    <w:p>
      <w:pPr>
        <w:spacing w:after="200"/>
      </w:pPr>
    </w:p>
    <w:p>
      <w:pPr>
        <w:pBdr>
          <w:top w:val="single" w:color="8C1D40" w:sz="6" w:space="8"/>
        </w:pBdr>
        <w:spacing w:before="200"/>
      </w:pPr>
      <w:r>
        <w:rPr>
          <w:i/>
          <w:iCs/>
          <w:color w:val="595959"/>
          <w:sz w:val="18"/>
          <w:szCs w:val="18"/>
        </w:rPr>
        <w:t xml:space="preserve">Prepared by the Candid Group QA Department. For questions about any item in this overview, please contact your Candid Group project representative.</w:t>
      </w:r>
    </w:p>
    <w:sectPr>
      <w:pgSz w:w="11908" w:h="1683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2026-09-21T11:10:21.218Z</dcterms:created>
  <dcterms:modified xsi:type="dcterms:W3CDTF">2026-09-21T11:10:21.219Z</dcterms:modified>
</cp:coreProperties>
</file>

<file path=docProps/custom.xml><?xml version="1.0" encoding="utf-8"?>
<Properties xmlns="http://schemas.openxmlformats.org/officeDocument/2006/custom-properties" xmlns:vt="http://schemas.openxmlformats.org/officeDocument/2006/docPropsVTypes"/>
</file>