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SimHei" w:cs="SimHei" w:eastAsia="SimHei" w:hAnsi="SimHei"/>
          <w:b/>
          <w:bCs/>
          <w:sz w:val="44"/>
          <w:szCs w:val="44"/>
        </w:rPr>
        <w:t xml:space="preserve">哈尔滨工业大学深圳校区</w:t>
      </w:r>
    </w:p>
    <w:p>
      <w:pPr>
        <w:spacing w:after="720"/>
        <w:jc w:val="center"/>
      </w:pPr>
      <w:r>
        <w:rPr>
          <w:rFonts w:ascii="SimHei" w:cs="SimHei" w:eastAsia="SimHei" w:hAnsi="SimHei"/>
          <w:b/>
          <w:bCs/>
          <w:sz w:val="44"/>
          <w:szCs w:val="44"/>
        </w:rPr>
        <w:t xml:space="preserve">毕业论文中期报告</w:t>
      </w:r>
    </w:p>
    <w:p>
      <w:pPr>
        <w:spacing w:after="240"/>
      </w:pPr>
    </w:p>
    <w:p>
      <w:pPr>
        <w:spacing w:after="120" w:before="120"/>
        <w:jc w:val="center"/>
      </w:pPr>
      <w:r>
        <w:rPr>
          <w:rFonts w:ascii="SimSun" w:cs="SimSun" w:eastAsia="SimSun" w:hAnsi="SimSun"/>
          <w:b/>
          <w:bCs/>
          <w:sz w:val="28"/>
          <w:szCs w:val="28"/>
        </w:rPr>
        <w:t xml:space="preserve">题       目：基于掩星数据的气象要素反演系统设计与实现</w:t>
      </w:r>
    </w:p>
    <w:p>
      <w:pPr>
        <w:spacing w:after="120" w:before="120"/>
        <w:jc w:val="center"/>
      </w:pPr>
      <w:r>
        <w:rPr>
          <w:rFonts w:ascii="SimSun" w:cs="SimSun" w:eastAsia="SimSun" w:hAnsi="SimSun"/>
          <w:b/>
          <w:bCs/>
          <w:sz w:val="28"/>
          <w:szCs w:val="28"/>
        </w:rPr>
        <w:t xml:space="preserve">姓       名：林逸飞</w:t>
      </w:r>
    </w:p>
    <w:p>
      <w:pPr>
        <w:spacing w:after="120" w:before="120"/>
        <w:jc w:val="center"/>
      </w:pPr>
      <w:r>
        <w:rPr>
          <w:rFonts w:ascii="SimSun" w:cs="SimSun" w:eastAsia="SimSun" w:hAnsi="SimSun"/>
          <w:b/>
          <w:bCs/>
          <w:sz w:val="28"/>
          <w:szCs w:val="28"/>
        </w:rPr>
        <w:t xml:space="preserve">学       号：220110814</w:t>
      </w:r>
    </w:p>
    <w:p>
      <w:pPr>
        <w:spacing w:after="120" w:before="120"/>
        <w:jc w:val="center"/>
      </w:pPr>
      <w:r>
        <w:rPr>
          <w:rFonts w:ascii="SimSun" w:cs="SimSun" w:eastAsia="SimSun" w:hAnsi="SimSun"/>
          <w:b/>
          <w:bCs/>
          <w:sz w:val="28"/>
          <w:szCs w:val="28"/>
        </w:rPr>
        <w:t xml:space="preserve">学       院：计算机科学与技术</w:t>
      </w:r>
    </w:p>
    <w:p>
      <w:pPr>
        <w:spacing w:after="120" w:before="120"/>
        <w:jc w:val="center"/>
      </w:pPr>
      <w:r>
        <w:rPr>
          <w:rFonts w:ascii="SimSun" w:cs="SimSun" w:eastAsia="SimSun" w:hAnsi="SimSun"/>
          <w:b/>
          <w:bCs/>
          <w:sz w:val="28"/>
          <w:szCs w:val="28"/>
        </w:rPr>
        <w:t xml:space="preserve">专       业：计算机科学与技术</w:t>
      </w:r>
    </w:p>
    <w:p>
      <w:pPr>
        <w:spacing w:after="120" w:before="120"/>
        <w:jc w:val="center"/>
      </w:pPr>
      <w:r>
        <w:rPr>
          <w:rFonts w:ascii="SimSun" w:cs="SimSun" w:eastAsia="SimSun" w:hAnsi="SimSun"/>
          <w:b/>
          <w:bCs/>
          <w:sz w:val="28"/>
          <w:szCs w:val="28"/>
        </w:rPr>
        <w:t xml:space="preserve">指 导 教 师：李旭涛</w:t>
      </w:r>
    </w:p>
    <w:p>
      <w:pPr>
        <w:spacing w:after="120" w:before="120"/>
        <w:jc w:val="center"/>
      </w:pPr>
      <w:r>
        <w:rPr>
          <w:rFonts w:ascii="SimSun" w:cs="SimSun" w:eastAsia="SimSun" w:hAnsi="SimSun"/>
          <w:b/>
          <w:bCs/>
          <w:sz w:val="28"/>
          <w:szCs w:val="28"/>
        </w:rPr>
        <w:t xml:space="preserve">日       期：2026年3月</w:t>
      </w:r>
    </w:p>
    <w:p>
      <w:pPr>
        <w:spacing w:after="720" w:before="720"/>
      </w:pPr>
    </w:p>
    <w:p>
      <w:pPr>
        <w:pStyle w:val="Heading1"/>
      </w:pPr>
      <w:r>
        <w:t xml:space="preserve">1 课题主要研究内容及进度</w:t>
      </w:r>
    </w:p>
    <w:p>
      <w:pPr>
        <w:pStyle w:val="Heading2"/>
      </w:pPr>
      <w:r>
        <w:t xml:space="preserve">1.1 课题主要研究内容</w:t>
      </w:r>
    </w:p>
    <w:p>
      <w:pPr>
        <w:ind w:firstLine="480"/>
      </w:pPr>
      <w:r>
        <w:t xml:space="preserve">本课题旨在针对传统 GNSS 无线电掩星（Radio Occultation, RO）物理反演算法中存在的误差累积与假设局限问题，构建一套基于深度学习的端到端气象要素反演系统。核心创新在于引入条件扩散模型（Conditional Diffusion Model），旨在跳过传统的阿贝尔（Abel）积分与一维变分（1D-Var）等级联步骤，直接从弯曲角（Bending Angle）廓线重构大气温度与气压的垂直精细结构。主要研究内容涵盖：</w:t>
      </w:r>
    </w:p>
    <w:p>
      <w:pPr>
        <w:ind w:firstLine="480"/>
      </w:pPr>
      <w:r>
        <w:t xml:space="preserve">（1）掩星观测数据集的标准化构建：基于风云三号D星（FY-3D）GNOS掩星数据，建立严格的多级物理质量控制流水线。</w:t>
      </w:r>
    </w:p>
    <w:p>
      <w:pPr>
        <w:ind w:firstLine="480"/>
      </w:pPr>
      <w:r>
        <w:t xml:space="preserve">（2）端到端扩散反演模型的构建：设计并实现融合交叉注意力机制的条件扩散模型架构。</w:t>
      </w:r>
    </w:p>
    <w:p>
      <w:pPr>
        <w:ind w:firstLine="480"/>
      </w:pPr>
      <w:r>
        <w:t xml:space="preserve">（3）反演精度的系统性评估：利用多维度定量指标（RMSE、Bias、相关系数等）对反演的大气廓线进行全面验证。</w:t>
      </w:r>
    </w:p>
    <w:p>
      <w:pPr>
        <w:ind w:firstLine="480"/>
      </w:pPr>
      <w:r>
        <w:t xml:space="preserve">（4）工程化封装与系统开发：将反演算法部署并封装为模块化 Python 工具包，并开发相应的 Web 可视化交互平台。</w:t>
      </w:r>
    </w:p>
    <w:p>
      <w:pPr>
        <w:pStyle w:val="Heading2"/>
      </w:pPr>
      <w:r>
        <w:t xml:space="preserve">1.2 进度介绍</w:t>
      </w:r>
    </w:p>
    <w:p>
      <w:pPr>
        <w:ind w:firstLine="480"/>
      </w:pPr>
      <w:r>
        <w:t xml:space="preserve">当前课题研究正严格按照开题报告中的时间节点稳步推进。截至目前，已圆满完成前期数据处理流水线的搭建、核心模型架构（EnhancedConditionalUNet1D）的设计与代码实现，并初步完成了基于全量采样步数的推理验证工作。此外，项目已形成高度模块化的 ro_retrieval 软件包，实现了从数据清洗到模型评估的闭环。后续工作将重点聚焦于采样算法加速（DDIM）、温度反演精度联合优化以及终端可视化系统的开发落地。</w:t>
      </w:r>
    </w:p>
    <w:p>
      <w:pPr>
        <w:pStyle w:val="Heading1"/>
      </w:pPr>
      <w:r>
        <w:t xml:space="preserve">2 已完成的研究工作及结果</w:t>
      </w:r>
    </w:p>
    <w:p>
      <w:pPr>
        <w:pStyle w:val="Heading2"/>
      </w:pPr>
      <w:r>
        <w:t xml:space="preserve">2.1 数据集构建与预处理</w:t>
      </w:r>
    </w:p>
    <w:p>
      <w:pPr>
        <w:ind w:firstLine="480"/>
      </w:pPr>
      <w:r>
        <w:t xml:space="preserve">成功提取并深度处理了覆盖 2025 年第一季度（1-3月）的 FY-3D GNOS L2 ATP 级观测数据。针对原始的 42,871 个数据文件，设计并实施了包含 7 项指标的严密质量控制（QC）体系，最终保留 37,171 条高质量有效廓线（通过率达 86.7%）。</w:t>
      </w:r>
    </w:p>
    <w:p>
      <w:pPr>
        <w:ind w:firstLine="480"/>
      </w:pPr>
      <w:r>
        <w:t xml:space="preserve">具体质控与处理策略包括：</w:t>
      </w:r>
    </w:p>
    <w:p>
      <w:pPr>
        <w:ind w:firstLine="480"/>
      </w:pPr>
      <w:r>
        <w:t xml:space="preserve">（1）元数据筛选：严格限定官方质量标志位为最高置信度（qc=100）。</w:t>
      </w:r>
    </w:p>
    <w:p>
      <w:pPr>
        <w:ind w:firstLine="480"/>
      </w:pPr>
      <w:r>
        <w:t xml:space="preserve">（2）物理边界约束：剔除不符合大气热力学规律的异常值（设定温度阈值为 150-350 K，气压阈值为 0.01-1100 mb）。</w:t>
      </w:r>
    </w:p>
    <w:p>
      <w:pPr>
        <w:ind w:firstLine="480"/>
      </w:pPr>
      <w:r>
        <w:t xml:space="preserve">（3）廓线结构检查：验证气压随高度下降的绝对单调性，并确保廓线高度充分覆盖 0-60 km 的大气层。</w:t>
      </w:r>
    </w:p>
    <w:p>
      <w:pPr>
        <w:ind w:firstLine="480"/>
      </w:pPr>
      <w:r>
        <w:t xml:space="preserve">关键技术突破：鉴于大气气压随高度呈指数衰减的物理特性，其数值跨越四个数量级（0.07-1099.76 mb）。若直接输入网络，长尾分布将极易导致模型在训练时出现梯度异常。本研究创新性地引入了非线性预处理策略（对数变换结合 Z-Score 标准化），成功将气压数据分布收敛至 [-2.09, 1.79] 区间，极大提升了扩散模型的收敛速度与训练鲁棒性。处理后的数据以 70:15:15 的比例严格划分为训练集（26,019 样本）、验证集（5,575 样本）与测试集（5,577 样本），并统一重采样至 301 层标准垂直高度网格。</w:t>
      </w:r>
    </w:p>
    <w:p>
      <w:pPr>
        <w:pStyle w:val="Heading2"/>
      </w:pPr>
      <w:r>
        <w:t xml:space="preserve">2.2 模型架构设计与实现</w:t>
      </w:r>
    </w:p>
    <w:p>
      <w:pPr>
        <w:ind w:firstLine="480"/>
      </w:pPr>
      <w:r>
        <w:t xml:space="preserve">本课题自主设计并实现了面向一维序列数据的增强型条件扩散模型网络（EnhancedConditionalUNet1D），网络参数总量约为 111 万。</w:t>
      </w:r>
    </w:p>
    <w:p>
      <w:pPr>
        <w:ind w:firstLine="480"/>
      </w:pPr>
      <w:r>
        <w:t xml:space="preserve">核心架构创新及技术细节如下：</w:t>
      </w:r>
    </w:p>
    <w:p>
      <w:pPr>
        <w:ind w:firstLine="480"/>
      </w:pPr>
      <w:r>
        <w:t xml:space="preserve">（1）多尺度特征提取架构：基于 U-Net 范式，构建包含三级特征金字塔的编码器-解码器网络。通过跳跃连接（Skip Connections）实现全局语义特征与局部高频细节特征的有效融合，这对保留大气廓线中的逆温层等细微物理结构至关重要。</w:t>
      </w:r>
    </w:p>
    <w:p>
      <w:pPr>
        <w:ind w:firstLine="480"/>
      </w:pPr>
      <w:r>
        <w:t xml:space="preserve">（2）交叉注意力条件注入（Cross-Attention）：在网络的每个尺度层引入交叉注意力机制。将预处理后的弯曲角廓线作为条件向量，引导去噪网络在每一步生成过程中动态聚焦于高度相关的物理特征，实现了强关联的条件特征映射。</w:t>
      </w:r>
    </w:p>
    <w:p>
      <w:pPr>
        <w:ind w:firstLine="480"/>
      </w:pPr>
      <w:r>
        <w:t xml:space="preserve">（3）残差结构与归一化：采用融入了 GroupNorm 与 SiLU 激活函数的残差块（Residual Block），有效缓解了深层网络的梯度衰减问题，增强了模型对大气要素非线性特征的表征能力。</w:t>
      </w:r>
    </w:p>
    <w:p>
      <w:pPr>
        <w:ind w:firstLine="480"/>
      </w:pPr>
      <w:r>
        <w:t xml:space="preserve">（4）时间步嵌入（Time Embedding）：利用正弦位置编码捕捉扩散过程的时间演化动态，并通过多层感知机（MLP）注入每一网络层，使模型能够自适应不同噪声尺度下的去噪策略。</w:t>
      </w:r>
    </w:p>
    <w:p>
      <w:pPr>
        <w:pStyle w:val="Heading2"/>
      </w:pPr>
      <w:r>
        <w:t xml:space="preserve">2.3 模型训练与优化</w:t>
      </w:r>
    </w:p>
    <w:p>
      <w:pPr>
        <w:ind w:firstLine="480"/>
      </w:pPr>
      <w:r>
        <w:t xml:space="preserve">模型训练部署于高性能计算平台（Tesla V100-PCIE-32GB GPU）。训练配置采用批量大小 64，Adam 优化器初始学习率设为 1e-4，并引入容忍度（patience）为 20 的早停（Early Stopping）机制以防止过拟合。</w:t>
      </w:r>
    </w:p>
    <w:p>
      <w:pPr>
        <w:ind w:firstLine="480"/>
      </w:pPr>
      <w:r>
        <w:t xml:space="preserve">经过 100 个 Epoch 的持续迭代，模型在验证集上的损失平稳下降，最终取得最佳验证损失 0.014280。对比采用单月数据（约 9,244 样本）训练的基线模型，引入第一季度全量数据后，模型泛化性能取得显著突破：验证集损失相对下降 15.4%。这表明扩大时空采样范围有效丰富了模型对复杂气象模态的学习能力。</w:t>
      </w:r>
    </w:p>
    <w:p>
      <w:pPr>
        <w:pStyle w:val="Heading2"/>
      </w:pPr>
      <w:r>
        <w:t xml:space="preserve">2.4 推理验证与性能评估</w:t>
      </w:r>
    </w:p>
    <w:p>
      <w:pPr>
        <w:ind w:firstLine="480"/>
      </w:pPr>
      <w:r>
        <w:t xml:space="preserve">在包含 5,577 个样本的独立测试集上，采用经典的去噪扩散概率模型（DDPM）标准 1000 步采样策略进行了系统性验证。</w:t>
      </w:r>
    </w:p>
    <w:p>
      <w:pPr>
        <w:spacing w:after="120" w:before="240"/>
        <w:jc w:val="center"/>
      </w:pPr>
      <w:r>
        <w:rPr>
          <w:b/>
          <w:bCs/>
        </w:rPr>
        <w:t xml:space="preserve">表1 模型推理性能定量评估结果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shd w:fill="E0E0E0" w:val="clear"/>
          </w:tcPr>
          <w:p>
            <w:pPr>
              <w:jc w:val="center"/>
            </w:pPr>
            <w:r>
              <w:t xml:space="preserve">变量</w:t>
            </w:r>
          </w:p>
        </w:tc>
        <w:tc>
          <w:tcPr>
            <w:tcW w:type="dxa" w:w="2342"/>
            <w:shd w:fill="E0E0E0" w:val="clear"/>
          </w:tcPr>
          <w:p>
            <w:pPr>
              <w:jc w:val="center"/>
            </w:pPr>
            <w:r>
              <w:t xml:space="preserve">RMSE</w:t>
            </w:r>
          </w:p>
        </w:tc>
        <w:tc>
          <w:tcPr>
            <w:tcW w:type="dxa" w:w="2342"/>
            <w:shd w:fill="E0E0E0" w:val="clear"/>
          </w:tcPr>
          <w:p>
            <w:pPr>
              <w:jc w:val="center"/>
            </w:pPr>
            <w:r>
              <w:t xml:space="preserve">Bias</w:t>
            </w:r>
          </w:p>
        </w:tc>
        <w:tc>
          <w:tcPr>
            <w:tcW w:type="dxa" w:w="2342"/>
            <w:shd w:fill="E0E0E0" w:val="clear"/>
          </w:tcPr>
          <w:p>
            <w:pPr>
              <w:jc w:val="center"/>
            </w:pPr>
            <w:r>
              <w:t xml:space="preserve">相关系数 (CC)</w:t>
            </w:r>
          </w:p>
        </w:tc>
      </w:tr>
      <w:tr>
        <w:tc>
          <w:tcPr>
            <w:tcW w:type="dxa" w:w="2000"/>
          </w:tcPr>
          <w:p>
            <w:pPr>
              <w:jc w:val="center"/>
            </w:pPr>
            <w:r>
              <w:t xml:space="preserve">温度</w:t>
            </w:r>
          </w:p>
        </w:tc>
        <w:tc>
          <w:tcPr>
            <w:tcW w:type="dxa" w:w="2342"/>
          </w:tcPr>
          <w:p>
            <w:pPr>
              <w:jc w:val="center"/>
            </w:pPr>
            <w:r>
              <w:t xml:space="preserve">26.26 K</w:t>
            </w:r>
          </w:p>
        </w:tc>
        <w:tc>
          <w:tcPr>
            <w:tcW w:type="dxa" w:w="2342"/>
          </w:tcPr>
          <w:p>
            <w:pPr>
              <w:jc w:val="center"/>
            </w:pPr>
            <w:r>
              <w:t xml:space="preserve">-1.89 K</w:t>
            </w:r>
          </w:p>
        </w:tc>
        <w:tc>
          <w:tcPr>
            <w:tcW w:type="dxa" w:w="2342"/>
          </w:tcPr>
          <w:p>
            <w:pPr>
              <w:jc w:val="center"/>
            </w:pPr>
            <w:r>
              <w:t xml:space="preserve">0.2483</w:t>
            </w:r>
          </w:p>
        </w:tc>
      </w:tr>
      <w:tr>
        <w:tc>
          <w:tcPr>
            <w:tcW w:type="dxa" w:w="2000"/>
          </w:tcPr>
          <w:p>
            <w:pPr>
              <w:jc w:val="center"/>
            </w:pPr>
            <w:r>
              <w:t xml:space="preserve">气压</w:t>
            </w:r>
          </w:p>
        </w:tc>
        <w:tc>
          <w:tcPr>
            <w:tcW w:type="dxa" w:w="2342"/>
          </w:tcPr>
          <w:p>
            <w:pPr>
              <w:jc w:val="center"/>
            </w:pPr>
            <w:r>
              <w:t xml:space="preserve">123.44 mb</w:t>
            </w:r>
          </w:p>
        </w:tc>
        <w:tc>
          <w:tcPr>
            <w:tcW w:type="dxa" w:w="2342"/>
          </w:tcPr>
          <w:p>
            <w:pPr>
              <w:jc w:val="center"/>
            </w:pPr>
            <w:r>
              <w:t xml:space="preserve">-35.21 mb</w:t>
            </w:r>
          </w:p>
        </w:tc>
        <w:tc>
          <w:tcPr>
            <w:tcW w:type="dxa" w:w="2342"/>
          </w:tcPr>
          <w:p>
            <w:pPr>
              <w:jc w:val="center"/>
            </w:pPr>
            <w:r>
              <w:t xml:space="preserve">0.8185</w:t>
            </w:r>
          </w:p>
        </w:tc>
      </w:tr>
    </w:tbl>
    <w:p>
      <w:pPr>
        <w:spacing w:before="240"/>
      </w:pPr>
    </w:p>
    <w:p>
      <w:pPr>
        <w:ind w:firstLine="480"/>
      </w:pPr>
      <w:r>
        <w:t xml:space="preserve">结果分析：</w:t>
      </w:r>
    </w:p>
    <w:p>
      <w:pPr>
        <w:ind w:firstLine="480"/>
      </w:pPr>
      <w:r>
        <w:t xml:space="preserve">（1）气压反演表现优异，皮尔逊相关系数（CC）高达 0.82，RMSE 较基线模型降低 15.9%。从大气物理学角度分析，由于弯曲角与大气折射率和密度直接相关，而密度与气压在流体静力学平衡下具有强耦合关系，模型成功捕获了这一潜在的物理映射机制。</w:t>
      </w:r>
    </w:p>
    <w:p>
      <w:pPr>
        <w:ind w:firstLine="480"/>
      </w:pPr>
      <w:r>
        <w:t xml:space="preserve">（2）温度反演精度存在一定的优化空间（CC 为 0.25）。由于温度属于衍生变量，在对流层中低层受水汽影响剧烈（存在著名的“温湿模糊”现象），纯数据驱动模型在剥离水汽影响、捕捉高频温度脉动方面存在内在难度。</w:t>
      </w:r>
    </w:p>
    <w:p>
      <w:pPr>
        <w:ind w:firstLine="480"/>
      </w:pPr>
      <w:r>
        <w:t xml:space="preserve">（3）效率瓶颈：当前 DDPM 的马尔可夫采样链导致推理效率较低，1000 步采样处理测试集耗时约 36 分钟（单样本 0.39 秒），限制了其实时业务化应用潜力。</w:t>
      </w:r>
    </w:p>
    <w:p>
      <w:pPr>
        <w:pStyle w:val="Heading1"/>
      </w:pPr>
      <w:r>
        <w:t xml:space="preserve">3 后期拟完成的研究工作及进度安排</w:t>
      </w:r>
    </w:p>
    <w:p>
      <w:pPr>
        <w:pStyle w:val="Heading2"/>
      </w:pPr>
      <w:r>
        <w:t xml:space="preserve">3.1 研究内容</w:t>
      </w:r>
    </w:p>
    <w:p>
      <w:pPr>
        <w:ind w:firstLine="480"/>
      </w:pPr>
      <w:r>
        <w:t xml:space="preserve">（1）基于隐式采样的推理加速优化：针对 DDPM 推理耗时过长的问题，深入剖析去噪扩散隐式模型（DDIM）在当前数据域下的非马尔可夫采样轨迹，通过重参数化常微分方程（ODE）求解器，在保证反演精度的前提下将采样步数压缩至 100 步以内。</w:t>
      </w:r>
    </w:p>
    <w:p>
      <w:pPr>
        <w:ind w:firstLine="480"/>
      </w:pPr>
      <w:r>
        <w:t xml:space="preserve">（2）物理先验约束下的温度精度攻关：探索将大气温度递减率、流体静力学方程等先验知识转化为正则化损失项，或联合湿度要素进行多任务协同学习，以期将温度反演相关系数提升至 0.4 以上。</w:t>
      </w:r>
    </w:p>
    <w:p>
      <w:pPr>
        <w:ind w:firstLine="480"/>
      </w:pPr>
      <w:r>
        <w:t xml:space="preserve">（3）系统级封装与可视化平台落地：完成 ro_retrieval 算法库的标准化发布，并利用 Streamlit 框架搭建响应式的 Web 可视化分析平台，打通数据解析、在线推理与指标可视化的全链路。</w:t>
      </w:r>
    </w:p>
    <w:p>
      <w:pPr>
        <w:ind w:firstLine="480"/>
      </w:pPr>
      <w:r>
        <w:t xml:space="preserve">（4）论文撰写与学术总结：系统性总结研究方法与实验数据，规范撰写毕业论文并完善答辩评审材料。</w:t>
      </w:r>
    </w:p>
    <w:p>
      <w:pPr>
        <w:pStyle w:val="Heading2"/>
      </w:pPr>
      <w:r>
        <w:t xml:space="preserve">3.2 进度安排</w:t>
      </w:r>
    </w:p>
    <w:p>
      <w:pPr>
        <w:ind w:firstLine="480"/>
      </w:pPr>
      <w:r>
        <w:t xml:space="preserve">- 2026年3月上旬：攻克 DDIM 加速采样中的数值不稳定问题，完成推理引擎的性能调优。</w:t>
      </w:r>
    </w:p>
    <w:p>
      <w:pPr>
        <w:ind w:firstLine="480"/>
      </w:pPr>
      <w:r>
        <w:t xml:space="preserve">- 2026年3月中旬：实现系统工程化封装，完成 Streamlit 交互式 Web 界面的部署与测试。</w:t>
      </w:r>
    </w:p>
    <w:p>
      <w:pPr>
        <w:ind w:firstLine="480"/>
      </w:pPr>
      <w:r>
        <w:t xml:space="preserve">- 2026年3月下旬 - 4月上旬：启动毕业论文初稿撰写，重点完善方法论推导与消融实验分析。</w:t>
      </w:r>
    </w:p>
    <w:p>
      <w:pPr>
        <w:ind w:firstLine="480"/>
      </w:pPr>
      <w:r>
        <w:t xml:space="preserve">- 2026年4月中旬：根据指导教师反馈进行论文多轮润色与查重，定稿并制作答辩展示材料。</w:t>
      </w:r>
    </w:p>
    <w:p>
      <w:pPr>
        <w:ind w:firstLine="480"/>
      </w:pPr>
      <w:r>
        <w:t xml:space="preserve">- 2026年4月下旬：进行项目演示筹备并参加最终毕业答辩。</w:t>
      </w:r>
    </w:p>
    <w:p>
      <w:pPr>
        <w:pStyle w:val="Heading1"/>
      </w:pPr>
      <w:r>
        <w:t xml:space="preserve">4 存在的困难及解决方案</w:t>
      </w:r>
    </w:p>
    <w:p>
      <w:pPr>
        <w:pStyle w:val="Heading2"/>
      </w:pPr>
      <w:r>
        <w:t xml:space="preserve">4.1 存在的困难</w:t>
      </w:r>
    </w:p>
    <w:p>
      <w:pPr>
        <w:ind w:firstLine="480"/>
      </w:pPr>
      <w:r>
        <w:t xml:space="preserve">（1）非马尔可夫加速采样（DDIM）轨迹崩溃：尝试应用 DDIM 将采样步数由 1000 步激进削减至 50 步时，输出结果出现灾难性发散（相关系数趋零，RMSE 极度膨胀）。初步技术分析表明，由于大气廓线包含严密的流体静力学约束，步长过大可能导致 ODE 求解器在反向积分过程中偏离真实的数据流形（Data Manifold），加之噪声调度（Noise Schedule）未针对大步长进行重标定，引发了累积截断误差。</w:t>
      </w:r>
    </w:p>
    <w:p>
      <w:pPr>
        <w:ind w:firstLine="480"/>
      </w:pPr>
      <w:r>
        <w:t xml:space="preserve">（2）温度垂直结构的特征解耦困难：当前温度预测的相关性显著落后于气压。在掩星物理学中，低层大气的折射率由温度和水汽共同主导。当前模型在缺乏先验背景场或同步湿度标签指导的情况下，难以通过单一的弯曲角观测自发解耦独立的温度信号。</w:t>
      </w:r>
    </w:p>
    <w:p>
      <w:pPr>
        <w:ind w:firstLine="480"/>
      </w:pPr>
      <w:r>
        <w:t xml:space="preserve">（3）工业级应用的实时性制约：当前依赖完整 DDPM 链的生成过程耗时偏高，距离掩星数据同化系统对高时效性的要求仍有差距。</w:t>
      </w:r>
    </w:p>
    <w:p>
      <w:pPr>
        <w:pStyle w:val="Heading2"/>
      </w:pPr>
      <w:r>
        <w:t xml:space="preserve">4.2 解决方案</w:t>
      </w:r>
    </w:p>
    <w:p>
      <w:pPr>
        <w:ind w:firstLine="480"/>
      </w:pPr>
      <w:r>
        <w:t xml:space="preserve">（1）针对 DDIM 崩溃的数值解算优化：</w:t>
      </w:r>
    </w:p>
    <w:p>
      <w:pPr>
        <w:ind w:firstLine="960"/>
      </w:pPr>
      <w:r>
        <w:t xml:space="preserve">- 引入阶梯式降步策略：不再直接降至 50 步，而是从 500、200 至 100 步进行梯度实验，寻找精度与速度的帕累托最优边界。</w:t>
      </w:r>
    </w:p>
    <w:p>
      <w:pPr>
        <w:ind w:firstLine="960"/>
      </w:pPr>
      <w:r>
        <w:t xml:space="preserve">- 调度器修正：微调 DDIM 方程中的控制参数，引入适量随机微扰以稳定数值积分。</w:t>
      </w:r>
    </w:p>
    <w:p>
      <w:pPr>
        <w:ind w:firstLine="960"/>
      </w:pPr>
      <w:r>
        <w:t xml:space="preserve">- 引入高阶求解器：尝试将基础的 DDIM 替换为更先进的 DPM-Solver，利用高阶泰勒展开减少采样截断误差。</w:t>
      </w:r>
    </w:p>
    <w:p>
      <w:pPr>
        <w:ind w:firstLine="480"/>
      </w:pPr>
      <w:r>
        <w:t xml:space="preserve">（2）突破温度反演瓶颈的先验融合方案：</w:t>
      </w:r>
    </w:p>
    <w:p>
      <w:pPr>
        <w:ind w:firstLine="960"/>
      </w:pPr>
      <w:r>
        <w:t xml:space="preserve">- 联合反演机制：在模型输出端增加湿度通道，实施多变量多任务学习（Multi-Task Learning），促使网络学习温湿耦合关系，以此反向提升温度预测的准确度。</w:t>
      </w:r>
    </w:p>
    <w:p>
      <w:pPr>
        <w:ind w:firstLine="960"/>
      </w:pPr>
      <w:r>
        <w:t xml:space="preserve">- 物理损失正则化：在 MSE 损失的基础上，增加对温度随高度梯度（递减率）的惩罚项，抑制违背热力学规律的异常震荡预测。</w:t>
      </w:r>
    </w:p>
    <w:p>
      <w:pPr>
        <w:ind w:firstLine="480"/>
      </w:pPr>
      <w:r>
        <w:t xml:space="preserve">（3）推理引擎加速与轻量化：</w:t>
      </w:r>
    </w:p>
    <w:p>
      <w:pPr>
        <w:ind w:firstLine="960"/>
      </w:pPr>
      <w:r>
        <w:t xml:space="preserve">- 在代码层面实现张量化（Tensorized）的批量并行推理（Batch Inference），充分压榨 GPU 的流处理器算力。</w:t>
      </w:r>
    </w:p>
    <w:p>
      <w:pPr>
        <w:ind w:firstLine="960"/>
      </w:pPr>
      <w:r>
        <w:t xml:space="preserve">- 若算法层加速仍不理想，考虑运用知识蒸馏（Knowledge Distillation）技术压缩模型体积。</w:t>
      </w:r>
    </w:p>
    <w:p>
      <w:pPr>
        <w:pStyle w:val="Heading1"/>
      </w:pPr>
      <w:r>
        <w:t xml:space="preserve">5 论文按时完成的可能性</w:t>
      </w:r>
    </w:p>
    <w:p>
      <w:pPr>
        <w:ind w:firstLine="480"/>
      </w:pPr>
      <w:r>
        <w:t xml:space="preserve">基于课题当前的系统实现与数据积累，本项目具备极高的按期完成可行性，能够如期产出高质量学术成果。</w:t>
      </w:r>
    </w:p>
    <w:p>
      <w:pPr>
        <w:ind w:firstLine="480"/>
      </w:pPr>
      <w:r>
        <w:t xml:space="preserve">支撑依据如下：</w:t>
      </w:r>
    </w:p>
    <w:p>
      <w:pPr>
        <w:ind w:firstLine="480"/>
      </w:pPr>
      <w:r>
        <w:t xml:space="preserve">（1）研究基石已完全筑牢：最耗时的数据清洗流水线、模型架构试错以及基础版 DDPM 训练已全部顺利落地，且气压反演的优异表现（CC=0.82）已从经验上验证了“扩散模型应用于掩星反演”这一核心科学假设的正确性。</w:t>
      </w:r>
    </w:p>
    <w:p>
      <w:pPr>
        <w:ind w:firstLine="480"/>
      </w:pPr>
      <w:r>
        <w:t xml:space="preserve">（2）后续研发风险高度可控：剩余面临的技术挑战（如 DDIM 加速、温度精度提升）主要属于系统优化层面的工作。即使加速算法未达极速预期，当前的完整采样模型结合批处理优化，已足以支撑完整的毕业设计系统交付。</w:t>
      </w:r>
    </w:p>
    <w:p>
      <w:pPr>
        <w:ind w:firstLine="480"/>
      </w:pPr>
      <w:r>
        <w:t xml:space="preserve">（3）工程与理论工作无缝衔接：核心算法已成功封装为模块化 Python 包，为后续的 Web 界面开发铺平了道路，大幅缩短了系统集成时间。</w:t>
      </w:r>
    </w:p>
    <w:p>
      <w:pPr>
        <w:ind w:firstLine="480"/>
      </w:pPr>
      <w:r>
        <w:t xml:space="preserve">（4）软硬件资源保障充沛：算法部署的 GPU 算力资源、完整的高精度掩星数据集以及实验环境均稳定运行，不存在阻碍项目推进的外部依赖风险。</w:t>
      </w:r>
    </w:p>
    <w:p>
      <w:pPr>
        <w:ind w:firstLine="480"/>
      </w:pPr>
      <w:r>
        <w:t xml:space="preserve">综上评估，本课题进度把控严密，预期将顺利交付一套兼具学术创新性与工程实用性的掩星反演平台，并高质量完成毕业设计论文撰写。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SimHei" w:cs="SimHei" w:eastAsia="SimHei" w:hAnsi="SimHei"/>
      <w:b/>
      <w:bCs/>
      <w:sz w:val="32"/>
      <w:szCs w:val="32"/>
    </w:rPr>
  </w:style>
  <w:style w:type="paragraph" w:styleId="Heading2">
    <w:name w:val="Heading 2"/>
    <w:basedOn w:val="Normal"/>
    <w:next w:val="Normal"/>
    <w:qFormat/>
    <w:pPr>
      <w:spacing w:after="180" w:before="180"/>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2026-03-08T07:25:25.883Z</dcterms:created>
  <dcterms:modified xsi:type="dcterms:W3CDTF">2026-03-08T07:25:25.884Z</dcterms:modified>
</cp:coreProperties>
</file>

<file path=docProps/custom.xml><?xml version="1.0" encoding="utf-8"?>
<Properties xmlns="http://schemas.openxmlformats.org/officeDocument/2006/custom-properties" xmlns:vt="http://schemas.openxmlformats.org/officeDocument/2006/docPropsVTypes"/>
</file>