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ED549A">
      <w:pPr>
        <w:jc w:val="center"/>
      </w:pPr>
      <w:r>
        <w:rPr>
          <w:b/>
          <w:sz w:val="36"/>
        </w:rPr>
        <w:t>LAB 1 REPORT</w:t>
      </w:r>
      <w:r>
        <w:rPr>
          <w:b/>
          <w:sz w:val="36"/>
        </w:rPr>
        <w:br w:type="textWrapping"/>
      </w:r>
      <w:r>
        <w:rPr>
          <w:b/>
          <w:sz w:val="36"/>
        </w:rPr>
        <w:t>ARTIFICIAL INTELLIGENCE FUNDAMENTALS</w:t>
      </w:r>
    </w:p>
    <w:p w14:paraId="7E2F369D">
      <w:pPr>
        <w:jc w:val="center"/>
      </w:pPr>
      <w:r>
        <w:t>Student Name: ____</w:t>
      </w:r>
      <w:r>
        <w:rPr>
          <w:rFonts w:hint="default"/>
          <w:lang w:val="en-US"/>
        </w:rPr>
        <w:t>IRSAM FATIMA</w:t>
      </w:r>
      <w:r>
        <w:t>________________    Course/Section: ____</w:t>
      </w:r>
      <w:r>
        <w:rPr>
          <w:rFonts w:hint="default"/>
          <w:lang w:val="en-US"/>
        </w:rPr>
        <w:t>BSAI-3D</w:t>
      </w:r>
      <w:r>
        <w:t>________________</w:t>
      </w:r>
    </w:p>
    <w:p w14:paraId="01F78AB9">
      <w:pPr>
        <w:jc w:val="center"/>
        <w:rPr>
          <w:rFonts w:hint="default"/>
          <w:u w:val="single"/>
          <w:lang w:val="en-US"/>
        </w:rPr>
      </w:pPr>
      <w:r>
        <w:rPr>
          <w:rFonts w:hint="default"/>
          <w:u w:val="none"/>
          <w:lang w:val="en-US"/>
        </w:rPr>
        <w:t>Roll Number:</w:t>
      </w:r>
      <w:r>
        <w:rPr>
          <w:rFonts w:hint="default"/>
          <w:u w:val="single"/>
          <w:lang w:val="en-US"/>
        </w:rPr>
        <w:t xml:space="preserve"> SU92-BSAIM-F25-223</w:t>
      </w:r>
    </w:p>
    <w:p w14:paraId="7ED1B483">
      <w:pPr>
        <w:jc w:val="center"/>
      </w:pPr>
      <w:r>
        <w:rPr>
          <w:u w:val="none"/>
        </w:rPr>
        <w:br w:type="textWrapping"/>
      </w:r>
      <w:r>
        <w:t>Instructor: _________</w:t>
      </w:r>
      <w:r>
        <w:rPr>
          <w:rFonts w:hint="default"/>
          <w:lang w:val="en-US"/>
        </w:rPr>
        <w:t>MR. RASIKH</w:t>
      </w:r>
      <w:r>
        <w:t xml:space="preserve">______________   </w:t>
      </w:r>
    </w:p>
    <w:p w14:paraId="3D51532D">
      <w:pPr>
        <w:pStyle w:val="2"/>
      </w:pPr>
      <w:r>
        <w:t>1. Introduction and Objectives</w:t>
      </w:r>
    </w:p>
    <w:p w14:paraId="3F04C565">
      <w:r>
        <w:t>This lab explores three connected topics: historical milestones in artificial intelligence (AI), transparent rule-based decision-making, and the limits of conversational tests as evidence of general intelligence. The programming task uses a fictional scholarship example. It is a historical evidence and software-testing exercise, not a model-training exercise.</w:t>
      </w:r>
    </w:p>
    <w:p w14:paraId="2FC03F25">
      <w:r>
        <w:t>Objectives:</w:t>
      </w:r>
    </w:p>
    <w:p w14:paraId="53DEFE28">
      <w:pPr>
        <w:pStyle w:val="24"/>
      </w:pPr>
      <w:r>
        <w:t>Summarize at least five AI milestones chronologically, including an AI-winter period and a modern compute/data milestone.</w:t>
      </w:r>
    </w:p>
    <w:p w14:paraId="74593F52">
      <w:pPr>
        <w:pStyle w:val="24"/>
      </w:pPr>
      <w:r>
        <w:t>Implement explicit scholarship eligibility rules and test exactly four core cases.</w:t>
      </w:r>
    </w:p>
    <w:p w14:paraId="3627EE75">
      <w:pPr>
        <w:pStyle w:val="24"/>
      </w:pPr>
      <w:r>
        <w:t>Compare fluent conversational responses with reliable task performance.</w:t>
      </w:r>
    </w:p>
    <w:p w14:paraId="0EACE66F">
      <w:pPr>
        <w:pStyle w:val="24"/>
      </w:pPr>
      <w:r>
        <w:t>Identify limitations, edge cases, and responsible-use considerations.</w:t>
      </w:r>
    </w:p>
    <w:p w14:paraId="2EEED56F">
      <w:pPr>
        <w:pStyle w:val="2"/>
      </w:pPr>
      <w:r>
        <w:t>2. Historical Timeline of Artificial Intelligence</w:t>
      </w:r>
    </w:p>
    <w:p w14:paraId="03F8335B">
      <w:r>
        <w:t>The timeline below summarizes six milestones. Each entry includes its date, event, significance, and a source.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2"/>
        <w:gridCol w:w="1524"/>
        <w:gridCol w:w="1718"/>
        <w:gridCol w:w="5892"/>
      </w:tblGrid>
      <w:tr w14:paraId="78075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D9EAF7"/>
          </w:tcPr>
          <w:p w14:paraId="2A8252B8">
            <w:pPr>
              <w:spacing w:after="60" w:line="240" w:lineRule="auto"/>
            </w:pPr>
            <w:r>
              <w:rPr>
                <w:rFonts w:ascii="Arial" w:hAnsi="Arial"/>
                <w:b/>
                <w:sz w:val="16"/>
              </w:rPr>
              <w:t>Year / Period</w:t>
            </w:r>
          </w:p>
        </w:tc>
        <w:tc>
          <w:tcPr>
            <w:tcW w:w="2232" w:type="dxa"/>
            <w:shd w:val="clear" w:color="auto" w:fill="D9EAF7"/>
          </w:tcPr>
          <w:p w14:paraId="0F512406">
            <w:pPr>
              <w:spacing w:after="60" w:line="240" w:lineRule="auto"/>
            </w:pPr>
            <w:r>
              <w:rPr>
                <w:rFonts w:ascii="Arial" w:hAnsi="Arial"/>
                <w:b/>
                <w:sz w:val="16"/>
              </w:rPr>
              <w:t>Event</w:t>
            </w:r>
          </w:p>
        </w:tc>
        <w:tc>
          <w:tcPr>
            <w:tcW w:w="4680" w:type="dxa"/>
            <w:shd w:val="clear" w:color="auto" w:fill="D9EAF7"/>
          </w:tcPr>
          <w:p w14:paraId="40B9CBB2">
            <w:pPr>
              <w:spacing w:after="60" w:line="240" w:lineRule="auto"/>
            </w:pPr>
            <w:r>
              <w:rPr>
                <w:rFonts w:ascii="Arial" w:hAnsi="Arial"/>
                <w:b/>
                <w:sz w:val="16"/>
              </w:rPr>
              <w:t>Significance</w:t>
            </w:r>
          </w:p>
        </w:tc>
        <w:tc>
          <w:tcPr>
            <w:tcW w:w="1944" w:type="dxa"/>
            <w:shd w:val="clear" w:color="auto" w:fill="D9EAF7"/>
          </w:tcPr>
          <w:p w14:paraId="3E6E3F37">
            <w:pPr>
              <w:spacing w:after="60" w:line="240" w:lineRule="auto"/>
            </w:pPr>
            <w:r>
              <w:rPr>
                <w:rFonts w:ascii="Arial" w:hAnsi="Arial"/>
                <w:b/>
                <w:sz w:val="16"/>
              </w:rPr>
              <w:t>Source</w:t>
            </w:r>
          </w:p>
        </w:tc>
      </w:tr>
      <w:tr w14:paraId="71B05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F328583">
            <w:pPr>
              <w:spacing w:after="60" w:line="240" w:lineRule="auto"/>
            </w:pPr>
            <w:r>
              <w:rPr>
                <w:sz w:val="16"/>
              </w:rPr>
              <w:t>1950</w:t>
            </w:r>
          </w:p>
        </w:tc>
        <w:tc>
          <w:tcPr>
            <w:tcW w:w="2520" w:type="dxa"/>
          </w:tcPr>
          <w:p w14:paraId="578838E8">
            <w:pPr>
              <w:spacing w:after="60" w:line="240" w:lineRule="auto"/>
            </w:pPr>
            <w:r>
              <w:rPr>
                <w:sz w:val="16"/>
              </w:rPr>
              <w:t>Alan Turing proposes the imitation game</w:t>
            </w:r>
          </w:p>
        </w:tc>
        <w:tc>
          <w:tcPr>
            <w:tcW w:w="2520" w:type="dxa"/>
          </w:tcPr>
          <w:p w14:paraId="21B62B46">
            <w:pPr>
              <w:spacing w:after="60" w:line="240" w:lineRule="auto"/>
            </w:pPr>
            <w:r>
              <w:rPr>
                <w:sz w:val="16"/>
              </w:rPr>
              <w:t>In “Computing Machinery and Intelligence,” Turing proposed a behavioural conversation-based way to discuss whether a machine could exhibit intelligent behaviour.</w:t>
            </w:r>
          </w:p>
        </w:tc>
        <w:tc>
          <w:tcPr>
            <w:tcW w:w="2520" w:type="dxa"/>
          </w:tcPr>
          <w:p w14:paraId="298226E8">
            <w:pPr>
              <w:spacing w:after="60" w:line="240" w:lineRule="auto"/>
              <w:rPr>
                <w:sz w:val="16"/>
              </w:rPr>
            </w:pPr>
            <w:r>
              <w:rPr>
                <w:sz w:val="16"/>
              </w:rPr>
              <w:t xml:space="preserve">Turing, A. M. (1950), “Computing Machinery and Intelligence,” Mind. </w:t>
            </w:r>
            <w:r>
              <w:rPr>
                <w:sz w:val="16"/>
              </w:rPr>
              <w:fldChar w:fldCharType="begin"/>
            </w:r>
            <w:r>
              <w:rPr>
                <w:sz w:val="16"/>
              </w:rPr>
              <w:instrText xml:space="preserve"> HYPERLINK "https://doi.org/10.1093/mind/LIX.236.433" </w:instrText>
            </w:r>
            <w:r>
              <w:rPr>
                <w:sz w:val="16"/>
              </w:rPr>
              <w:fldChar w:fldCharType="separate"/>
            </w:r>
            <w:r>
              <w:rPr>
                <w:rStyle w:val="20"/>
                <w:sz w:val="16"/>
              </w:rPr>
              <w:t>https://doi.org/10.1093/mind/LIX.236.433</w:t>
            </w:r>
            <w:r>
              <w:rPr>
                <w:sz w:val="16"/>
              </w:rPr>
              <w:fldChar w:fldCharType="end"/>
            </w:r>
          </w:p>
          <w:p w14:paraId="761BF495">
            <w:pPr>
              <w:spacing w:after="60" w:line="240" w:lineRule="auto"/>
              <w:rPr>
                <w:sz w:val="16"/>
              </w:rPr>
            </w:pPr>
          </w:p>
        </w:tc>
      </w:tr>
      <w:tr w14:paraId="32D42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106FFBB">
            <w:pPr>
              <w:spacing w:after="60" w:line="240" w:lineRule="auto"/>
            </w:pPr>
            <w:r>
              <w:rPr>
                <w:sz w:val="16"/>
              </w:rPr>
              <w:t>1956</w:t>
            </w:r>
          </w:p>
        </w:tc>
        <w:tc>
          <w:tcPr>
            <w:tcW w:w="2520" w:type="dxa"/>
          </w:tcPr>
          <w:p w14:paraId="7E6E4417">
            <w:pPr>
              <w:spacing w:after="60" w:line="240" w:lineRule="auto"/>
            </w:pPr>
            <w:r>
              <w:rPr>
                <w:sz w:val="16"/>
              </w:rPr>
              <w:t>Dartmouth Summer Research Project on Artificial Intelligence</w:t>
            </w:r>
          </w:p>
        </w:tc>
        <w:tc>
          <w:tcPr>
            <w:tcW w:w="2520" w:type="dxa"/>
          </w:tcPr>
          <w:p w14:paraId="085FA2D7">
            <w:pPr>
              <w:spacing w:after="60" w:line="240" w:lineRule="auto"/>
            </w:pPr>
            <w:r>
              <w:rPr>
                <w:sz w:val="16"/>
              </w:rPr>
              <w:t>The Dartmouth workshop helped establish AI as a distinct research field and popularized the name “artificial intelligence.”</w:t>
            </w:r>
          </w:p>
        </w:tc>
        <w:tc>
          <w:tcPr>
            <w:tcW w:w="2520" w:type="dxa"/>
          </w:tcPr>
          <w:p w14:paraId="520EFA9D">
            <w:pPr>
              <w:spacing w:after="60" w:line="240" w:lineRule="auto"/>
              <w:rPr>
                <w:sz w:val="16"/>
              </w:rPr>
            </w:pPr>
            <w:r>
              <w:rPr>
                <w:sz w:val="16"/>
              </w:rPr>
              <w:t xml:space="preserve">Dartmouth, “The Founding and Future of AI.” </w:t>
            </w:r>
            <w:r>
              <w:rPr>
                <w:sz w:val="16"/>
              </w:rPr>
              <w:fldChar w:fldCharType="begin"/>
            </w:r>
            <w:r>
              <w:rPr>
                <w:sz w:val="16"/>
              </w:rPr>
              <w:instrText xml:space="preserve"> HYPERLINK "https://ai.dartmouth.edu/founding-and-future-ai" </w:instrText>
            </w:r>
            <w:r>
              <w:rPr>
                <w:sz w:val="16"/>
              </w:rPr>
              <w:fldChar w:fldCharType="separate"/>
            </w:r>
            <w:r>
              <w:rPr>
                <w:rStyle w:val="20"/>
                <w:sz w:val="16"/>
              </w:rPr>
              <w:t>https://ai.dartmouth.edu/founding-and-future-ai</w:t>
            </w:r>
            <w:r>
              <w:rPr>
                <w:sz w:val="16"/>
              </w:rPr>
              <w:fldChar w:fldCharType="end"/>
            </w:r>
          </w:p>
          <w:p w14:paraId="03A43C06">
            <w:pPr>
              <w:spacing w:after="60" w:line="240" w:lineRule="auto"/>
              <w:rPr>
                <w:sz w:val="16"/>
              </w:rPr>
            </w:pPr>
          </w:p>
        </w:tc>
      </w:tr>
      <w:tr w14:paraId="6775E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E82E2BC">
            <w:pPr>
              <w:spacing w:after="60" w:line="240" w:lineRule="auto"/>
            </w:pPr>
            <w:r>
              <w:rPr>
                <w:sz w:val="16"/>
              </w:rPr>
              <w:t>1958</w:t>
            </w:r>
          </w:p>
        </w:tc>
        <w:tc>
          <w:tcPr>
            <w:tcW w:w="2520" w:type="dxa"/>
          </w:tcPr>
          <w:p w14:paraId="251A9CE3">
            <w:pPr>
              <w:spacing w:after="60" w:line="240" w:lineRule="auto"/>
            </w:pPr>
            <w:r>
              <w:rPr>
                <w:sz w:val="16"/>
              </w:rPr>
              <w:t>Frank Rosenblatt’s perceptron</w:t>
            </w:r>
          </w:p>
        </w:tc>
        <w:tc>
          <w:tcPr>
            <w:tcW w:w="2520" w:type="dxa"/>
          </w:tcPr>
          <w:p w14:paraId="1D520146">
            <w:pPr>
              <w:spacing w:after="60" w:line="240" w:lineRule="auto"/>
            </w:pPr>
            <w:r>
              <w:rPr>
                <w:sz w:val="16"/>
              </w:rPr>
              <w:t>The perceptron was an early trainable pattern-recognition system and an important predecessor of modern neural networks.</w:t>
            </w:r>
          </w:p>
        </w:tc>
        <w:tc>
          <w:tcPr>
            <w:tcW w:w="2520" w:type="dxa"/>
          </w:tcPr>
          <w:p w14:paraId="7256357B">
            <w:pPr>
              <w:spacing w:after="60" w:line="240" w:lineRule="auto"/>
              <w:rPr>
                <w:sz w:val="16"/>
              </w:rPr>
            </w:pPr>
            <w:r>
              <w:rPr>
                <w:sz w:val="16"/>
              </w:rPr>
              <w:t xml:space="preserve">IBM, “The History of Artificial Intelligence.” </w:t>
            </w:r>
            <w:r>
              <w:rPr>
                <w:sz w:val="16"/>
              </w:rPr>
              <w:fldChar w:fldCharType="begin"/>
            </w:r>
            <w:r>
              <w:rPr>
                <w:sz w:val="16"/>
              </w:rPr>
              <w:instrText xml:space="preserve"> HYPERLINK "https://www.ibm.com/think/topics/history-of-artificial-intelligence" </w:instrText>
            </w:r>
            <w:r>
              <w:rPr>
                <w:sz w:val="16"/>
              </w:rPr>
              <w:fldChar w:fldCharType="separate"/>
            </w:r>
            <w:r>
              <w:rPr>
                <w:rStyle w:val="20"/>
                <w:sz w:val="16"/>
              </w:rPr>
              <w:t>https://www.ibm.com/think/topics/history-of-artificial-intelligence</w:t>
            </w:r>
            <w:r>
              <w:rPr>
                <w:sz w:val="16"/>
              </w:rPr>
              <w:fldChar w:fldCharType="end"/>
            </w:r>
          </w:p>
          <w:p w14:paraId="5E04B39A">
            <w:pPr>
              <w:spacing w:after="60" w:line="240" w:lineRule="auto"/>
              <w:rPr>
                <w:sz w:val="16"/>
              </w:rPr>
            </w:pPr>
          </w:p>
        </w:tc>
      </w:tr>
      <w:tr w14:paraId="1D80B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28C7FE6">
            <w:pPr>
              <w:spacing w:after="60" w:line="240" w:lineRule="auto"/>
            </w:pPr>
            <w:r>
              <w:rPr>
                <w:sz w:val="16"/>
              </w:rPr>
              <w:t>1974–1980</w:t>
            </w:r>
          </w:p>
        </w:tc>
        <w:tc>
          <w:tcPr>
            <w:tcW w:w="2520" w:type="dxa"/>
          </w:tcPr>
          <w:p w14:paraId="34F9987E">
            <w:pPr>
              <w:spacing w:after="60" w:line="240" w:lineRule="auto"/>
            </w:pPr>
            <w:r>
              <w:rPr>
                <w:sz w:val="16"/>
              </w:rPr>
              <w:t>First AI winter</w:t>
            </w:r>
          </w:p>
        </w:tc>
        <w:tc>
          <w:tcPr>
            <w:tcW w:w="2520" w:type="dxa"/>
          </w:tcPr>
          <w:p w14:paraId="512DD54B">
            <w:pPr>
              <w:spacing w:after="60" w:line="240" w:lineRule="auto"/>
            </w:pPr>
            <w:r>
              <w:rPr>
                <w:sz w:val="16"/>
              </w:rPr>
              <w:t>After expectations outpaced practical results, confidence and funding for parts of AI research declined, illustrating the impact of unmet promises.</w:t>
            </w:r>
          </w:p>
        </w:tc>
        <w:tc>
          <w:tcPr>
            <w:tcW w:w="2520" w:type="dxa"/>
          </w:tcPr>
          <w:p w14:paraId="1D5BA7CD">
            <w:pPr>
              <w:spacing w:after="60" w:line="240" w:lineRule="auto"/>
              <w:rPr>
                <w:sz w:val="16"/>
              </w:rPr>
            </w:pPr>
            <w:r>
              <w:rPr>
                <w:sz w:val="16"/>
              </w:rPr>
              <w:t xml:space="preserve">MIT Lincoln Laboratory, “Artificial Intelligence: Short History, Present Developments, and Future Outlook.” </w:t>
            </w:r>
            <w:r>
              <w:rPr>
                <w:sz w:val="16"/>
              </w:rPr>
              <w:fldChar w:fldCharType="begin"/>
            </w:r>
            <w:r>
              <w:rPr>
                <w:sz w:val="16"/>
              </w:rPr>
              <w:instrText xml:space="preserve"> HYPERLINK "https://www.ll.mit.edu/media/9531" </w:instrText>
            </w:r>
            <w:r>
              <w:rPr>
                <w:sz w:val="16"/>
              </w:rPr>
              <w:fldChar w:fldCharType="separate"/>
            </w:r>
            <w:r>
              <w:rPr>
                <w:rStyle w:val="20"/>
                <w:sz w:val="16"/>
              </w:rPr>
              <w:t>https://www.ll.mit.edu/media/9531</w:t>
            </w:r>
            <w:r>
              <w:rPr>
                <w:sz w:val="16"/>
              </w:rPr>
              <w:fldChar w:fldCharType="end"/>
            </w:r>
          </w:p>
          <w:p w14:paraId="6DB156E5">
            <w:pPr>
              <w:spacing w:after="60" w:line="240" w:lineRule="auto"/>
              <w:rPr>
                <w:sz w:val="16"/>
              </w:rPr>
            </w:pPr>
          </w:p>
        </w:tc>
      </w:tr>
      <w:tr w14:paraId="457A9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31A5223">
            <w:pPr>
              <w:spacing w:after="60" w:line="240" w:lineRule="auto"/>
            </w:pPr>
            <w:r>
              <w:rPr>
                <w:sz w:val="16"/>
              </w:rPr>
              <w:t>1986</w:t>
            </w:r>
          </w:p>
        </w:tc>
        <w:tc>
          <w:tcPr>
            <w:tcW w:w="2520" w:type="dxa"/>
          </w:tcPr>
          <w:p w14:paraId="7B32C71F">
            <w:pPr>
              <w:spacing w:after="60" w:line="240" w:lineRule="auto"/>
            </w:pPr>
            <w:r>
              <w:rPr>
                <w:sz w:val="16"/>
              </w:rPr>
              <w:t>Backpropagation popularizes multilayer neural-network training</w:t>
            </w:r>
          </w:p>
        </w:tc>
        <w:tc>
          <w:tcPr>
            <w:tcW w:w="2520" w:type="dxa"/>
          </w:tcPr>
          <w:p w14:paraId="272524B0">
            <w:pPr>
              <w:spacing w:after="60" w:line="240" w:lineRule="auto"/>
            </w:pPr>
            <w:r>
              <w:rPr>
                <w:sz w:val="16"/>
              </w:rPr>
              <w:t>Rumelhart, Hinton, and Williams helped popularize backpropagation as a practical method for training multilayer neural networks.</w:t>
            </w:r>
          </w:p>
        </w:tc>
        <w:tc>
          <w:tcPr>
            <w:tcW w:w="2520" w:type="dxa"/>
          </w:tcPr>
          <w:p w14:paraId="6C712134">
            <w:pPr>
              <w:spacing w:after="60" w:line="240" w:lineRule="auto"/>
              <w:rPr>
                <w:sz w:val="16"/>
              </w:rPr>
            </w:pPr>
            <w:r>
              <w:rPr>
                <w:sz w:val="16"/>
              </w:rPr>
              <w:t xml:space="preserve">Rumelhart, Hinton &amp; Williams (1986), Nature. </w:t>
            </w:r>
            <w:r>
              <w:rPr>
                <w:sz w:val="16"/>
              </w:rPr>
              <w:fldChar w:fldCharType="begin"/>
            </w:r>
            <w:r>
              <w:rPr>
                <w:sz w:val="16"/>
              </w:rPr>
              <w:instrText xml:space="preserve"> HYPERLINK "https://doi.org/10.1038/323533a0" </w:instrText>
            </w:r>
            <w:r>
              <w:rPr>
                <w:sz w:val="16"/>
              </w:rPr>
              <w:fldChar w:fldCharType="separate"/>
            </w:r>
            <w:r>
              <w:rPr>
                <w:rStyle w:val="20"/>
                <w:sz w:val="16"/>
              </w:rPr>
              <w:t>https://doi.org/10.1038/323533a0</w:t>
            </w:r>
            <w:r>
              <w:rPr>
                <w:sz w:val="16"/>
              </w:rPr>
              <w:fldChar w:fldCharType="end"/>
            </w:r>
          </w:p>
          <w:p w14:paraId="3E342739">
            <w:pPr>
              <w:spacing w:after="60" w:line="240" w:lineRule="auto"/>
              <w:rPr>
                <w:sz w:val="16"/>
              </w:rPr>
            </w:pPr>
          </w:p>
        </w:tc>
      </w:tr>
      <w:tr w14:paraId="045E0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4E91AAF">
            <w:pPr>
              <w:spacing w:after="60" w:line="240" w:lineRule="auto"/>
            </w:pPr>
            <w:r>
              <w:rPr>
                <w:sz w:val="16"/>
              </w:rPr>
              <w:t>1997</w:t>
            </w:r>
          </w:p>
        </w:tc>
        <w:tc>
          <w:tcPr>
            <w:tcW w:w="2520" w:type="dxa"/>
          </w:tcPr>
          <w:p w14:paraId="61915A0D">
            <w:pPr>
              <w:spacing w:after="60" w:line="240" w:lineRule="auto"/>
            </w:pPr>
            <w:r>
              <w:rPr>
                <w:sz w:val="16"/>
              </w:rPr>
              <w:t>IBM Deep Blue defeats Garry Kasparov</w:t>
            </w:r>
          </w:p>
        </w:tc>
        <w:tc>
          <w:tcPr>
            <w:tcW w:w="2520" w:type="dxa"/>
          </w:tcPr>
          <w:p w14:paraId="1176F4A7">
            <w:pPr>
              <w:spacing w:after="60" w:line="240" w:lineRule="auto"/>
            </w:pPr>
            <w:r>
              <w:rPr>
                <w:sz w:val="16"/>
              </w:rPr>
              <w:t>Deep Blue defeated the reigning world chess champion in a match, demonstrating the strength of specialized search and high-performance computation without proving general intelligence.</w:t>
            </w:r>
          </w:p>
        </w:tc>
        <w:tc>
          <w:tcPr>
            <w:tcW w:w="2520" w:type="dxa"/>
          </w:tcPr>
          <w:p w14:paraId="45092DF7">
            <w:pPr>
              <w:spacing w:after="60" w:line="240" w:lineRule="auto"/>
              <w:rPr>
                <w:sz w:val="16"/>
              </w:rPr>
            </w:pPr>
            <w:r>
              <w:rPr>
                <w:sz w:val="16"/>
              </w:rPr>
              <w:t xml:space="preserve">IBM, “Deep Blue.” </w:t>
            </w:r>
            <w:r>
              <w:rPr>
                <w:sz w:val="16"/>
              </w:rPr>
              <w:fldChar w:fldCharType="begin"/>
            </w:r>
            <w:r>
              <w:rPr>
                <w:sz w:val="16"/>
              </w:rPr>
              <w:instrText xml:space="preserve"> HYPERLINK "https://www.ibm.com/history/deep-blue" </w:instrText>
            </w:r>
            <w:r>
              <w:rPr>
                <w:sz w:val="16"/>
              </w:rPr>
              <w:fldChar w:fldCharType="separate"/>
            </w:r>
            <w:r>
              <w:rPr>
                <w:rStyle w:val="20"/>
                <w:sz w:val="16"/>
              </w:rPr>
              <w:t>https://www.ibm.com/history/deep-blue</w:t>
            </w:r>
            <w:r>
              <w:rPr>
                <w:sz w:val="16"/>
              </w:rPr>
              <w:fldChar w:fldCharType="end"/>
            </w:r>
          </w:p>
          <w:p w14:paraId="7DE28940">
            <w:pPr>
              <w:spacing w:after="60" w:line="240" w:lineRule="auto"/>
              <w:rPr>
                <w:sz w:val="16"/>
              </w:rPr>
            </w:pPr>
          </w:p>
        </w:tc>
      </w:tr>
      <w:tr w14:paraId="6323E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75E5B9C">
            <w:pPr>
              <w:spacing w:after="60" w:line="240" w:lineRule="auto"/>
            </w:pPr>
            <w:r>
              <w:rPr>
                <w:sz w:val="16"/>
              </w:rPr>
              <w:t>2009</w:t>
            </w:r>
          </w:p>
        </w:tc>
        <w:tc>
          <w:tcPr>
            <w:tcW w:w="2520" w:type="dxa"/>
          </w:tcPr>
          <w:p w14:paraId="43562E74">
            <w:pPr>
              <w:spacing w:after="60" w:line="240" w:lineRule="auto"/>
            </w:pPr>
            <w:r>
              <w:rPr>
                <w:sz w:val="16"/>
              </w:rPr>
              <w:t>ImageNet dataset introduced</w:t>
            </w:r>
          </w:p>
        </w:tc>
        <w:tc>
          <w:tcPr>
            <w:tcW w:w="2520" w:type="dxa"/>
          </w:tcPr>
          <w:p w14:paraId="38D7142C">
            <w:pPr>
              <w:spacing w:after="60" w:line="240" w:lineRule="auto"/>
            </w:pPr>
            <w:r>
              <w:rPr>
                <w:sz w:val="16"/>
              </w:rPr>
              <w:t>ImageNet supplied a large, labeled image dataset and benchmark that helped researchers measure visual-recognition progress and enabled later deep-learning advances.</w:t>
            </w:r>
          </w:p>
        </w:tc>
        <w:tc>
          <w:tcPr>
            <w:tcW w:w="2520" w:type="dxa"/>
          </w:tcPr>
          <w:p w14:paraId="56515DBA">
            <w:pPr>
              <w:spacing w:after="60" w:line="240" w:lineRule="auto"/>
              <w:rPr>
                <w:sz w:val="16"/>
              </w:rPr>
            </w:pPr>
            <w:r>
              <w:rPr>
                <w:sz w:val="16"/>
              </w:rPr>
              <w:t xml:space="preserve">Deng et al. (2009), “ImageNet: A large-scale hierarchical image database,” CVPR. </w:t>
            </w:r>
            <w:r>
              <w:rPr>
                <w:sz w:val="16"/>
              </w:rPr>
              <w:fldChar w:fldCharType="begin"/>
            </w:r>
            <w:r>
              <w:rPr>
                <w:sz w:val="16"/>
              </w:rPr>
              <w:instrText xml:space="preserve"> HYPERLINK "https://doi.org/10.1109/CVPR.2009.5206848" </w:instrText>
            </w:r>
            <w:r>
              <w:rPr>
                <w:sz w:val="16"/>
              </w:rPr>
              <w:fldChar w:fldCharType="separate"/>
            </w:r>
            <w:r>
              <w:rPr>
                <w:rStyle w:val="20"/>
                <w:sz w:val="16"/>
              </w:rPr>
              <w:t>https://doi.org/10.1109/CVPR.2009.5206848</w:t>
            </w:r>
            <w:r>
              <w:rPr>
                <w:sz w:val="16"/>
              </w:rPr>
              <w:fldChar w:fldCharType="end"/>
            </w:r>
          </w:p>
          <w:p w14:paraId="724F2D97">
            <w:pPr>
              <w:spacing w:after="60" w:line="240" w:lineRule="auto"/>
              <w:rPr>
                <w:sz w:val="16"/>
              </w:rPr>
            </w:pPr>
          </w:p>
        </w:tc>
      </w:tr>
      <w:tr w14:paraId="60060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41B7822">
            <w:pPr>
              <w:spacing w:after="60" w:line="240" w:lineRule="auto"/>
            </w:pPr>
            <w:r>
              <w:rPr>
                <w:sz w:val="16"/>
              </w:rPr>
              <w:t>2012</w:t>
            </w:r>
          </w:p>
        </w:tc>
        <w:tc>
          <w:tcPr>
            <w:tcW w:w="2520" w:type="dxa"/>
          </w:tcPr>
          <w:p w14:paraId="00AF6856">
            <w:pPr>
              <w:spacing w:after="60" w:line="240" w:lineRule="auto"/>
            </w:pPr>
            <w:r>
              <w:rPr>
                <w:sz w:val="16"/>
              </w:rPr>
              <w:t>AlexNet wins the ImageNet competition</w:t>
            </w:r>
          </w:p>
        </w:tc>
        <w:tc>
          <w:tcPr>
            <w:tcW w:w="2520" w:type="dxa"/>
          </w:tcPr>
          <w:p w14:paraId="79CC525F">
            <w:pPr>
              <w:spacing w:after="60" w:line="240" w:lineRule="auto"/>
            </w:pPr>
            <w:r>
              <w:rPr>
                <w:sz w:val="16"/>
              </w:rPr>
              <w:t>AlexNet showed the impact of deep convolutional neural networks trained with GPUs on a large labeled dataset, helping accelerate modern deep learning.</w:t>
            </w:r>
          </w:p>
        </w:tc>
        <w:tc>
          <w:tcPr>
            <w:tcW w:w="2520" w:type="dxa"/>
          </w:tcPr>
          <w:p w14:paraId="032E1B3B">
            <w:pPr>
              <w:spacing w:after="60" w:line="240" w:lineRule="auto"/>
              <w:rPr>
                <w:sz w:val="16"/>
              </w:rPr>
            </w:pPr>
            <w:r>
              <w:rPr>
                <w:sz w:val="16"/>
              </w:rPr>
              <w:t xml:space="preserve">Krizhevsky, Sutskever &amp; Hinton (2012), NeurIPS. </w:t>
            </w:r>
            <w:r>
              <w:rPr>
                <w:sz w:val="16"/>
              </w:rPr>
              <w:fldChar w:fldCharType="begin"/>
            </w:r>
            <w:r>
              <w:rPr>
                <w:sz w:val="16"/>
              </w:rPr>
              <w:instrText xml:space="preserve"> HYPERLINK "https://papers.nips.cc/paper/2012/hash/c399862d3b9d6b76c8436e924a68c45b-Abstract.html" </w:instrText>
            </w:r>
            <w:r>
              <w:rPr>
                <w:sz w:val="16"/>
              </w:rPr>
              <w:fldChar w:fldCharType="separate"/>
            </w:r>
            <w:r>
              <w:rPr>
                <w:rStyle w:val="20"/>
                <w:sz w:val="16"/>
              </w:rPr>
              <w:t>https://papers.nips.cc/paper/2012/hash/c399862d3b9d6b76c8436e924a68c45b-Abstract.html</w:t>
            </w:r>
            <w:r>
              <w:rPr>
                <w:sz w:val="16"/>
              </w:rPr>
              <w:fldChar w:fldCharType="end"/>
            </w:r>
          </w:p>
          <w:p w14:paraId="224BADAD">
            <w:pPr>
              <w:spacing w:after="60" w:line="240" w:lineRule="auto"/>
              <w:rPr>
                <w:sz w:val="16"/>
              </w:rPr>
            </w:pPr>
          </w:p>
        </w:tc>
      </w:tr>
      <w:tr w14:paraId="373D8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58367CF">
            <w:pPr>
              <w:spacing w:after="60" w:line="240" w:lineRule="auto"/>
            </w:pPr>
            <w:r>
              <w:rPr>
                <w:sz w:val="16"/>
              </w:rPr>
              <w:t>2017</w:t>
            </w:r>
          </w:p>
        </w:tc>
        <w:tc>
          <w:tcPr>
            <w:tcW w:w="2520" w:type="dxa"/>
          </w:tcPr>
          <w:p w14:paraId="1F3C632B">
            <w:pPr>
              <w:spacing w:after="60" w:line="240" w:lineRule="auto"/>
            </w:pPr>
            <w:r>
              <w:rPr>
                <w:sz w:val="16"/>
              </w:rPr>
              <w:t>Transformer architecture introduced</w:t>
            </w:r>
          </w:p>
        </w:tc>
        <w:tc>
          <w:tcPr>
            <w:tcW w:w="2520" w:type="dxa"/>
          </w:tcPr>
          <w:p w14:paraId="6D16F901">
            <w:pPr>
              <w:spacing w:after="60" w:line="240" w:lineRule="auto"/>
            </w:pPr>
            <w:r>
              <w:rPr>
                <w:sz w:val="16"/>
              </w:rPr>
              <w:t>“Attention Is All You Need” introduced the Transformer architecture, whose attention-based design became foundational for many modern language models.</w:t>
            </w:r>
          </w:p>
        </w:tc>
        <w:tc>
          <w:tcPr>
            <w:tcW w:w="2520" w:type="dxa"/>
          </w:tcPr>
          <w:p w14:paraId="136AA077">
            <w:pPr>
              <w:spacing w:after="60" w:line="240" w:lineRule="auto"/>
              <w:rPr>
                <w:sz w:val="16"/>
              </w:rPr>
            </w:pPr>
            <w:r>
              <w:rPr>
                <w:sz w:val="16"/>
              </w:rPr>
              <w:t xml:space="preserve">Vaswani et al. (2017), “Attention Is All You Need.” </w:t>
            </w:r>
            <w:r>
              <w:rPr>
                <w:sz w:val="16"/>
              </w:rPr>
              <w:fldChar w:fldCharType="begin"/>
            </w:r>
            <w:r>
              <w:rPr>
                <w:sz w:val="16"/>
              </w:rPr>
              <w:instrText xml:space="preserve"> HYPERLINK "https://arxiv.org/abs/1706.03762" </w:instrText>
            </w:r>
            <w:r>
              <w:rPr>
                <w:sz w:val="16"/>
              </w:rPr>
              <w:fldChar w:fldCharType="separate"/>
            </w:r>
            <w:r>
              <w:rPr>
                <w:rStyle w:val="20"/>
                <w:sz w:val="16"/>
              </w:rPr>
              <w:t>https://arxiv.org/abs/1706.03762</w:t>
            </w:r>
            <w:r>
              <w:rPr>
                <w:sz w:val="16"/>
              </w:rPr>
              <w:fldChar w:fldCharType="end"/>
            </w:r>
          </w:p>
          <w:p w14:paraId="5679AC77">
            <w:pPr>
              <w:spacing w:after="60" w:line="240" w:lineRule="auto"/>
              <w:rPr>
                <w:sz w:val="16"/>
              </w:rPr>
            </w:pPr>
          </w:p>
        </w:tc>
      </w:tr>
      <w:tr w14:paraId="355E1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8BBE88B">
            <w:pPr>
              <w:spacing w:after="60" w:line="240" w:lineRule="auto"/>
            </w:pPr>
            <w:r>
              <w:rPr>
                <w:sz w:val="16"/>
              </w:rPr>
              <w:t>30 November 2022</w:t>
            </w:r>
          </w:p>
        </w:tc>
        <w:tc>
          <w:tcPr>
            <w:tcW w:w="2520" w:type="dxa"/>
          </w:tcPr>
          <w:p w14:paraId="023A6F25">
            <w:pPr>
              <w:spacing w:after="60" w:line="240" w:lineRule="auto"/>
            </w:pPr>
            <w:r>
              <w:rPr>
                <w:sz w:val="16"/>
              </w:rPr>
              <w:t>Public release of ChatGPT</w:t>
            </w:r>
          </w:p>
        </w:tc>
        <w:tc>
          <w:tcPr>
            <w:tcW w:w="2520" w:type="dxa"/>
          </w:tcPr>
          <w:p w14:paraId="34E19555">
            <w:pPr>
              <w:spacing w:after="60" w:line="240" w:lineRule="auto"/>
            </w:pPr>
            <w:r>
              <w:rPr>
                <w:sz w:val="16"/>
              </w:rPr>
              <w:t>OpenAI made ChatGPT publicly available, bringing an interactive generative-AI assistant to a broad audience and accelerating public engagement with large language models.</w:t>
            </w:r>
          </w:p>
        </w:tc>
        <w:tc>
          <w:tcPr>
            <w:tcW w:w="2520" w:type="dxa"/>
          </w:tcPr>
          <w:p w14:paraId="0FE2CEC8">
            <w:pPr>
              <w:spacing w:after="60" w:line="240" w:lineRule="auto"/>
              <w:rPr>
                <w:sz w:val="16"/>
              </w:rPr>
            </w:pPr>
            <w:r>
              <w:rPr>
                <w:sz w:val="16"/>
              </w:rPr>
              <w:t xml:space="preserve">OpenAI, “Introducing ChatGPT.” </w:t>
            </w:r>
            <w:r>
              <w:rPr>
                <w:sz w:val="16"/>
              </w:rPr>
              <w:fldChar w:fldCharType="begin"/>
            </w:r>
            <w:r>
              <w:rPr>
                <w:sz w:val="16"/>
              </w:rPr>
              <w:instrText xml:space="preserve"> HYPERLINK "https://openai.com/index/chatgpt/" </w:instrText>
            </w:r>
            <w:r>
              <w:rPr>
                <w:sz w:val="16"/>
              </w:rPr>
              <w:fldChar w:fldCharType="separate"/>
            </w:r>
            <w:r>
              <w:rPr>
                <w:rStyle w:val="20"/>
                <w:sz w:val="16"/>
              </w:rPr>
              <w:t>https://openai.com/index/chatgpt/</w:t>
            </w:r>
            <w:r>
              <w:rPr>
                <w:sz w:val="16"/>
              </w:rPr>
              <w:fldChar w:fldCharType="end"/>
            </w:r>
          </w:p>
          <w:p w14:paraId="75716EDA">
            <w:pPr>
              <w:spacing w:after="60" w:line="240" w:lineRule="auto"/>
              <w:rPr>
                <w:sz w:val="16"/>
              </w:rPr>
            </w:pPr>
          </w:p>
        </w:tc>
      </w:tr>
    </w:tbl>
    <w:p w14:paraId="6C6A3628">
      <w:r>
        <w:t>Timeline note: The 2012 AlexNet/ImageNet entry is the required modern compute/data milestone: it combined a large labeled dataset with GPU-powered deep learning. The first AI-winter dates are approximate because historical accounts use somewhat different boundaries.</w:t>
      </w:r>
    </w:p>
    <w:p w14:paraId="3678DAA9">
      <w:pPr>
        <w:pStyle w:val="2"/>
      </w:pPr>
      <w:r>
        <w:t>3. Rule-Based Scholarship System</w:t>
      </w:r>
    </w:p>
    <w:p w14:paraId="6CB8826B">
      <w:r>
        <w:t>The program lab1_rules.py evaluates an illustrative scholarship application using four explicit conditions. It returns PASS only when every condition is satisfied; otherwise it returns FAIL with the first failed condition.</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767A9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6EE031BD">
            <w:pPr>
              <w:spacing w:after="0" w:line="240" w:lineRule="auto"/>
            </w:pPr>
            <w:r>
              <w:rPr>
                <w:rFonts w:ascii="Arial" w:hAnsi="Arial"/>
                <w:sz w:val="17"/>
              </w:rPr>
              <w:t>Condition</w:t>
            </w:r>
          </w:p>
        </w:tc>
        <w:tc>
          <w:tcPr>
            <w:tcW w:w="5040" w:type="dxa"/>
          </w:tcPr>
          <w:p w14:paraId="11BB160E">
            <w:pPr>
              <w:spacing w:after="0" w:line="240" w:lineRule="auto"/>
            </w:pPr>
            <w:r>
              <w:rPr>
                <w:rFonts w:ascii="Arial" w:hAnsi="Arial"/>
                <w:sz w:val="17"/>
              </w:rPr>
              <w:t>Rule</w:t>
            </w:r>
          </w:p>
        </w:tc>
      </w:tr>
      <w:tr w14:paraId="72D79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41D41902">
            <w:pPr>
              <w:spacing w:after="0" w:line="240" w:lineRule="auto"/>
            </w:pPr>
            <w:r>
              <w:rPr>
                <w:rFonts w:ascii="Arial" w:hAnsi="Arial"/>
                <w:sz w:val="17"/>
              </w:rPr>
              <w:t>Original condition 1</w:t>
            </w:r>
          </w:p>
        </w:tc>
        <w:tc>
          <w:tcPr>
            <w:tcW w:w="5040" w:type="dxa"/>
          </w:tcPr>
          <w:p w14:paraId="36D8EFE4">
            <w:pPr>
              <w:spacing w:after="0" w:line="240" w:lineRule="auto"/>
            </w:pPr>
            <w:r>
              <w:rPr>
                <w:rFonts w:ascii="Arial" w:hAnsi="Arial"/>
                <w:sz w:val="17"/>
              </w:rPr>
              <w:t>score &gt;= 70</w:t>
            </w:r>
          </w:p>
        </w:tc>
      </w:tr>
      <w:tr w14:paraId="0BD76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3BF19AC0">
            <w:pPr>
              <w:spacing w:after="0" w:line="240" w:lineRule="auto"/>
            </w:pPr>
            <w:r>
              <w:rPr>
                <w:rFonts w:ascii="Arial" w:hAnsi="Arial"/>
                <w:sz w:val="17"/>
              </w:rPr>
              <w:t>Original condition 2</w:t>
            </w:r>
          </w:p>
        </w:tc>
        <w:tc>
          <w:tcPr>
            <w:tcW w:w="5040" w:type="dxa"/>
          </w:tcPr>
          <w:p w14:paraId="4DC502C2">
            <w:pPr>
              <w:spacing w:after="0" w:line="240" w:lineRule="auto"/>
            </w:pPr>
            <w:r>
              <w:rPr>
                <w:rFonts w:ascii="Arial" w:hAnsi="Arial"/>
                <w:sz w:val="17"/>
              </w:rPr>
              <w:t>documents_complete is True</w:t>
            </w:r>
          </w:p>
        </w:tc>
      </w:tr>
      <w:tr w14:paraId="56A0D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50B8AE19">
            <w:pPr>
              <w:spacing w:after="0" w:line="240" w:lineRule="auto"/>
            </w:pPr>
            <w:r>
              <w:rPr>
                <w:rFonts w:ascii="Arial" w:hAnsi="Arial"/>
                <w:sz w:val="17"/>
              </w:rPr>
              <w:t>New condition 1</w:t>
            </w:r>
          </w:p>
        </w:tc>
        <w:tc>
          <w:tcPr>
            <w:tcW w:w="5040" w:type="dxa"/>
          </w:tcPr>
          <w:p w14:paraId="689BA6BC">
            <w:pPr>
              <w:spacing w:after="0" w:line="240" w:lineRule="auto"/>
            </w:pPr>
            <w:r>
              <w:rPr>
                <w:rFonts w:ascii="Arial" w:hAnsi="Arial"/>
                <w:sz w:val="17"/>
              </w:rPr>
              <w:t>minimum_age_met is True</w:t>
            </w:r>
          </w:p>
        </w:tc>
      </w:tr>
      <w:tr w14:paraId="10727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24B6E4B1">
            <w:pPr>
              <w:spacing w:after="0" w:line="240" w:lineRule="auto"/>
            </w:pPr>
            <w:r>
              <w:rPr>
                <w:rFonts w:ascii="Arial" w:hAnsi="Arial"/>
                <w:sz w:val="17"/>
              </w:rPr>
              <w:t>New condition 2</w:t>
            </w:r>
          </w:p>
        </w:tc>
        <w:tc>
          <w:tcPr>
            <w:tcW w:w="5040" w:type="dxa"/>
          </w:tcPr>
          <w:p w14:paraId="62031225">
            <w:pPr>
              <w:spacing w:after="0" w:line="240" w:lineRule="auto"/>
            </w:pPr>
            <w:r>
              <w:rPr>
                <w:rFonts w:ascii="Arial" w:hAnsi="Arial"/>
                <w:sz w:val="17"/>
              </w:rPr>
              <w:t>essay_submitted is True</w:t>
            </w:r>
          </w:p>
        </w:tc>
      </w:tr>
    </w:tbl>
    <w:p w14:paraId="7162EE6A">
      <w:r>
        <w:t>Assumptions: All thresholds and conditions are synthetic lab assumptions, not official scholarship requirements. The age rule is represented as a Boolean input (minimum_age_met) rather than an actual age calculation. The program checks only the conditions explicitly written in the code.</w:t>
      </w:r>
    </w:p>
    <w:p w14:paraId="3BD2F4FE">
      <w:pPr>
        <w:pStyle w:val="2"/>
      </w:pPr>
      <w:r>
        <w:t>4. Four Core Test Cases and Results</w:t>
      </w:r>
    </w:p>
    <w:p w14:paraId="7D1227FB">
      <w:r>
        <w:t>Exactly four core test cases are used. Cases 2 and 3 each isolate one newly added condition, while Case 4 checks the boundary value of the original score rule. Because the condition is score &gt;= 70, a score of exactly 70 passes when all other conditions are true.</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4"/>
        <w:gridCol w:w="2328"/>
        <w:gridCol w:w="1992"/>
        <w:gridCol w:w="1986"/>
        <w:gridCol w:w="1996"/>
      </w:tblGrid>
      <w:tr w14:paraId="6E8A9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73D25609">
            <w:pPr>
              <w:spacing w:after="0" w:line="240" w:lineRule="auto"/>
            </w:pPr>
            <w:r>
              <w:rPr>
                <w:rFonts w:ascii="Arial" w:hAnsi="Arial"/>
                <w:sz w:val="17"/>
              </w:rPr>
              <w:t>Test</w:t>
            </w:r>
          </w:p>
        </w:tc>
        <w:tc>
          <w:tcPr>
            <w:tcW w:w="2016" w:type="dxa"/>
          </w:tcPr>
          <w:p w14:paraId="7EDF855F">
            <w:pPr>
              <w:spacing w:after="0" w:line="240" w:lineRule="auto"/>
            </w:pPr>
            <w:r>
              <w:rPr>
                <w:rFonts w:ascii="Arial" w:hAnsi="Arial"/>
                <w:sz w:val="17"/>
              </w:rPr>
              <w:t>Input</w:t>
            </w:r>
          </w:p>
        </w:tc>
        <w:tc>
          <w:tcPr>
            <w:tcW w:w="2016" w:type="dxa"/>
          </w:tcPr>
          <w:p w14:paraId="5E9B6333">
            <w:pPr>
              <w:spacing w:after="0" w:line="240" w:lineRule="auto"/>
            </w:pPr>
            <w:r>
              <w:rPr>
                <w:rFonts w:ascii="Arial" w:hAnsi="Arial"/>
                <w:sz w:val="17"/>
              </w:rPr>
              <w:t>Expected</w:t>
            </w:r>
          </w:p>
        </w:tc>
        <w:tc>
          <w:tcPr>
            <w:tcW w:w="2016" w:type="dxa"/>
          </w:tcPr>
          <w:p w14:paraId="4DB38CCF">
            <w:pPr>
              <w:spacing w:after="0" w:line="240" w:lineRule="auto"/>
            </w:pPr>
            <w:r>
              <w:rPr>
                <w:rFonts w:ascii="Arial" w:hAnsi="Arial"/>
                <w:sz w:val="17"/>
              </w:rPr>
              <w:t>Actual</w:t>
            </w:r>
          </w:p>
        </w:tc>
        <w:tc>
          <w:tcPr>
            <w:tcW w:w="2016" w:type="dxa"/>
          </w:tcPr>
          <w:p w14:paraId="55624130">
            <w:pPr>
              <w:spacing w:after="0" w:line="240" w:lineRule="auto"/>
            </w:pPr>
            <w:r>
              <w:rPr>
                <w:rFonts w:ascii="Arial" w:hAnsi="Arial"/>
                <w:sz w:val="17"/>
              </w:rPr>
              <w:t>Reason</w:t>
            </w:r>
          </w:p>
        </w:tc>
      </w:tr>
      <w:tr w14:paraId="162CE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vAlign w:val="top"/>
          </w:tcPr>
          <w:p w14:paraId="7E86F97E">
            <w:pPr>
              <w:spacing w:after="0" w:line="240" w:lineRule="auto"/>
            </w:pPr>
            <w:r>
              <w:rPr>
                <w:rFonts w:ascii="Arial" w:hAnsi="Arial"/>
                <w:sz w:val="17"/>
              </w:rPr>
              <w:t>1. Successful application</w:t>
            </w:r>
          </w:p>
        </w:tc>
        <w:tc>
          <w:tcPr>
            <w:tcW w:w="2016" w:type="dxa"/>
            <w:vAlign w:val="top"/>
          </w:tcPr>
          <w:p w14:paraId="0559B155">
            <w:pPr>
              <w:spacing w:after="0" w:line="240" w:lineRule="auto"/>
            </w:pPr>
            <w:r>
              <w:rPr>
                <w:rFonts w:ascii="Arial" w:hAnsi="Arial"/>
                <w:sz w:val="17"/>
              </w:rPr>
              <w:t>score=85; documents_complete=True; minimum_age_met=True; essay_submitted=True</w:t>
            </w:r>
          </w:p>
        </w:tc>
        <w:tc>
          <w:tcPr>
            <w:tcW w:w="2016" w:type="dxa"/>
            <w:vAlign w:val="top"/>
          </w:tcPr>
          <w:p w14:paraId="4ECC29A3">
            <w:pPr>
              <w:spacing w:after="0" w:line="240" w:lineRule="auto"/>
            </w:pPr>
            <w:r>
              <w:rPr>
                <w:rFonts w:ascii="Arial" w:hAnsi="Arial"/>
                <w:sz w:val="17"/>
              </w:rPr>
              <w:t>PASS</w:t>
            </w:r>
          </w:p>
        </w:tc>
        <w:tc>
          <w:tcPr>
            <w:tcW w:w="2016" w:type="dxa"/>
            <w:vAlign w:val="top"/>
          </w:tcPr>
          <w:p w14:paraId="70096688">
            <w:pPr>
              <w:spacing w:after="0" w:line="240" w:lineRule="auto"/>
            </w:pPr>
            <w:r>
              <w:rPr>
                <w:rFonts w:ascii="Arial" w:hAnsi="Arial"/>
                <w:sz w:val="17"/>
              </w:rPr>
              <w:t>PASS</w:t>
            </w:r>
          </w:p>
        </w:tc>
        <w:tc>
          <w:tcPr>
            <w:tcW w:w="2016" w:type="dxa"/>
            <w:vAlign w:val="top"/>
          </w:tcPr>
          <w:p w14:paraId="566EA3DB">
            <w:pPr>
              <w:spacing w:after="0" w:line="240" w:lineRule="auto"/>
            </w:pPr>
            <w:r>
              <w:rPr>
                <w:rFonts w:ascii="Arial" w:hAnsi="Arial"/>
                <w:sz w:val="17"/>
              </w:rPr>
              <w:t>All four conditions are satisfied.</w:t>
            </w:r>
          </w:p>
        </w:tc>
      </w:tr>
      <w:tr w14:paraId="460FA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vAlign w:val="top"/>
          </w:tcPr>
          <w:p w14:paraId="23AE0458">
            <w:pPr>
              <w:spacing w:after="0" w:line="240" w:lineRule="auto"/>
            </w:pPr>
            <w:r>
              <w:rPr>
                <w:rFonts w:ascii="Arial" w:hAnsi="Arial"/>
                <w:sz w:val="17"/>
              </w:rPr>
              <w:t>2. Age condition fails</w:t>
            </w:r>
          </w:p>
        </w:tc>
        <w:tc>
          <w:tcPr>
            <w:tcW w:w="2016" w:type="dxa"/>
            <w:vAlign w:val="top"/>
          </w:tcPr>
          <w:p w14:paraId="53EE72B7">
            <w:pPr>
              <w:spacing w:after="0" w:line="240" w:lineRule="auto"/>
            </w:pPr>
            <w:r>
              <w:rPr>
                <w:rFonts w:ascii="Arial" w:hAnsi="Arial"/>
                <w:sz w:val="17"/>
              </w:rPr>
              <w:t>score=85; documents_complete=True; minimum_age_met=False; essay_submitted=True</w:t>
            </w:r>
          </w:p>
        </w:tc>
        <w:tc>
          <w:tcPr>
            <w:tcW w:w="2016" w:type="dxa"/>
            <w:vAlign w:val="top"/>
          </w:tcPr>
          <w:p w14:paraId="286A2AC3">
            <w:pPr>
              <w:spacing w:after="0" w:line="240" w:lineRule="auto"/>
            </w:pPr>
            <w:r>
              <w:rPr>
                <w:rFonts w:ascii="Arial" w:hAnsi="Arial"/>
                <w:sz w:val="17"/>
              </w:rPr>
              <w:t>FAIL</w:t>
            </w:r>
          </w:p>
        </w:tc>
        <w:tc>
          <w:tcPr>
            <w:tcW w:w="2016" w:type="dxa"/>
            <w:vAlign w:val="top"/>
          </w:tcPr>
          <w:p w14:paraId="7C806B8C">
            <w:pPr>
              <w:spacing w:after="0" w:line="240" w:lineRule="auto"/>
            </w:pPr>
            <w:r>
              <w:rPr>
                <w:rFonts w:ascii="Arial" w:hAnsi="Arial"/>
                <w:sz w:val="17"/>
              </w:rPr>
              <w:t>FAIL</w:t>
            </w:r>
          </w:p>
        </w:tc>
        <w:tc>
          <w:tcPr>
            <w:tcW w:w="2016" w:type="dxa"/>
            <w:vAlign w:val="top"/>
          </w:tcPr>
          <w:p w14:paraId="55F13ED5">
            <w:pPr>
              <w:spacing w:after="0" w:line="240" w:lineRule="auto"/>
            </w:pPr>
            <w:r>
              <w:rPr>
                <w:rFonts w:ascii="Arial" w:hAnsi="Arial"/>
                <w:sz w:val="17"/>
              </w:rPr>
              <w:t>The minimum age requirement is not met.</w:t>
            </w:r>
          </w:p>
        </w:tc>
      </w:tr>
      <w:tr w14:paraId="38BC4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vAlign w:val="top"/>
          </w:tcPr>
          <w:p w14:paraId="4A4B16B9">
            <w:pPr>
              <w:spacing w:after="0" w:line="240" w:lineRule="auto"/>
            </w:pPr>
            <w:r>
              <w:rPr>
                <w:rFonts w:ascii="Arial" w:hAnsi="Arial"/>
                <w:sz w:val="17"/>
              </w:rPr>
              <w:t>3. Essay condition fails</w:t>
            </w:r>
          </w:p>
        </w:tc>
        <w:tc>
          <w:tcPr>
            <w:tcW w:w="2016" w:type="dxa"/>
            <w:vAlign w:val="top"/>
          </w:tcPr>
          <w:p w14:paraId="53AB9C55">
            <w:pPr>
              <w:spacing w:after="0" w:line="240" w:lineRule="auto"/>
            </w:pPr>
            <w:r>
              <w:rPr>
                <w:rFonts w:ascii="Arial" w:hAnsi="Arial"/>
                <w:sz w:val="17"/>
              </w:rPr>
              <w:t>score=85; documents_complete=True; minimum_age_met=True; essay_submitted=False</w:t>
            </w:r>
          </w:p>
        </w:tc>
        <w:tc>
          <w:tcPr>
            <w:tcW w:w="2016" w:type="dxa"/>
            <w:vAlign w:val="top"/>
          </w:tcPr>
          <w:p w14:paraId="6BCAB653">
            <w:pPr>
              <w:spacing w:after="0" w:line="240" w:lineRule="auto"/>
            </w:pPr>
            <w:r>
              <w:rPr>
                <w:rFonts w:ascii="Arial" w:hAnsi="Arial"/>
                <w:sz w:val="17"/>
              </w:rPr>
              <w:t>FAIL</w:t>
            </w:r>
          </w:p>
        </w:tc>
        <w:tc>
          <w:tcPr>
            <w:tcW w:w="2016" w:type="dxa"/>
            <w:vAlign w:val="top"/>
          </w:tcPr>
          <w:p w14:paraId="09457C26">
            <w:pPr>
              <w:spacing w:after="0" w:line="240" w:lineRule="auto"/>
            </w:pPr>
            <w:r>
              <w:rPr>
                <w:rFonts w:ascii="Arial" w:hAnsi="Arial"/>
                <w:sz w:val="17"/>
              </w:rPr>
              <w:t>FAIL</w:t>
            </w:r>
          </w:p>
        </w:tc>
        <w:tc>
          <w:tcPr>
            <w:tcW w:w="2016" w:type="dxa"/>
            <w:vAlign w:val="top"/>
          </w:tcPr>
          <w:p w14:paraId="4F1D17DF">
            <w:pPr>
              <w:spacing w:after="0" w:line="240" w:lineRule="auto"/>
            </w:pPr>
            <w:r>
              <w:rPr>
                <w:rFonts w:ascii="Arial" w:hAnsi="Arial"/>
                <w:sz w:val="17"/>
              </w:rPr>
              <w:t>The required essay has not been submitted.</w:t>
            </w:r>
          </w:p>
        </w:tc>
      </w:tr>
      <w:tr w14:paraId="05A41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vAlign w:val="top"/>
          </w:tcPr>
          <w:p w14:paraId="71C01276">
            <w:pPr>
              <w:spacing w:after="0" w:line="240" w:lineRule="auto"/>
            </w:pPr>
            <w:r>
              <w:rPr>
                <w:rFonts w:ascii="Arial" w:hAnsi="Arial"/>
                <w:sz w:val="17"/>
              </w:rPr>
              <w:t>4. Score threshold boundary</w:t>
            </w:r>
          </w:p>
        </w:tc>
        <w:tc>
          <w:tcPr>
            <w:tcW w:w="2016" w:type="dxa"/>
            <w:vAlign w:val="top"/>
          </w:tcPr>
          <w:p w14:paraId="7B0FA210">
            <w:pPr>
              <w:spacing w:after="0" w:line="240" w:lineRule="auto"/>
            </w:pPr>
            <w:r>
              <w:rPr>
                <w:rFonts w:ascii="Arial" w:hAnsi="Arial"/>
                <w:sz w:val="17"/>
              </w:rPr>
              <w:t>score=70; documents_complete=True; minimum_age_met=True; essay_submitted=True</w:t>
            </w:r>
          </w:p>
        </w:tc>
        <w:tc>
          <w:tcPr>
            <w:tcW w:w="2016" w:type="dxa"/>
            <w:vAlign w:val="top"/>
          </w:tcPr>
          <w:p w14:paraId="1A75A89C">
            <w:pPr>
              <w:spacing w:after="0" w:line="240" w:lineRule="auto"/>
            </w:pPr>
            <w:r>
              <w:rPr>
                <w:rFonts w:ascii="Arial" w:hAnsi="Arial"/>
                <w:sz w:val="17"/>
              </w:rPr>
              <w:t>PASS</w:t>
            </w:r>
          </w:p>
        </w:tc>
        <w:tc>
          <w:tcPr>
            <w:tcW w:w="2016" w:type="dxa"/>
            <w:vAlign w:val="top"/>
          </w:tcPr>
          <w:p w14:paraId="3E5DD750">
            <w:pPr>
              <w:spacing w:after="0" w:line="240" w:lineRule="auto"/>
            </w:pPr>
            <w:r>
              <w:rPr>
                <w:rFonts w:ascii="Arial" w:hAnsi="Arial"/>
                <w:sz w:val="17"/>
              </w:rPr>
              <w:t>PASS</w:t>
            </w:r>
          </w:p>
        </w:tc>
        <w:tc>
          <w:tcPr>
            <w:tcW w:w="2016" w:type="dxa"/>
            <w:vAlign w:val="top"/>
          </w:tcPr>
          <w:p w14:paraId="45256D64">
            <w:pPr>
              <w:spacing w:after="0" w:line="240" w:lineRule="auto"/>
            </w:pPr>
            <w:r>
              <w:rPr>
                <w:rFonts w:ascii="Arial" w:hAnsi="Arial"/>
                <w:sz w:val="17"/>
              </w:rPr>
              <w:t>A score of exactly 70 satisfies score &gt;= 70; all other conditions are true.</w:t>
            </w:r>
          </w:p>
        </w:tc>
      </w:tr>
    </w:tbl>
    <w:p w14:paraId="0C7C32A7">
      <w:r>
        <w:t>Actual results: The reported program output showed the threshold-boundary test returning PASS, with the reason “All four conditions are satisfied” and test status CORRECT. The four cases above are the program's intended core tests; verify that rules_output.txt contains all four results before submission.</w:t>
      </w:r>
    </w:p>
    <w:p w14:paraId="4DDA1D0F">
      <w:pPr>
        <w:pStyle w:val="2"/>
      </w:pPr>
      <w:r>
        <w:t>5. Disagreement Table: Conversational Claim vs. Rule-Based Decision</w:t>
      </w:r>
    </w:p>
    <w:p w14:paraId="5AB48C3F">
      <w:r>
        <w:t>The comparison program is a small deterministic illustration of how a conversational explanation and an explicit rule check can serve different purposes. It does not call or evaluate an external conversational AI model.</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F08A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tcPr>
          <w:p w14:paraId="5D7213C6">
            <w:pPr>
              <w:spacing w:after="0" w:line="240" w:lineRule="auto"/>
            </w:pPr>
            <w:r>
              <w:rPr>
                <w:rFonts w:ascii="Arial" w:hAnsi="Arial"/>
                <w:sz w:val="17"/>
              </w:rPr>
              <w:t>Case</w:t>
            </w:r>
          </w:p>
        </w:tc>
        <w:tc>
          <w:tcPr>
            <w:tcW w:w="2520" w:type="dxa"/>
          </w:tcPr>
          <w:p w14:paraId="40B91E5A">
            <w:pPr>
              <w:spacing w:after="0" w:line="240" w:lineRule="auto"/>
            </w:pPr>
            <w:r>
              <w:rPr>
                <w:rFonts w:ascii="Arial" w:hAnsi="Arial"/>
                <w:sz w:val="17"/>
              </w:rPr>
              <w:t>Conversational claim / response</w:t>
            </w:r>
          </w:p>
        </w:tc>
        <w:tc>
          <w:tcPr>
            <w:tcW w:w="2520" w:type="dxa"/>
          </w:tcPr>
          <w:p w14:paraId="17867EDF">
            <w:pPr>
              <w:spacing w:after="0" w:line="240" w:lineRule="auto"/>
            </w:pPr>
            <w:r>
              <w:rPr>
                <w:rFonts w:ascii="Arial" w:hAnsi="Arial"/>
                <w:sz w:val="17"/>
              </w:rPr>
              <w:t>Rule-based result</w:t>
            </w:r>
          </w:p>
        </w:tc>
        <w:tc>
          <w:tcPr>
            <w:tcW w:w="2520" w:type="dxa"/>
          </w:tcPr>
          <w:p w14:paraId="21111E3E">
            <w:pPr>
              <w:spacing w:after="0" w:line="240" w:lineRule="auto"/>
            </w:pPr>
            <w:r>
              <w:rPr>
                <w:rFonts w:ascii="Arial" w:hAnsi="Arial"/>
                <w:sz w:val="17"/>
              </w:rPr>
              <w:t>Agreement</w:t>
            </w:r>
          </w:p>
        </w:tc>
      </w:tr>
      <w:tr w14:paraId="40D74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top"/>
          </w:tcPr>
          <w:p w14:paraId="34B0D897">
            <w:pPr>
              <w:spacing w:after="0" w:line="240" w:lineRule="auto"/>
            </w:pPr>
            <w:r>
              <w:rPr>
                <w:rFonts w:ascii="Arial" w:hAnsi="Arial"/>
                <w:sz w:val="17"/>
              </w:rPr>
              <w:t>Score 75; documents complete</w:t>
            </w:r>
          </w:p>
        </w:tc>
        <w:tc>
          <w:tcPr>
            <w:tcW w:w="2520" w:type="dxa"/>
            <w:vAlign w:val="top"/>
          </w:tcPr>
          <w:p w14:paraId="55A88902">
            <w:pPr>
              <w:spacing w:after="0" w:line="240" w:lineRule="auto"/>
            </w:pPr>
            <w:r>
              <w:rPr>
                <w:rFonts w:ascii="Arial" w:hAnsi="Arial"/>
                <w:sz w:val="17"/>
              </w:rPr>
              <w:t>“You appear eligible because your score is at least 70 and your documents are complete.”</w:t>
            </w:r>
          </w:p>
        </w:tc>
        <w:tc>
          <w:tcPr>
            <w:tcW w:w="2520" w:type="dxa"/>
            <w:vAlign w:val="top"/>
          </w:tcPr>
          <w:p w14:paraId="76DF37E5">
            <w:pPr>
              <w:spacing w:after="0" w:line="240" w:lineRule="auto"/>
            </w:pPr>
            <w:r>
              <w:rPr>
                <w:rFonts w:ascii="Arial" w:hAnsi="Arial"/>
                <w:sz w:val="17"/>
              </w:rPr>
              <w:t>PASS</w:t>
            </w:r>
          </w:p>
        </w:tc>
        <w:tc>
          <w:tcPr>
            <w:tcW w:w="2520" w:type="dxa"/>
            <w:vAlign w:val="top"/>
          </w:tcPr>
          <w:p w14:paraId="133A6856">
            <w:pPr>
              <w:spacing w:after="0" w:line="240" w:lineRule="auto"/>
            </w:pPr>
            <w:r>
              <w:rPr>
                <w:rFonts w:ascii="Arial" w:hAnsi="Arial"/>
                <w:sz w:val="17"/>
              </w:rPr>
              <w:t>Agreement: the explanation matches the two rules checked in this comparison.</w:t>
            </w:r>
          </w:p>
        </w:tc>
      </w:tr>
      <w:tr w14:paraId="3DB07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vAlign w:val="top"/>
          </w:tcPr>
          <w:p w14:paraId="542253D5">
            <w:pPr>
              <w:spacing w:after="0" w:line="240" w:lineRule="auto"/>
            </w:pPr>
            <w:r>
              <w:rPr>
                <w:rFonts w:ascii="Arial" w:hAnsi="Arial"/>
                <w:sz w:val="17"/>
              </w:rPr>
              <w:t>Score 69; documents complete</w:t>
            </w:r>
          </w:p>
        </w:tc>
        <w:tc>
          <w:tcPr>
            <w:tcW w:w="2520" w:type="dxa"/>
            <w:vAlign w:val="top"/>
          </w:tcPr>
          <w:p w14:paraId="3C0F4C3D">
            <w:pPr>
              <w:spacing w:after="0" w:line="240" w:lineRule="auto"/>
            </w:pPr>
            <w:r>
              <w:rPr>
                <w:rFonts w:ascii="Arial" w:hAnsi="Arial"/>
                <w:sz w:val="17"/>
              </w:rPr>
              <w:t>Illustrative incorrect claim: “The applicant passes because 69 is at least 70.”</w:t>
            </w:r>
          </w:p>
        </w:tc>
        <w:tc>
          <w:tcPr>
            <w:tcW w:w="2520" w:type="dxa"/>
            <w:vAlign w:val="top"/>
          </w:tcPr>
          <w:p w14:paraId="28009F17">
            <w:pPr>
              <w:spacing w:after="0" w:line="240" w:lineRule="auto"/>
            </w:pPr>
            <w:r>
              <w:rPr>
                <w:rFonts w:ascii="Arial" w:hAnsi="Arial"/>
                <w:sz w:val="17"/>
              </w:rPr>
              <w:t>FAIL</w:t>
            </w:r>
          </w:p>
        </w:tc>
        <w:tc>
          <w:tcPr>
            <w:tcW w:w="2520" w:type="dxa"/>
            <w:vAlign w:val="top"/>
          </w:tcPr>
          <w:p w14:paraId="5CFDC914">
            <w:pPr>
              <w:spacing w:after="0" w:line="240" w:lineRule="auto"/>
            </w:pPr>
            <w:r>
              <w:rPr>
                <w:rFonts w:ascii="Arial" w:hAnsi="Arial"/>
                <w:sz w:val="17"/>
              </w:rPr>
              <w:t>Disagreement: the claim is fluent but the arithmetic comparison is false.</w:t>
            </w:r>
          </w:p>
        </w:tc>
      </w:tr>
    </w:tbl>
    <w:p w14:paraId="3CACAFAB">
      <w:pPr>
        <w:pStyle w:val="2"/>
      </w:pPr>
      <w:r>
        <w:t>6. Conversational Test vs. General Intelligence</w:t>
      </w:r>
    </w:p>
    <w:p w14:paraId="44E80E02">
      <w:r>
        <w:t>A conversational test, such as the imitation game described by Turing, observes whether a system's responses in a dialogue can be mistaken for human responses under the test conditions. It can provide evidence about language use and conversational behaviour. Passing such a test does not establish broad, general intelligence, factual reliability, robust reasoning, or dependable performance across unfamiliar tasks.</w:t>
      </w:r>
    </w:p>
    <w:p w14:paraId="197DEDE2">
      <w:r>
        <w:t>In the scholarship example, a chatbot may give a fluent explanation that sounds convincing but incorrectly claim that a score of 69 meets a threshold of 70. Fluency is not the same as correctness. The example in lab1_compare.py is deliberately hard-coded to illustrate the distinction; it is not evidence that a real chatbot was tested.</w:t>
      </w:r>
    </w:p>
    <w:p w14:paraId="0BB2F376">
      <w:r>
        <w:t>Additional test of reliable task performance: use a structured test suite with independently checked expected results, including threshold values (69, 70, 71), missing documents, age-condition failure, essay-condition failure, and combinations of failures. Compare each actual result with its expected result and record any mismatch. For the required four core cases in this lab, keep the four cases in Section 4; any extra cases should be clearly labelled as optional extensions rather than core cases.</w:t>
      </w:r>
    </w:p>
    <w:p w14:paraId="7E651824">
      <w:r>
        <w:t>Historical basis: Turing's 1950 paper introduces the imitation game; it frames a behavioural conversational test, not a complete proof of every form of intelligence.</w:t>
      </w:r>
    </w:p>
    <w:p w14:paraId="3821F813">
      <w:pPr>
        <w:pStyle w:val="2"/>
      </w:pPr>
      <w:r>
        <w:t>7. Failure / Edge-Case Analysis</w:t>
      </w:r>
    </w:p>
    <w:p w14:paraId="329B6CDF">
      <w:r>
        <w:t>Edge case analysed: score = 70, with all other conditions true.</w:t>
      </w:r>
    </w:p>
    <w:p w14:paraId="7B3B575E">
      <w:r>
        <w:rPr>
          <w:b/>
        </w:rPr>
        <w:t xml:space="preserve">Input: </w:t>
      </w:r>
      <w:r>
        <w:t>score=70; documents_complete=True; minimum_age_met=True; essay_submitted=True.</w:t>
      </w:r>
    </w:p>
    <w:p w14:paraId="39E745CC">
      <w:r>
        <w:rPr>
          <w:b/>
        </w:rPr>
        <w:t xml:space="preserve">Observed behaviour: </w:t>
      </w:r>
      <w:r>
        <w:t>The program returns PASS because the comparison uses &gt;= rather than &gt;.</w:t>
      </w:r>
    </w:p>
    <w:p w14:paraId="7485687F">
      <w:r>
        <w:rPr>
          <w:b/>
        </w:rPr>
        <w:t xml:space="preserve">Likely cause / explanation: </w:t>
      </w:r>
      <w:r>
        <w:t>This is expected boundary behaviour: “at least 70” includes 70.</w:t>
      </w:r>
    </w:p>
    <w:p w14:paraId="2859AB44">
      <w:r>
        <w:rPr>
          <w:b/>
        </w:rPr>
        <w:t xml:space="preserve">Proposed improvement: </w:t>
      </w:r>
      <w:r>
        <w:t>Keep the boundary case in regression tests and document the threshold explicitly. For a real system, obtain and verify official eligibility criteria and validate input types.</w:t>
      </w:r>
    </w:p>
    <w:p w14:paraId="2E9DA3DE">
      <w:r>
        <w:t>Additional limitation: The function returns the first failure encountered. If several conditions fail at once, the user sees only the first reason. A possible improvement is to collect all failed conditions and report them together. This would improve transparency without changing the underlying rules.</w:t>
      </w:r>
    </w:p>
    <w:p w14:paraId="45DB9026">
      <w:pPr>
        <w:pStyle w:val="2"/>
      </w:pPr>
      <w:r>
        <w:t>8. Implementation Choices and Limita</w:t>
      </w:r>
      <w:bookmarkStart w:id="0" w:name="_GoBack"/>
      <w:bookmarkEnd w:id="0"/>
      <w:r>
        <w:t>tions</w:t>
      </w:r>
    </w:p>
    <w:p w14:paraId="029393EB">
      <w:pPr>
        <w:pStyle w:val="24"/>
      </w:pPr>
      <w:r>
        <w:t>The rules are implemented using named Boolean conditions and if statements so the decision path is readable.</w:t>
      </w:r>
    </w:p>
    <w:p w14:paraId="5313C079">
      <w:pPr>
        <w:pStyle w:val="24"/>
      </w:pPr>
      <w:r>
        <w:t>The four test cases are stored as data and executed in a loop, reducing repeated code and making results reproducible.</w:t>
      </w:r>
    </w:p>
    <w:p w14:paraId="7CFBEF5F">
      <w:pPr>
        <w:pStyle w:val="24"/>
      </w:pPr>
      <w:r>
        <w:t>The conversational comparison uses a scripted response, not a language model; therefore it illustrates a concept rather than benchmarking AI.</w:t>
      </w:r>
    </w:p>
    <w:p w14:paraId="7565C129">
      <w:pPr>
        <w:pStyle w:val="24"/>
      </w:pPr>
      <w:r>
        <w:t>The rules do not verify documents, calculate age from a date of birth, or check any real scholarship's requirements.</w:t>
      </w:r>
    </w:p>
    <w:p w14:paraId="78B0D631">
      <w:pPr>
        <w:pStyle w:val="24"/>
      </w:pPr>
      <w:r>
        <w:t>A rule-based system is predictable within its defined rules but cannot make valid decisions about factors that were not programmed.</w:t>
      </w:r>
    </w:p>
    <w:p w14:paraId="0DC7EBA4">
      <w:pPr>
        <w:pStyle w:val="2"/>
      </w:pPr>
      <w:r>
        <w:t>9. Reflection</w:t>
      </w:r>
    </w:p>
    <w:p w14:paraId="12D62A35">
      <w:r>
        <w:t>This lab shows that AI has developed through theoretical proposals, organized research, periods of reduced confidence, specialized computing achievements, deep learning, and public conversational systems. I learned that explicit rules make a small decision system easier to inspect and test. Boundary testing is important because values at a threshold can reveal mistakes such as using &gt; instead of &gt;=. I also learned that a fluent explanation can still be wrong, so task performance should be checked against verifiable expected outcomes.</w:t>
      </w:r>
    </w:p>
    <w:p w14:paraId="67B3F541">
      <w:pPr>
        <w:pStyle w:val="2"/>
      </w:pPr>
      <w:r>
        <w:t>10. Responsible Practice</w:t>
      </w:r>
    </w:p>
    <w:p w14:paraId="6645FA8F">
      <w:r>
        <w:t>The scholarship rules and test data are fictional and synthetic. They must not be presented as official eligibility criteria or used to accept or reject real applicants. A real system should use verified policy, protect personal data, provide clear reasons, be tested for errors and unfair outcomes, and allow human review. Historical claims should be supported by credible sources, and the report should accurately describe the program's limitations.</w:t>
      </w:r>
    </w:p>
    <w:p w14:paraId="21288A1B">
      <w:pPr>
        <w:pStyle w:val="2"/>
      </w:pPr>
      <w:r>
        <w:t>11. References</w:t>
      </w:r>
    </w:p>
    <w:p w14:paraId="10435B0B">
      <w:pPr>
        <w:pStyle w:val="30"/>
      </w:pPr>
      <w:r>
        <w:t xml:space="preserve">Turing, A. M. (1950). Computing Machinery and Intelligence. Mind, 59(236), 433–460. </w:t>
      </w:r>
      <w:r>
        <w:fldChar w:fldCharType="begin"/>
      </w:r>
      <w:r>
        <w:instrText xml:space="preserve"> HYPERLINK "https://academic.oup.com/mind/article/LIX/236/433/986238" </w:instrText>
      </w:r>
      <w:r>
        <w:fldChar w:fldCharType="separate"/>
      </w:r>
      <w:r>
        <w:rPr>
          <w:rStyle w:val="20"/>
        </w:rPr>
        <w:t>https://academic.oup.com/mind/article/LIX/236/433/986238</w:t>
      </w:r>
      <w:r>
        <w:fldChar w:fldCharType="end"/>
      </w:r>
    </w:p>
    <w:p w14:paraId="293C4E11">
      <w:pPr>
        <w:pStyle w:val="30"/>
      </w:pPr>
    </w:p>
    <w:p w14:paraId="60E3D385">
      <w:pPr>
        <w:pStyle w:val="30"/>
      </w:pPr>
      <w:r>
        <w:t xml:space="preserve">Dartmouth College. The Founding and Future of AI. </w:t>
      </w:r>
      <w:r>
        <w:fldChar w:fldCharType="begin"/>
      </w:r>
      <w:r>
        <w:instrText xml:space="preserve"> HYPERLINK "https://ai.dartmouth.edu/our-story" </w:instrText>
      </w:r>
      <w:r>
        <w:fldChar w:fldCharType="separate"/>
      </w:r>
      <w:r>
        <w:rPr>
          <w:rStyle w:val="20"/>
        </w:rPr>
        <w:t>https://ai.dartmouth.edu/our-story</w:t>
      </w:r>
      <w:r>
        <w:fldChar w:fldCharType="end"/>
      </w:r>
    </w:p>
    <w:p w14:paraId="4C9FA307">
      <w:pPr>
        <w:pStyle w:val="30"/>
      </w:pPr>
    </w:p>
    <w:p w14:paraId="21663FDF">
      <w:pPr>
        <w:pStyle w:val="30"/>
      </w:pPr>
      <w:r>
        <w:t xml:space="preserve">House of Lords, Select Committee on Artificial Intelligence. AI in the UK: Ready, Willing and Able? Historical discussion of AI development and funding. </w:t>
      </w:r>
      <w:r>
        <w:fldChar w:fldCharType="begin"/>
      </w:r>
      <w:r>
        <w:instrText xml:space="preserve"> HYPERLINK "https://publications.parliament.uk/pa/ld201719/ldselect/ldai/100/10005.htm" </w:instrText>
      </w:r>
      <w:r>
        <w:fldChar w:fldCharType="separate"/>
      </w:r>
      <w:r>
        <w:rPr>
          <w:rStyle w:val="20"/>
        </w:rPr>
        <w:t>https://publications.parliament.uk/pa/ld201719/ldselect/ldai/100/10005.htm</w:t>
      </w:r>
      <w:r>
        <w:fldChar w:fldCharType="end"/>
      </w:r>
    </w:p>
    <w:p w14:paraId="36A92E8F">
      <w:pPr>
        <w:pStyle w:val="30"/>
      </w:pPr>
    </w:p>
    <w:p w14:paraId="3408FE71">
      <w:pPr>
        <w:pStyle w:val="30"/>
      </w:pPr>
      <w:r>
        <w:t xml:space="preserve">IBM. Deep Blue. </w:t>
      </w:r>
      <w:r>
        <w:fldChar w:fldCharType="begin"/>
      </w:r>
      <w:r>
        <w:instrText xml:space="preserve"> HYPERLINK "https://www.ibm.com/history/deep-blue" </w:instrText>
      </w:r>
      <w:r>
        <w:fldChar w:fldCharType="separate"/>
      </w:r>
      <w:r>
        <w:rPr>
          <w:rStyle w:val="20"/>
        </w:rPr>
        <w:t>https://www.ibm.com/history/deep-blue</w:t>
      </w:r>
      <w:r>
        <w:fldChar w:fldCharType="end"/>
      </w:r>
    </w:p>
    <w:p w14:paraId="2328F3BC">
      <w:pPr>
        <w:pStyle w:val="30"/>
      </w:pPr>
    </w:p>
    <w:p w14:paraId="5D4AD2AD">
      <w:pPr>
        <w:pStyle w:val="30"/>
      </w:pPr>
      <w:r>
        <w:t xml:space="preserve">ImageNet. Large Scale Visual Recognition Challenge 2012. </w:t>
      </w:r>
      <w:r>
        <w:fldChar w:fldCharType="begin"/>
      </w:r>
      <w:r>
        <w:instrText xml:space="preserve"> HYPERLINK "https://www.image-net.org/challenges/LSVRC/2012/" </w:instrText>
      </w:r>
      <w:r>
        <w:fldChar w:fldCharType="separate"/>
      </w:r>
      <w:r>
        <w:rPr>
          <w:rStyle w:val="20"/>
        </w:rPr>
        <w:t>https://www.image-net.org/challenges/LSVRC/2012/</w:t>
      </w:r>
      <w:r>
        <w:fldChar w:fldCharType="end"/>
      </w:r>
    </w:p>
    <w:p w14:paraId="09B72862">
      <w:pPr>
        <w:pStyle w:val="30"/>
      </w:pPr>
    </w:p>
    <w:p w14:paraId="4B0CC062">
      <w:pPr>
        <w:pStyle w:val="30"/>
      </w:pPr>
      <w:r>
        <w:t xml:space="preserve">OpenAI. (2022, November 30). Introducing ChatGPT. </w:t>
      </w:r>
      <w:r>
        <w:fldChar w:fldCharType="begin"/>
      </w:r>
      <w:r>
        <w:instrText xml:space="preserve"> HYPERLINK "https://openai.com/index/chatgpt/" </w:instrText>
      </w:r>
      <w:r>
        <w:fldChar w:fldCharType="separate"/>
      </w:r>
      <w:r>
        <w:rPr>
          <w:rStyle w:val="20"/>
        </w:rPr>
        <w:t>https://openai.com/index/chatgpt/</w:t>
      </w:r>
      <w:r>
        <w:fldChar w:fldCharType="end"/>
      </w:r>
    </w:p>
    <w:p w14:paraId="14ECF834">
      <w:pPr>
        <w:pStyle w:val="30"/>
      </w:pPr>
    </w:p>
    <w:p w14:paraId="6172842D"/>
    <w:sectPr>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2AE4D0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1612</Words>
  <Characters>10711</Characters>
  <Lines>0</Lines>
  <Paragraphs>0</Paragraphs>
  <TotalTime>12</TotalTime>
  <ScaleCrop>false</ScaleCrop>
  <LinksUpToDate>false</LinksUpToDate>
  <CharactersWithSpaces>12180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Irsam Chaudhary</cp:lastModifiedBy>
  <dcterms:modified xsi:type="dcterms:W3CDTF">2026-10-26T09:51:24Z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eyJoZGlkIjoiZjNlODYyNGU5YmJkMDJlODJkOTdjOGM5MTY1NzY3NDQiLCJ1c2VySWQiOiI4ODE0MDIxNTM2Mzg1In0=</vt:lpwstr>
  </property>
  <property fmtid="{D5CDD505-2E9C-101B-9397-08002B2CF9AE}" pid="3" name="KSOProductBuildVer">
    <vt:lpwstr>1033-12.1.0.29162</vt:lpwstr>
  </property>
  <property fmtid="{D5CDD505-2E9C-101B-9397-08002B2CF9AE}" pid="4" name="ICV">
    <vt:lpwstr>EC3A9282335C42328E770824C9D28101_12</vt:lpwstr>
  </property>
</Properties>
</file>