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94A1" w14:textId="16034D02" w:rsidR="00A15315" w:rsidRDefault="00872872">
      <w:hyperlink r:id="rId4" w:history="1">
        <w:r w:rsidRPr="000730E5">
          <w:rPr>
            <w:rStyle w:val="Hyperlink"/>
          </w:rPr>
          <w:t>https://theindianawaaz.com/irsc-observes-inter-faith-holi-easter-and-solidarity-in-the-month-of-ramazan/</w:t>
        </w:r>
      </w:hyperlink>
    </w:p>
    <w:p w14:paraId="6E93393A" w14:textId="77777777" w:rsidR="00872872" w:rsidRDefault="00872872"/>
    <w:sectPr w:rsidR="008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72"/>
    <w:rsid w:val="00872872"/>
    <w:rsid w:val="00A1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B07B"/>
  <w15:chartTrackingRefBased/>
  <w15:docId w15:val="{D41C3343-B69A-4B76-8B6D-FBA27393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8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indianawaaz.com/irsc-observes-inter-faith-holi-easter-and-solidarity-in-the-month-of-ramaz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2024-04-09T05:25:00Z</dcterms:created>
  <dcterms:modified xsi:type="dcterms:W3CDTF">2024-04-09T05:25:00Z</dcterms:modified>
</cp:coreProperties>
</file>