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6B6892"/>
          <w:sz w:val="22"/>
          <w:szCs w:val="22"/>
        </w:rPr>
        <w:t xml:space="preserve">KEMENTERIAN PENDIDIKAN</w:t>
      </w:r>
    </w:p>
    <w:p>
      <w:pPr>
        <w:spacing w:after="100"/>
        <w:jc w:val="center"/>
      </w:pPr>
      <w:r>
        <w:rPr>
          <w:color w:val="6B6892"/>
          <w:sz w:val="20"/>
          <w:szCs w:val="20"/>
        </w:rPr>
        <w:t xml:space="preserve">NEGARA BRUNEI DARUSSALAM</w:t>
      </w:r>
    </w:p>
    <w:p>
      <w:pPr>
        <w:spacing w:after="120" w:before="800"/>
        <w:jc w:val="center"/>
      </w:pPr>
      <w:r>
        <w:rPr>
          <w:b/>
          <w:bCs/>
          <w:color w:val="2E2A7A"/>
          <w:sz w:val="56"/>
          <w:szCs w:val="56"/>
        </w:rPr>
        <w:t xml:space="preserve">Sistem Kunci Kira-Kira</w:t>
      </w:r>
    </w:p>
    <w:p>
      <w:pPr>
        <w:spacing w:after="800"/>
        <w:jc w:val="center"/>
      </w:pPr>
      <w:r>
        <w:rPr>
          <w:color w:val="6B6892"/>
          <w:sz w:val="26"/>
          <w:szCs w:val="26"/>
        </w:rPr>
        <w:t xml:space="preserve">School Balance Sheet System — System Documentation</w:t>
      </w:r>
    </w:p>
    <w:p>
      <w:pPr>
        <w:spacing w:after="40"/>
        <w:jc w:val="center"/>
      </w:pPr>
      <w:r>
        <w:rPr>
          <w:color w:val="6B6892"/>
          <w:sz w:val="20"/>
          <w:szCs w:val="20"/>
        </w:rPr>
        <w:t xml:space="preserve">System URL: http://127.0.0.1:8000/kunci-kira-kira</w:t>
      </w:r>
    </w:p>
    <w:p>
      <w:pPr>
        <w:jc w:val="center"/>
      </w:pPr>
      <w:r>
        <w:rPr>
          <w:color w:val="6B6892"/>
          <w:sz w:val="20"/>
          <w:szCs w:val="20"/>
        </w:rPr>
        <w:t xml:space="preserve">Document generated: 2026-10-10</w:t>
      </w:r>
    </w:p>
    <w:p>
      <w:pPr>
        <w:pageBreakBefore/>
      </w:pPr>
      <w:r>
        <w:br/>
        <w:t xml:space="preserve"/>
      </w:r>
    </w:p>
    <w:p>
      <w:pPr>
        <w:pStyle w:val="Heading1"/>
        <w:spacing w:after="160" w:before="360"/>
      </w:pPr>
      <w:r>
        <w:t xml:space="preserve">1. Introduction</w:t>
      </w:r>
    </w:p>
    <w:p>
      <w:pPr>
        <w:spacing w:after="160"/>
      </w:pPr>
      <w:r>
        <w:t xml:space="preserve">Sistem Kunci Kira-Kira (KKK) is a module of the Ministry of Education’s Mesh portal used to track each school’s balance sheet (kunci kira-kira) submission through its full lifecycle — from receipt, through any queries (kuiri) raised by the reviewing officer, to a final True &amp; Fair View (TFV) confirmation and lock. One record is tracked per school, per financial year, per term (penggal), and per category (Kantin / Yuran / Rampaian).</w:t>
      </w:r>
    </w:p>
    <w:p>
      <w:pPr>
        <w:spacing w:after="160"/>
      </w:pPr>
      <w:r>
        <w:t xml:space="preserve">The system replaces a manual, Excel-based tracking process with a live, role-based register, an officer dashboard, an executive summary dashboard, a school/leadership directory, an Excel import wizard, and a full audit trail of every action taken.</w:t>
      </w:r>
    </w:p>
    <w:p>
      <w:pPr>
        <w:pStyle w:val="Heading1"/>
        <w:spacing w:after="160" w:before="360"/>
      </w:pPr>
      <w:r>
        <w:t xml:space="preserve">2. User Roles &amp; Access</w:t>
      </w:r>
    </w:p>
    <w:p>
      <w:pPr>
        <w:spacing w:after="160"/>
      </w:pPr>
      <w:r>
        <w:t xml:space="preserve">Access is controlled by a simple role picker at login — no password is required. The role chosen for a session determines which screens and actions are available.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2A7A" w:val="clear"/>
            <w:tcMar>
              <w:top w:type="dxa" w:w="100"/>
              <w:left w:type="dxa" w:w="120"/>
              <w:bottom w:type="dxa" w:w="100"/>
              <w:right w:type="dxa" w:w="120"/>
            </w:tcMar>
          </w:tcPr>
          <w:p>
            <w:r>
              <w:rPr>
                <w:b/>
                <w:bCs/>
                <w:color w:val="FFFFFF"/>
                <w:sz w:val="20"/>
                <w:szCs w:val="20"/>
              </w:rPr>
              <w:t xml:space="preserve">Role</w:t>
            </w:r>
          </w:p>
        </w:tc>
        <w:tc>
          <w:tcPr>
            <w:tcW w:type="dxa" w:w="2600"/>
            <w:shd w:fill="2E2A7A" w:val="clear"/>
            <w:tcMar>
              <w:top w:type="dxa" w:w="100"/>
              <w:left w:type="dxa" w:w="120"/>
              <w:bottom w:type="dxa" w:w="100"/>
              <w:right w:type="dxa" w:w="120"/>
            </w:tcMar>
          </w:tcPr>
          <w:p>
            <w:r>
              <w:rPr>
                <w:b/>
                <w:bCs/>
                <w:color w:val="FFFFFF"/>
                <w:sz w:val="20"/>
                <w:szCs w:val="20"/>
              </w:rPr>
              <w:t xml:space="preserve">Malay Label</w:t>
            </w:r>
          </w:p>
        </w:tc>
        <w:tc>
          <w:tcPr>
            <w:tcW w:type="dxa" w:w="4200"/>
            <w:shd w:fill="2E2A7A" w:val="clear"/>
            <w:tcMar>
              <w:top w:type="dxa" w:w="100"/>
              <w:left w:type="dxa" w:w="120"/>
              <w:bottom w:type="dxa" w:w="100"/>
              <w:right w:type="dxa" w:w="120"/>
            </w:tcMar>
          </w:tcPr>
          <w:p>
            <w:r>
              <w:rPr>
                <w:b/>
                <w:bCs/>
                <w:color w:val="FFFFFF"/>
                <w:sz w:val="20"/>
                <w:szCs w:val="20"/>
              </w:rPr>
              <w:t xml:space="preserve">Access</w:t>
            </w:r>
          </w:p>
        </w:tc>
      </w:tr>
      <w:tr>
        <w:tc>
          <w:tcPr>
            <w:tcW w:type="dxa" w:w="2600"/>
            <w:tcMar>
              <w:top w:type="dxa" w:w="100"/>
              <w:left w:type="dxa" w:w="120"/>
              <w:bottom w:type="dxa" w:w="100"/>
              <w:right w:type="dxa" w:w="120"/>
            </w:tcMar>
          </w:tcPr>
          <w:p>
            <w:r>
              <w:rPr>
                <w:b w:val="false"/>
                <w:bCs w:val="false"/>
                <w:color w:val="1E1B3A"/>
                <w:sz w:val="20"/>
                <w:szCs w:val="20"/>
              </w:rPr>
              <w:t xml:space="preserve">Clerk</w:t>
            </w:r>
          </w:p>
        </w:tc>
        <w:tc>
          <w:tcPr>
            <w:tcW w:type="dxa" w:w="2600"/>
            <w:tcMar>
              <w:top w:type="dxa" w:w="100"/>
              <w:left w:type="dxa" w:w="120"/>
              <w:bottom w:type="dxa" w:w="100"/>
              <w:right w:type="dxa" w:w="120"/>
            </w:tcMar>
          </w:tcPr>
          <w:p>
            <w:r>
              <w:rPr>
                <w:b w:val="false"/>
                <w:bCs w:val="false"/>
                <w:color w:val="1E1B3A"/>
                <w:sz w:val="20"/>
                <w:szCs w:val="20"/>
              </w:rPr>
              <w:t xml:space="preserve">Kerani</w:t>
            </w:r>
          </w:p>
        </w:tc>
        <w:tc>
          <w:tcPr>
            <w:tcW w:type="dxa" w:w="4200"/>
            <w:tcMar>
              <w:top w:type="dxa" w:w="100"/>
              <w:left w:type="dxa" w:w="120"/>
              <w:bottom w:type="dxa" w:w="100"/>
              <w:right w:type="dxa" w:w="120"/>
            </w:tcMar>
          </w:tcPr>
          <w:p>
            <w:r>
              <w:rPr>
                <w:b w:val="false"/>
                <w:bCs w:val="false"/>
                <w:color w:val="1E1B3A"/>
                <w:sz w:val="20"/>
                <w:szCs w:val="20"/>
              </w:rPr>
              <w:t xml:space="preserve">Register a received balance sheet (set the date received); record a query’s reply. Cannot issue a query, confirm TFV, reopen a locked record, or manage schools/leaders.</w:t>
            </w:r>
          </w:p>
        </w:tc>
      </w:tr>
      <w:tr>
        <w:tc>
          <w:tcPr>
            <w:tcW w:type="dxa" w:w="2600"/>
            <w:shd w:fill="F0EFF9" w:val="clear"/>
            <w:tcMar>
              <w:top w:type="dxa" w:w="100"/>
              <w:left w:type="dxa" w:w="120"/>
              <w:bottom w:type="dxa" w:w="100"/>
              <w:right w:type="dxa" w:w="120"/>
            </w:tcMar>
          </w:tcPr>
          <w:p>
            <w:r>
              <w:rPr>
                <w:b w:val="false"/>
                <w:bCs w:val="false"/>
                <w:color w:val="1E1B3A"/>
                <w:sz w:val="20"/>
                <w:szCs w:val="20"/>
              </w:rPr>
              <w:t xml:space="preserve">Administrative Officer</w:t>
            </w:r>
          </w:p>
        </w:tc>
        <w:tc>
          <w:tcPr>
            <w:tcW w:type="dxa" w:w="2600"/>
            <w:shd w:fill="F0EFF9" w:val="clear"/>
            <w:tcMar>
              <w:top w:type="dxa" w:w="100"/>
              <w:left w:type="dxa" w:w="120"/>
              <w:bottom w:type="dxa" w:w="100"/>
              <w:right w:type="dxa" w:w="120"/>
            </w:tcMar>
          </w:tcPr>
          <w:p>
            <w:r>
              <w:rPr>
                <w:b w:val="false"/>
                <w:bCs w:val="false"/>
                <w:color w:val="1E1B3A"/>
                <w:sz w:val="20"/>
                <w:szCs w:val="20"/>
              </w:rPr>
              <w:t xml:space="preserve">Pegawai Pentadbiran</w:t>
            </w:r>
          </w:p>
        </w:tc>
        <w:tc>
          <w:tcPr>
            <w:tcW w:type="dxa" w:w="4200"/>
            <w:shd w:fill="F0EFF9" w:val="clear"/>
            <w:tcMar>
              <w:top w:type="dxa" w:w="100"/>
              <w:left w:type="dxa" w:w="120"/>
              <w:bottom w:type="dxa" w:w="100"/>
              <w:right w:type="dxa" w:w="120"/>
            </w:tcMar>
          </w:tcPr>
          <w:p>
            <w:r>
              <w:rPr>
                <w:b w:val="false"/>
                <w:bCs w:val="false"/>
                <w:color w:val="1E1B3A"/>
                <w:sz w:val="20"/>
                <w:szCs w:val="20"/>
              </w:rPr>
              <w:t xml:space="preserve">Full control — everything a Clerk can do, plus: issue a query (kuiri), confirm TFV, reopen a locked record (with a logged reason), manage schools and leadership records, and run the Excel import.</w:t>
            </w:r>
          </w:p>
        </w:tc>
      </w:tr>
      <w:tr>
        <w:tc>
          <w:tcPr>
            <w:tcW w:type="dxa" w:w="2600"/>
            <w:tcMar>
              <w:top w:type="dxa" w:w="100"/>
              <w:left w:type="dxa" w:w="120"/>
              <w:bottom w:type="dxa" w:w="100"/>
              <w:right w:type="dxa" w:w="120"/>
            </w:tcMar>
          </w:tcPr>
          <w:p>
            <w:r>
              <w:rPr>
                <w:b w:val="false"/>
                <w:bCs w:val="false"/>
                <w:color w:val="1E1B3A"/>
                <w:sz w:val="20"/>
                <w:szCs w:val="20"/>
              </w:rPr>
              <w:t xml:space="preserve">Unit Head / Director</w:t>
            </w:r>
          </w:p>
        </w:tc>
        <w:tc>
          <w:tcPr>
            <w:tcW w:type="dxa" w:w="2600"/>
            <w:tcMar>
              <w:top w:type="dxa" w:w="100"/>
              <w:left w:type="dxa" w:w="120"/>
              <w:bottom w:type="dxa" w:w="100"/>
              <w:right w:type="dxa" w:w="120"/>
            </w:tcMar>
          </w:tcPr>
          <w:p>
            <w:r>
              <w:rPr>
                <w:b w:val="false"/>
                <w:bCs w:val="false"/>
                <w:color w:val="1E1B3A"/>
                <w:sz w:val="20"/>
                <w:szCs w:val="20"/>
              </w:rPr>
              <w:t xml:space="preserve">Ketua Unit / Pengarah</w:t>
            </w:r>
          </w:p>
        </w:tc>
        <w:tc>
          <w:tcPr>
            <w:tcW w:type="dxa" w:w="4200"/>
            <w:tcMar>
              <w:top w:type="dxa" w:w="100"/>
              <w:left w:type="dxa" w:w="120"/>
              <w:bottom w:type="dxa" w:w="100"/>
              <w:right w:type="dxa" w:w="120"/>
            </w:tcMar>
          </w:tcPr>
          <w:p>
            <w:r>
              <w:rPr>
                <w:b w:val="false"/>
                <w:bCs w:val="false"/>
                <w:color w:val="1E1B3A"/>
                <w:sz w:val="20"/>
                <w:szCs w:val="20"/>
              </w:rPr>
              <w:t xml:space="preserve">Read-only — Officer Dashboard and Executive Dashboard only. Cannot view or edit individual records.</w:t>
            </w:r>
          </w:p>
        </w:tc>
      </w:tr>
    </w:tbl>
    <w:p>
      <w:pPr>
        <w:spacing w:after="160"/>
      </w:pPr>
      <w:r>
        <w:t xml:space="preserve"> </w:t>
      </w:r>
    </w:p>
    <w:p>
      <w:pPr>
        <w:pStyle w:val="Heading1"/>
        <w:spacing w:after="160" w:before="360"/>
      </w:pPr>
      <w:r>
        <w:t xml:space="preserve">3. Record Status Lifecycle</w:t>
      </w:r>
    </w:p>
    <w:p>
      <w:pPr>
        <w:spacing w:after="160"/>
      </w:pPr>
      <w:r>
        <w:t xml:space="preserve">A record’s status is never set directly — it is always computed from its dates. The computation order is:</w:t>
      </w:r>
    </w:p>
    <w:p>
      <w:pPr>
        <w:pStyle w:val="ListParagraph"/>
        <w:numPr>
          <w:ilvl w:val="0"/>
          <w:numId w:val="2"/>
        </w:numPr>
        <w:spacing w:after="80"/>
      </w:pPr>
      <w:r>
        <w:t xml:space="preserve">If a True &amp; Fair View date is set → status is Selesai · TFV (and the record is locked).</w:t>
      </w:r>
    </w:p>
    <w:p>
      <w:pPr>
        <w:pStyle w:val="ListParagraph"/>
        <w:numPr>
          <w:ilvl w:val="0"/>
          <w:numId w:val="2"/>
        </w:numPr>
        <w:spacing w:after="80"/>
      </w:pPr>
      <w:r>
        <w:t xml:space="preserve">Otherwise, look at the most recent query (kuiri) round: if it has no reply date → Dalam Kuiri; if it has a reply date → Jawapan Diterima.</w:t>
      </w:r>
    </w:p>
    <w:p>
      <w:pPr>
        <w:pStyle w:val="ListParagraph"/>
        <w:numPr>
          <w:ilvl w:val="0"/>
          <w:numId w:val="2"/>
        </w:numPr>
        <w:spacing w:after="80"/>
      </w:pPr>
      <w:r>
        <w:t xml:space="preserve">If there is no query round at all, and a date received is set → Diterima.</w:t>
      </w:r>
    </w:p>
    <w:p>
      <w:pPr>
        <w:pStyle w:val="ListParagraph"/>
        <w:numPr>
          <w:ilvl w:val="0"/>
          <w:numId w:val="2"/>
        </w:numPr>
        <w:spacing w:after="80"/>
      </w:pPr>
      <w:r>
        <w:t xml:space="preserve">If none of the above → Belum Diterima (not yet received).</w:t>
      </w:r>
    </w:p>
    <w:p>
      <w:pPr>
        <w:spacing w:after="1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700"/>
      </w:tblGrid>
      <w:tr>
        <w:trPr>
          <w:tblHeader/>
        </w:trPr>
        <w:tc>
          <w:tcPr>
            <w:tcW w:type="dxa" w:w="2400"/>
            <w:shd w:fill="2E2A7A" w:val="clear"/>
            <w:tcMar>
              <w:top w:type="dxa" w:w="100"/>
              <w:left w:type="dxa" w:w="120"/>
              <w:bottom w:type="dxa" w:w="100"/>
              <w:right w:type="dxa" w:w="120"/>
            </w:tcMar>
          </w:tcPr>
          <w:p>
            <w:r>
              <w:rPr>
                <w:b/>
                <w:bCs/>
                <w:color w:val="FFFFFF"/>
                <w:sz w:val="20"/>
                <w:szCs w:val="20"/>
              </w:rPr>
              <w:t xml:space="preserve">Status</w:t>
            </w:r>
          </w:p>
        </w:tc>
        <w:tc>
          <w:tcPr>
            <w:tcW w:type="dxa" w:w="4300"/>
            <w:shd w:fill="2E2A7A" w:val="clear"/>
            <w:tcMar>
              <w:top w:type="dxa" w:w="100"/>
              <w:left w:type="dxa" w:w="120"/>
              <w:bottom w:type="dxa" w:w="100"/>
              <w:right w:type="dxa" w:w="120"/>
            </w:tcMar>
          </w:tcPr>
          <w:p>
            <w:r>
              <w:rPr>
                <w:b/>
                <w:bCs/>
                <w:color w:val="FFFFFF"/>
                <w:sz w:val="20"/>
                <w:szCs w:val="20"/>
              </w:rPr>
              <w:t xml:space="preserve">Meaning</w:t>
            </w:r>
          </w:p>
        </w:tc>
        <w:tc>
          <w:tcPr>
            <w:tcW w:type="dxa" w:w="2700"/>
            <w:shd w:fill="2E2A7A" w:val="clear"/>
            <w:tcMar>
              <w:top w:type="dxa" w:w="100"/>
              <w:left w:type="dxa" w:w="120"/>
              <w:bottom w:type="dxa" w:w="100"/>
              <w:right w:type="dxa" w:w="120"/>
            </w:tcMar>
          </w:tcPr>
          <w:p>
            <w:r>
              <w:rPr>
                <w:b/>
                <w:bCs/>
                <w:color w:val="FFFFFF"/>
                <w:sz w:val="20"/>
                <w:szCs w:val="20"/>
              </w:rPr>
              <w:t xml:space="preserve">Typical next action</w:t>
            </w:r>
          </w:p>
        </w:tc>
      </w:tr>
      <w:tr>
        <w:tc>
          <w:tcPr>
            <w:tcW w:type="dxa" w:w="2400"/>
            <w:tcMar>
              <w:top w:type="dxa" w:w="100"/>
              <w:left w:type="dxa" w:w="120"/>
              <w:bottom w:type="dxa" w:w="100"/>
              <w:right w:type="dxa" w:w="120"/>
            </w:tcMar>
          </w:tcPr>
          <w:p>
            <w:r>
              <w:rPr>
                <w:b w:val="false"/>
                <w:bCs w:val="false"/>
                <w:color w:val="1E1B3A"/>
                <w:sz w:val="20"/>
                <w:szCs w:val="20"/>
              </w:rPr>
              <w:t xml:space="preserve">Belum diterima</w:t>
            </w:r>
          </w:p>
        </w:tc>
        <w:tc>
          <w:tcPr>
            <w:tcW w:type="dxa" w:w="4300"/>
            <w:tcMar>
              <w:top w:type="dxa" w:w="100"/>
              <w:left w:type="dxa" w:w="120"/>
              <w:bottom w:type="dxa" w:w="100"/>
              <w:right w:type="dxa" w:w="120"/>
            </w:tcMar>
          </w:tcPr>
          <w:p>
            <w:r>
              <w:rPr>
                <w:b w:val="false"/>
                <w:bCs w:val="false"/>
                <w:color w:val="1E1B3A"/>
                <w:sz w:val="20"/>
                <w:szCs w:val="20"/>
              </w:rPr>
              <w:t xml:space="preserve">Not yet received from the school</w:t>
            </w:r>
          </w:p>
        </w:tc>
        <w:tc>
          <w:tcPr>
            <w:tcW w:type="dxa" w:w="2700"/>
            <w:tcMar>
              <w:top w:type="dxa" w:w="100"/>
              <w:left w:type="dxa" w:w="120"/>
              <w:bottom w:type="dxa" w:w="100"/>
              <w:right w:type="dxa" w:w="120"/>
            </w:tcMar>
          </w:tcPr>
          <w:p>
            <w:r>
              <w:rPr>
                <w:b w:val="false"/>
                <w:bCs w:val="false"/>
                <w:color w:val="1E1B3A"/>
                <w:sz w:val="20"/>
                <w:szCs w:val="20"/>
              </w:rPr>
              <w:t xml:space="preserve">Clerk registers the date received</w:t>
            </w:r>
          </w:p>
        </w:tc>
      </w:tr>
      <w:tr>
        <w:tc>
          <w:tcPr>
            <w:tcW w:type="dxa" w:w="2400"/>
            <w:shd w:fill="F0EFF9" w:val="clear"/>
            <w:tcMar>
              <w:top w:type="dxa" w:w="100"/>
              <w:left w:type="dxa" w:w="120"/>
              <w:bottom w:type="dxa" w:w="100"/>
              <w:right w:type="dxa" w:w="120"/>
            </w:tcMar>
          </w:tcPr>
          <w:p>
            <w:r>
              <w:rPr>
                <w:b w:val="false"/>
                <w:bCs w:val="false"/>
                <w:color w:val="1E1B3A"/>
                <w:sz w:val="20"/>
                <w:szCs w:val="20"/>
              </w:rPr>
              <w:t xml:space="preserve">Diterima</w:t>
            </w:r>
          </w:p>
        </w:tc>
        <w:tc>
          <w:tcPr>
            <w:tcW w:type="dxa" w:w="4300"/>
            <w:shd w:fill="F0EFF9" w:val="clear"/>
            <w:tcMar>
              <w:top w:type="dxa" w:w="100"/>
              <w:left w:type="dxa" w:w="120"/>
              <w:bottom w:type="dxa" w:w="100"/>
              <w:right w:type="dxa" w:w="120"/>
            </w:tcMar>
          </w:tcPr>
          <w:p>
            <w:r>
              <w:rPr>
                <w:b w:val="false"/>
                <w:bCs w:val="false"/>
                <w:color w:val="1E1B3A"/>
                <w:sz w:val="20"/>
                <w:szCs w:val="20"/>
              </w:rPr>
              <w:t xml:space="preserve">Received, awaiting officer review</w:t>
            </w:r>
          </w:p>
        </w:tc>
        <w:tc>
          <w:tcPr>
            <w:tcW w:type="dxa" w:w="2700"/>
            <w:shd w:fill="F0EFF9" w:val="clear"/>
            <w:tcMar>
              <w:top w:type="dxa" w:w="100"/>
              <w:left w:type="dxa" w:w="120"/>
              <w:bottom w:type="dxa" w:w="100"/>
              <w:right w:type="dxa" w:w="120"/>
            </w:tcMar>
          </w:tcPr>
          <w:p>
            <w:r>
              <w:rPr>
                <w:b w:val="false"/>
                <w:bCs w:val="false"/>
                <w:color w:val="1E1B3A"/>
                <w:sz w:val="20"/>
                <w:szCs w:val="20"/>
              </w:rPr>
              <w:t xml:space="preserve">Officer issues a query, or proceeds to confirm TFV</w:t>
            </w:r>
          </w:p>
        </w:tc>
      </w:tr>
      <w:tr>
        <w:tc>
          <w:tcPr>
            <w:tcW w:type="dxa" w:w="2400"/>
            <w:tcMar>
              <w:top w:type="dxa" w:w="100"/>
              <w:left w:type="dxa" w:w="120"/>
              <w:bottom w:type="dxa" w:w="100"/>
              <w:right w:type="dxa" w:w="120"/>
            </w:tcMar>
          </w:tcPr>
          <w:p>
            <w:r>
              <w:rPr>
                <w:b w:val="false"/>
                <w:bCs w:val="false"/>
                <w:color w:val="1E1B3A"/>
                <w:sz w:val="20"/>
                <w:szCs w:val="20"/>
              </w:rPr>
              <w:t xml:space="preserve">Dalam kuiri</w:t>
            </w:r>
          </w:p>
        </w:tc>
        <w:tc>
          <w:tcPr>
            <w:tcW w:type="dxa" w:w="4300"/>
            <w:tcMar>
              <w:top w:type="dxa" w:w="100"/>
              <w:left w:type="dxa" w:w="120"/>
              <w:bottom w:type="dxa" w:w="100"/>
              <w:right w:type="dxa" w:w="120"/>
            </w:tcMar>
          </w:tcPr>
          <w:p>
            <w:r>
              <w:rPr>
                <w:b w:val="false"/>
                <w:bCs w:val="false"/>
                <w:color w:val="1E1B3A"/>
                <w:sz w:val="20"/>
                <w:szCs w:val="20"/>
              </w:rPr>
              <w:t xml:space="preserve">A query has been sent to the school, awaiting reply</w:t>
            </w:r>
          </w:p>
        </w:tc>
        <w:tc>
          <w:tcPr>
            <w:tcW w:type="dxa" w:w="2700"/>
            <w:tcMar>
              <w:top w:type="dxa" w:w="100"/>
              <w:left w:type="dxa" w:w="120"/>
              <w:bottom w:type="dxa" w:w="100"/>
              <w:right w:type="dxa" w:w="120"/>
            </w:tcMar>
          </w:tcPr>
          <w:p>
            <w:r>
              <w:rPr>
                <w:b w:val="false"/>
                <w:bCs w:val="false"/>
                <w:color w:val="1E1B3A"/>
                <w:sz w:val="20"/>
                <w:szCs w:val="20"/>
              </w:rPr>
              <w:t xml:space="preserve">Clerk or Officer records the school’s reply</w:t>
            </w:r>
          </w:p>
        </w:tc>
      </w:tr>
      <w:tr>
        <w:tc>
          <w:tcPr>
            <w:tcW w:type="dxa" w:w="2400"/>
            <w:shd w:fill="F0EFF9" w:val="clear"/>
            <w:tcMar>
              <w:top w:type="dxa" w:w="100"/>
              <w:left w:type="dxa" w:w="120"/>
              <w:bottom w:type="dxa" w:w="100"/>
              <w:right w:type="dxa" w:w="120"/>
            </w:tcMar>
          </w:tcPr>
          <w:p>
            <w:r>
              <w:rPr>
                <w:b w:val="false"/>
                <w:bCs w:val="false"/>
                <w:color w:val="1E1B3A"/>
                <w:sz w:val="20"/>
                <w:szCs w:val="20"/>
              </w:rPr>
              <w:t xml:space="preserve">Jawapan diterima</w:t>
            </w:r>
          </w:p>
        </w:tc>
        <w:tc>
          <w:tcPr>
            <w:tcW w:type="dxa" w:w="4300"/>
            <w:shd w:fill="F0EFF9" w:val="clear"/>
            <w:tcMar>
              <w:top w:type="dxa" w:w="100"/>
              <w:left w:type="dxa" w:w="120"/>
              <w:bottom w:type="dxa" w:w="100"/>
              <w:right w:type="dxa" w:w="120"/>
            </w:tcMar>
          </w:tcPr>
          <w:p>
            <w:r>
              <w:rPr>
                <w:b w:val="false"/>
                <w:bCs w:val="false"/>
                <w:color w:val="1E1B3A"/>
                <w:sz w:val="20"/>
                <w:szCs w:val="20"/>
              </w:rPr>
              <w:t xml:space="preserve">The school has replied to the latest query</w:t>
            </w:r>
          </w:p>
        </w:tc>
        <w:tc>
          <w:tcPr>
            <w:tcW w:type="dxa" w:w="2700"/>
            <w:shd w:fill="F0EFF9" w:val="clear"/>
            <w:tcMar>
              <w:top w:type="dxa" w:w="100"/>
              <w:left w:type="dxa" w:w="120"/>
              <w:bottom w:type="dxa" w:w="100"/>
              <w:right w:type="dxa" w:w="120"/>
            </w:tcMar>
          </w:tcPr>
          <w:p>
            <w:r>
              <w:rPr>
                <w:b w:val="false"/>
                <w:bCs w:val="false"/>
                <w:color w:val="1E1B3A"/>
                <w:sz w:val="20"/>
                <w:szCs w:val="20"/>
              </w:rPr>
              <w:t xml:space="preserve">Officer issues another query (up to 3 rounds) or confirms TFV</w:t>
            </w:r>
          </w:p>
        </w:tc>
      </w:tr>
      <w:tr>
        <w:tc>
          <w:tcPr>
            <w:tcW w:type="dxa" w:w="2400"/>
            <w:tcMar>
              <w:top w:type="dxa" w:w="100"/>
              <w:left w:type="dxa" w:w="120"/>
              <w:bottom w:type="dxa" w:w="100"/>
              <w:right w:type="dxa" w:w="120"/>
            </w:tcMar>
          </w:tcPr>
          <w:p>
            <w:r>
              <w:rPr>
                <w:b w:val="false"/>
                <w:bCs w:val="false"/>
                <w:color w:val="1E1B3A"/>
                <w:sz w:val="20"/>
                <w:szCs w:val="20"/>
              </w:rPr>
              <w:t xml:space="preserve">Selesai · TFV</w:t>
            </w:r>
          </w:p>
        </w:tc>
        <w:tc>
          <w:tcPr>
            <w:tcW w:type="dxa" w:w="4300"/>
            <w:tcMar>
              <w:top w:type="dxa" w:w="100"/>
              <w:left w:type="dxa" w:w="120"/>
              <w:bottom w:type="dxa" w:w="100"/>
              <w:right w:type="dxa" w:w="120"/>
            </w:tcMar>
          </w:tcPr>
          <w:p>
            <w:r>
              <w:rPr>
                <w:b w:val="false"/>
                <w:bCs w:val="false"/>
                <w:color w:val="1E1B3A"/>
                <w:sz w:val="20"/>
                <w:szCs w:val="20"/>
              </w:rPr>
              <w:t xml:space="preserve">True &amp; Fair View confirmed; record is locked</w:t>
            </w:r>
          </w:p>
        </w:tc>
        <w:tc>
          <w:tcPr>
            <w:tcW w:type="dxa" w:w="2700"/>
            <w:tcMar>
              <w:top w:type="dxa" w:w="100"/>
              <w:left w:type="dxa" w:w="120"/>
              <w:bottom w:type="dxa" w:w="100"/>
              <w:right w:type="dxa" w:w="120"/>
            </w:tcMar>
          </w:tcPr>
          <w:p>
            <w:r>
              <w:rPr>
                <w:b w:val="false"/>
                <w:bCs w:val="false"/>
                <w:color w:val="1E1B3A"/>
                <w:sz w:val="20"/>
                <w:szCs w:val="20"/>
              </w:rPr>
              <w:t xml:space="preserve">Officer may reopen with a reason if a correction is needed</w:t>
            </w:r>
          </w:p>
        </w:tc>
      </w:tr>
    </w:tbl>
    <w:p>
      <w:pPr>
        <w:pStyle w:val="Heading1"/>
        <w:spacing w:after="160" w:before="360"/>
      </w:pPr>
      <w:r>
        <w:t xml:space="preserve">4. Validation Rules</w:t>
      </w:r>
    </w:p>
    <w:p>
      <w:pPr>
        <w:spacing w:after="160"/>
      </w:pPr>
      <w:r>
        <w:t xml:space="preserve">Five rules are enforced automatically by the system before any write to a record:</w:t>
      </w:r>
    </w:p>
    <w:p>
      <w:pPr>
        <w:pStyle w:val="ListParagraph"/>
        <w:numPr>
          <w:ilvl w:val="0"/>
          <w:numId w:val="2"/>
        </w:numPr>
        <w:spacing w:after="80"/>
      </w:pPr>
      <w:r>
        <w:rPr>
          <w:b/>
          <w:bCs/>
        </w:rPr>
        <w:t xml:space="preserve">V1 — Only one record may exist per school, financial year, term, and category.</w:t>
      </w:r>
    </w:p>
    <w:p>
      <w:pPr>
        <w:pStyle w:val="ListParagraph"/>
        <w:numPr>
          <w:ilvl w:val="0"/>
          <w:numId w:val="2"/>
        </w:numPr>
        <w:spacing w:after="80"/>
      </w:pPr>
      <w:r>
        <w:t xml:space="preserve">V2 — Dates must follow a valid sequence (received ≤ query ≤ reply ≤ TFV), and no date may be in the future.</w:t>
      </w:r>
    </w:p>
    <w:p>
      <w:pPr>
        <w:pStyle w:val="ListParagraph"/>
        <w:numPr>
          <w:ilvl w:val="0"/>
          <w:numId w:val="2"/>
        </w:numPr>
        <w:spacing w:after="80"/>
      </w:pPr>
      <w:r>
        <w:t xml:space="preserve">V3 — A new query round can only be opened once the previous round has a reply, and at most 3 rounds are allowed.</w:t>
      </w:r>
    </w:p>
    <w:p>
      <w:pPr>
        <w:pStyle w:val="ListParagraph"/>
        <w:numPr>
          <w:ilvl w:val="0"/>
          <w:numId w:val="2"/>
        </w:numPr>
        <w:spacing w:after="80"/>
      </w:pPr>
      <w:r>
        <w:t xml:space="preserve">V4 — True &amp; Fair View cannot be confirmed while the latest query round has no reply.</w:t>
      </w:r>
    </w:p>
    <w:p>
      <w:pPr>
        <w:pStyle w:val="ListParagraph"/>
        <w:numPr>
          <w:ilvl w:val="0"/>
          <w:numId w:val="2"/>
        </w:numPr>
        <w:spacing w:after="80"/>
      </w:pPr>
      <w:r>
        <w:t xml:space="preserve">V5 — Once confirmed, a record is locked. Reopening it (Officer only) requires a written reason, and is logged in the audit trail.</w:t>
      </w:r>
    </w:p>
    <w:p>
      <w:pPr>
        <w:pStyle w:val="Heading1"/>
        <w:spacing w:after="160" w:before="360"/>
      </w:pPr>
      <w:r>
        <w:t xml:space="preserve">5. Screens</w:t>
      </w:r>
    </w:p>
    <w:p>
      <w:pPr>
        <w:pStyle w:val="Heading2"/>
        <w:spacing w:after="120" w:before="280"/>
      </w:pPr>
      <w:r>
        <w:t xml:space="preserve">5.1 Login (Role Selection)</w:t>
      </w:r>
    </w:p>
    <w:p>
      <w:pPr>
        <w:spacing w:after="160"/>
      </w:pPr>
      <w:r>
        <w:t xml:space="preserve">The landing page at /kunci-kira-kira presents three role buttons (Kerani, Pegawai Pentadbiran, Ketua Unit / Pengarah). Selecting one starts a session under that role — no password is required, matching the system’s internal-use, low-friction design.</w:t>
      </w:r>
    </w:p>
    <w:p>
      <w:pPr>
        <w:pStyle w:val="Heading2"/>
        <w:spacing w:after="120" w:before="280"/>
      </w:pPr>
      <w:r>
        <w:t xml:space="preserve">5.2 Rekod Kunci Kira-Kira</w:t>
      </w:r>
    </w:p>
    <w:p>
      <w:pPr>
        <w:spacing w:after="160"/>
      </w:pPr>
      <w:r>
        <w:t xml:space="preserve">The main working screen. A filter bar (Tahun kewangan / Penggal / Kategori) narrows the list. Clerks and Officers see a "+ Daftar KKK diterima" form to register a newly received balance sheet. The records table lists each school, its cluster (Kluster), category, term, and current status badge. Selecting a row opens a detail panel showing a timeline (Diterima → each query round → True &amp; Fair View) and role- and status-appropriate action forms: issue a query, record a reply, confirm TFV, reopen a locked record, or update free-text notes (Catatan).</w:t>
      </w:r>
    </w:p>
    <w:p>
      <w:pPr>
        <w:pStyle w:val="Heading2"/>
        <w:spacing w:after="120" w:before="280"/>
      </w:pPr>
      <w:r>
        <w:t xml:space="preserve">5.3 Dashboard Pegawai (Officer Dashboard)</w:t>
      </w:r>
    </w:p>
    <w:p>
      <w:pPr>
        <w:spacing w:after="160"/>
      </w:pPr>
      <w:r>
        <w:t xml:space="preserve">Available to Officers and Unit Heads/Directors. Shows five key-performance tiles for the current year (expected, received, completed, in-query, not-yet-received), a by-category completion breakdown, and a "needs follow-up" list of open queries and awaiting-review records sorted by how long they have been outstanding.</w:t>
      </w:r>
    </w:p>
    <w:p>
      <w:pPr>
        <w:pStyle w:val="Heading2"/>
        <w:spacing w:after="120" w:before="280"/>
      </w:pPr>
      <w:r>
        <w:t xml:space="preserve">5.4 Dashboard Eksekutif (Executive Dashboard)</w:t>
      </w:r>
    </w:p>
    <w:p>
      <w:pPr>
        <w:spacing w:after="160"/>
      </w:pPr>
      <w:r>
        <w:t xml:space="preserve">A summary view for senior stakeholders: total active schools, schools that have reached Fairview, and schools that have not yet submitted — plus a school-by-category status table showing each school’s current leader alongside its Kantin / Yuran / Rampaian status badges.</w:t>
      </w:r>
    </w:p>
    <w:p>
      <w:pPr>
        <w:pStyle w:val="Heading2"/>
        <w:spacing w:after="120" w:before="280"/>
      </w:pPr>
      <w:r>
        <w:t xml:space="preserve">5.5 Sekolah &amp; Pemimpin (Schools &amp; Leaders)</w:t>
      </w:r>
    </w:p>
    <w:p>
      <w:pPr>
        <w:spacing w:after="160"/>
      </w:pPr>
      <w:r>
        <w:t xml:space="preserve">A master directory of schools (name, level — Rendah / Menengah / Pusat Tingkatan Enam, and cluster number) and each school’s leadership history. Officers can add a new leader (Pengetua / Guru Besar) with an appointment date; the previously current leader is automatically marked as a former leader.</w:t>
      </w:r>
    </w:p>
    <w:p>
      <w:pPr>
        <w:pStyle w:val="Heading2"/>
        <w:spacing w:after="120" w:before="280"/>
      </w:pPr>
      <w:r>
        <w:t xml:space="preserve">5.6 Import Excel</w:t>
      </w:r>
    </w:p>
    <w:p>
      <w:pPr>
        <w:spacing w:after="160"/>
      </w:pPr>
      <w:r>
        <w:t xml:space="preserve">A three-step wizard for migrating the legacy Excel-based register: (1) upload a workbook, (2) a real preview of the uploaded file’s sheets and cell contents, shown alongside an illustrative legacy-code mapping guide, (3) a completion screen reporting how many sheets and rows were read. Note: this wizard reads the uploaded file in full, but does not yet write records from it automatically — the legacy codes’ exact meanings need to be confirmed against a real historical file before that mapping step is built.</w:t>
      </w:r>
    </w:p>
    <w:p>
      <w:pPr>
        <w:pStyle w:val="Heading2"/>
        <w:spacing w:after="120" w:before="280"/>
      </w:pPr>
      <w:r>
        <w:t xml:space="preserve">5.7 Log Audit</w:t>
      </w:r>
    </w:p>
    <w:p>
      <w:pPr>
        <w:spacing w:after="160"/>
      </w:pPr>
      <w:r>
        <w:t xml:space="preserve">A chronological record of every action taken in the system — timestamp, user role, school, cluster, action, and any details (such as a reopening reason). Officers can download the full log as a PDF via the download icon beside the page title.</w:t>
      </w:r>
    </w:p>
    <w:p>
      <w:pPr>
        <w:pStyle w:val="Heading1"/>
        <w:spacing w:after="160" w:before="360"/>
      </w:pPr>
      <w:r>
        <w:t xml:space="preserve">6. Appearance &amp; Language</w:t>
      </w:r>
    </w:p>
    <w:p>
      <w:pPr>
        <w:pStyle w:val="ListParagraph"/>
        <w:numPr>
          <w:ilvl w:val="0"/>
          <w:numId w:val="2"/>
        </w:numPr>
        <w:spacing w:after="80"/>
      </w:pPr>
      <w:r>
        <w:t xml:space="preserve">Bilingual interface — every screen is available in Bahasa Melayu (default) and English, toggled via the BM/EN switch in the sidebar and on the login screen.</w:t>
      </w:r>
    </w:p>
    <w:p>
      <w:pPr>
        <w:pStyle w:val="ListParagraph"/>
        <w:numPr>
          <w:ilvl w:val="0"/>
          <w:numId w:val="2"/>
        </w:numPr>
        <w:spacing w:after="80"/>
      </w:pPr>
      <w:r>
        <w:t xml:space="preserve">Day/Night mode — a sun/moon toggle switches the whole interface between a light and a dark theme, persisted per session.</w:t>
      </w:r>
    </w:p>
    <w:p>
      <w:pPr>
        <w:pStyle w:val="ListParagraph"/>
        <w:numPr>
          <w:ilvl w:val="0"/>
          <w:numId w:val="2"/>
        </w:numPr>
        <w:spacing w:after="80"/>
      </w:pPr>
      <w:r>
        <w:t xml:space="preserve">Charts on the Sekolah &amp; Pemimpin page show a donut breakdown of schools by level and a bar chart of schools by cluster, both theme-aware.</w:t>
      </w:r>
    </w:p>
    <w:p>
      <w:pPr>
        <w:pStyle w:val="Heading1"/>
        <w:spacing w:after="160" w:before="360"/>
      </w:pPr>
      <w:r>
        <w:t xml:space="preserve">7. Technical Notes (For Administrators)</w:t>
      </w:r>
    </w:p>
    <w:p>
      <w:pPr>
        <w:spacing w:after="160"/>
      </w:pPr>
      <w:r>
        <w:t xml:space="preserve">This module is built on the same Laravel application as the rest of the Mesh portal, as an independent set of routes, controllers, and views under the kkk. route and URL prefix.</w:t>
      </w:r>
    </w:p>
    <w:p>
      <w:pPr>
        <w:pStyle w:val="ListParagraph"/>
        <w:numPr>
          <w:ilvl w:val="0"/>
          <w:numId w:val="2"/>
        </w:numPr>
        <w:spacing w:after="80"/>
      </w:pPr>
      <w:r>
        <w:t xml:space="preserve">Database: five dedicated tables (kkk_sekolah, kkk_pemimpin_sekolah, kkk_rekod, kkk_kuiri, kkk_log_audit).</w:t>
      </w:r>
    </w:p>
    <w:p>
      <w:pPr>
        <w:pStyle w:val="ListParagraph"/>
        <w:numPr>
          <w:ilvl w:val="0"/>
          <w:numId w:val="2"/>
        </w:numPr>
        <w:spacing w:after="80"/>
      </w:pPr>
      <w:r>
        <w:t xml:space="preserve">Authentication: session-based role selection only — not integrated with the portal’s main user/role login system by design, matching this module’s internal, low-friction use case.</w:t>
      </w:r>
    </w:p>
    <w:p>
      <w:pPr>
        <w:pStyle w:val="ListParagraph"/>
        <w:numPr>
          <w:ilvl w:val="0"/>
          <w:numId w:val="2"/>
        </w:numPr>
        <w:spacing w:after="80"/>
      </w:pPr>
      <w:r>
        <w:t xml:space="preserve">PDF export (audit log) is generated with the same DomPDF library already used elsewhere in the portal.</w:t>
      </w:r>
    </w:p>
    <w:p>
      <w:pPr>
        <w:pStyle w:val="ListParagraph"/>
        <w:numPr>
          <w:ilvl w:val="0"/>
          <w:numId w:val="2"/>
        </w:numPr>
        <w:spacing w:after="80"/>
      </w:pPr>
      <w:r>
        <w:t xml:space="preserve">Excel reading uses PhpSpreadsheet (via the maatwebsite/excel package already present in the application).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2026-10-10T07:38:39.586Z</dcterms:created>
  <dcterms:modified xsi:type="dcterms:W3CDTF">2026-10-10T07:38:39.586Z</dcterms:modified>
</cp:coreProperties>
</file>

<file path=docProps/custom.xml><?xml version="1.0" encoding="utf-8"?>
<Properties xmlns="http://schemas.openxmlformats.org/officeDocument/2006/custom-properties" xmlns:vt="http://schemas.openxmlformats.org/officeDocument/2006/docPropsVTypes"/>
</file>