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120" w:before="0"/>
        <w:jc w:val="center"/>
      </w:pPr>
      <w:r>
        <w:rPr>
          <w:rFonts w:ascii="Arial" w:cs="Arial" w:eastAsia="Arial" w:hAnsi="Arial"/>
          <w:b/>
          <w:bCs/>
          <w:color w:val="1F4E79"/>
          <w:sz w:val="52"/>
          <w:szCs w:val="52"/>
        </w:rPr>
        <w:t xml:space="preserve">Framework Comparison Metrics</w:t>
      </w:r>
    </w:p>
    <w:p>
      <w:pPr>
        <w:spacing w:after="80" w:before="0"/>
        <w:jc w:val="center"/>
      </w:pPr>
      <w:r>
        <w:rPr>
          <w:rFonts w:ascii="Arial" w:cs="Arial" w:eastAsia="Arial" w:hAnsi="Arial"/>
          <w:color w:val="2E75B6"/>
          <w:sz w:val="28"/>
          <w:szCs w:val="28"/>
        </w:rPr>
        <w:t xml:space="preserve">Cross-Framework Quantum Algorithm Benchmarking</w:t>
      </w:r>
    </w:p>
    <w:p>
      <w:pPr>
        <w:spacing w:after="80" w:before="80"/>
        <w:jc w:val="center"/>
      </w:pPr>
      <w:r>
        <w:rPr>
          <w:rFonts w:ascii="Arial" w:cs="Arial" w:eastAsia="Arial" w:hAnsi="Arial"/>
          <w:i/>
          <w:iCs/>
          <w:color w:val="555555"/>
          <w:sz w:val="24"/>
          <w:szCs w:val="24"/>
        </w:rPr>
        <w:t xml:space="preserve">Qiskit  ·  Cirq  ·  PennyLane  via  QCanvas</w:t>
      </w:r>
    </w:p>
    <w:p>
      <w:pPr>
        <w:spacing w:after="0" w:before="40"/>
      </w:pPr>
      <w:r>
        <w:t xml:space="preserve"/>
      </w:r>
    </w:p>
    <w:p>
      <w:pPr>
        <w:spacing w:after="40" w:before="0"/>
        <w:jc w:val="center"/>
      </w:pPr>
      <w:r>
        <w:rPr>
          <w:rFonts w:ascii="Arial" w:cs="Arial" w:eastAsia="Arial" w:hAnsi="Arial"/>
          <w:color w:val="888888"/>
          <w:sz w:val="22"/>
          <w:szCs w:val="22"/>
        </w:rPr>
        <w:t xml:space="preserve">Supervisor Review Document</w:t>
      </w:r>
    </w:p>
    <w:p>
      <w:pPr>
        <w:spacing w:after="0" w:before="0"/>
        <w:jc w:val="center"/>
      </w:pPr>
      <w:r>
        <w:rPr>
          <w:rFonts w:ascii="Arial" w:cs="Arial" w:eastAsia="Arial" w:hAnsi="Arial"/>
          <w:color w:val="888888"/>
          <w:sz w:val="22"/>
          <w:szCs w:val="22"/>
        </w:rPr>
        <w:t xml:space="preserve">May 2026</w:t>
      </w:r>
    </w:p>
    <w:p>
      <w:pPr>
        <w:spacing w:after="0" w:before="600"/>
      </w:pPr>
      <w:r>
        <w:t xml:space="preserve"/>
      </w:r>
    </w:p>
    <w:p>
      <w:pPr>
        <w:pStyle w:val="Heading1"/>
        <w:pBdr>
          <w:bottom w:val="single" w:color="2E75B6" w:sz="8" w:space="4"/>
        </w:pBdr>
        <w:spacing w:after="160" w:before="400"/>
      </w:pPr>
      <w:r>
        <w:rPr>
          <w:rFonts w:ascii="Arial" w:cs="Arial" w:eastAsia="Arial" w:hAnsi="Arial"/>
          <w:b/>
          <w:bCs/>
          <w:color w:val="1F4E79"/>
          <w:sz w:val="28"/>
          <w:szCs w:val="28"/>
        </w:rPr>
        <w:t xml:space="preserve">1. Introduction</w:t>
      </w:r>
    </w:p>
    <w:p>
      <w:pPr>
        <w:spacing w:after="100" w:before="80"/>
      </w:pPr>
      <w:r>
        <w:rPr>
          <w:rFonts w:ascii="Arial" w:cs="Arial" w:eastAsia="Arial" w:hAnsi="Arial"/>
          <w:b w:val="false"/>
          <w:bCs w:val="false"/>
          <w:i w:val="false"/>
          <w:iCs w:val="false"/>
          <w:color w:val="1A1A1A"/>
          <w:sz w:val="22"/>
          <w:szCs w:val="22"/>
        </w:rPr>
        <w:t xml:space="preserve">This document presents the complete set of metrics selected for the research paper: </w:t>
      </w:r>
      <w:r>
        <w:rPr>
          <w:rFonts w:ascii="Arial" w:cs="Arial" w:eastAsia="Arial" w:hAnsi="Arial"/>
          <w:b w:val="false"/>
          <w:bCs w:val="false"/>
          <w:i/>
          <w:iCs/>
          <w:color w:val="1A1A1A"/>
          <w:sz w:val="22"/>
          <w:szCs w:val="22"/>
        </w:rPr>
        <w:t xml:space="preserve">Cross-Framework Quantum Algorithm Benchmarking via Unified Compilation to OpenQASM 3.0.</w:t>
      </w:r>
      <w:r>
        <w:rPr>
          <w:rFonts w:ascii="Arial" w:cs="Arial" w:eastAsia="Arial" w:hAnsi="Arial"/>
          <w:b w:val="false"/>
          <w:bCs w:val="false"/>
          <w:i w:val="false"/>
          <w:iCs w:val="false"/>
          <w:color w:val="1A1A1A"/>
          <w:sz w:val="22"/>
          <w:szCs w:val="22"/>
        </w:rPr>
        <w:t xml:space="preserve"> The study evaluates three leading quantum computing frameworks — Qiskit</w:t>
      </w:r>
      <w:r>
        <w:rPr>
          <w:rFonts w:ascii="Arial" w:cs="Arial" w:eastAsia="Arial" w:hAnsi="Arial"/>
          <w:color w:val="2E75B6"/>
          <w:sz w:val="16"/>
          <w:szCs w:val="16"/>
          <w:vertAlign w:val="superscript"/>
        </w:rPr>
        <w:t xml:space="preserve">[6]</w:t>
      </w:r>
      <w:r>
        <w:rPr>
          <w:rFonts w:ascii="Arial" w:cs="Arial" w:eastAsia="Arial" w:hAnsi="Arial"/>
          <w:b w:val="false"/>
          <w:bCs w:val="false"/>
          <w:i w:val="false"/>
          <w:iCs w:val="false"/>
          <w:color w:val="1A1A1A"/>
          <w:sz w:val="22"/>
          <w:szCs w:val="22"/>
        </w:rPr>
        <w:t xml:space="preserve">, Cirq</w:t>
      </w:r>
      <w:r>
        <w:rPr>
          <w:rFonts w:ascii="Arial" w:cs="Arial" w:eastAsia="Arial" w:hAnsi="Arial"/>
          <w:color w:val="2E75B6"/>
          <w:sz w:val="16"/>
          <w:szCs w:val="16"/>
          <w:vertAlign w:val="superscript"/>
        </w:rPr>
        <w:t xml:space="preserve">[7]</w:t>
      </w:r>
      <w:r>
        <w:rPr>
          <w:rFonts w:ascii="Arial" w:cs="Arial" w:eastAsia="Arial" w:hAnsi="Arial"/>
          <w:b w:val="false"/>
          <w:bCs w:val="false"/>
          <w:i w:val="false"/>
          <w:iCs w:val="false"/>
          <w:color w:val="1A1A1A"/>
          <w:sz w:val="22"/>
          <w:szCs w:val="22"/>
        </w:rPr>
        <w:t xml:space="preserve">, and PennyLane</w:t>
      </w:r>
      <w:r>
        <w:rPr>
          <w:rFonts w:ascii="Arial" w:cs="Arial" w:eastAsia="Arial" w:hAnsi="Arial"/>
          <w:color w:val="2E75B6"/>
          <w:sz w:val="16"/>
          <w:szCs w:val="16"/>
          <w:vertAlign w:val="superscript"/>
        </w:rPr>
        <w:t xml:space="preserve">[8]</w:t>
      </w:r>
      <w:r>
        <w:rPr>
          <w:rFonts w:ascii="Arial" w:cs="Arial" w:eastAsia="Arial" w:hAnsi="Arial"/>
          <w:b w:val="false"/>
          <w:bCs w:val="false"/>
          <w:i w:val="false"/>
          <w:iCs w:val="false"/>
          <w:color w:val="1A1A1A"/>
          <w:sz w:val="22"/>
          <w:szCs w:val="22"/>
        </w:rPr>
        <w:t xml:space="preserve"> — by implementing 12 quantum algorithms idiomatically in each framework, compiling them to a common OpenQASM 3.0</w:t>
      </w:r>
      <w:r>
        <w:rPr>
          <w:rFonts w:ascii="Arial" w:cs="Arial" w:eastAsia="Arial" w:hAnsi="Arial"/>
          <w:color w:val="2E75B6"/>
          <w:sz w:val="16"/>
          <w:szCs w:val="16"/>
          <w:vertAlign w:val="superscript"/>
        </w:rPr>
        <w:t xml:space="preserve">[5]</w:t>
      </w:r>
      <w:r>
        <w:rPr>
          <w:rFonts w:ascii="Arial" w:cs="Arial" w:eastAsia="Arial" w:hAnsi="Arial"/>
          <w:b w:val="false"/>
          <w:bCs w:val="false"/>
          <w:i w:val="false"/>
          <w:iCs w:val="false"/>
          <w:color w:val="1A1A1A"/>
          <w:sz w:val="22"/>
          <w:szCs w:val="22"/>
        </w:rPr>
        <w:t xml:space="preserve"> intermediate representation using QCanvas, and then executing all circuits on the same QSim backend.</w:t>
      </w:r>
    </w:p>
    <w:p>
      <w:pPr>
        <w:spacing w:after="0" w:before="60"/>
      </w:pPr>
      <w:r>
        <w:t xml:space="preserve"/>
      </w:r>
    </w:p>
    <w:p>
      <w:pPr>
        <w:spacing w:after="100" w:before="80"/>
      </w:pPr>
      <w:r>
        <w:rPr>
          <w:rFonts w:ascii="Arial" w:cs="Arial" w:eastAsia="Arial" w:hAnsi="Arial"/>
          <w:b w:val="false"/>
          <w:bCs w:val="false"/>
          <w:i w:val="false"/>
          <w:iCs w:val="false"/>
          <w:color w:val="1A1A1A"/>
          <w:sz w:val="22"/>
          <w:szCs w:val="22"/>
        </w:rPr>
        <w:t xml:space="preserve">The unified compilation pipeline is the key differentiator of this study. Because every circuit is measured after passing through the same QCanvas converter and the same QSim simulator, any differences observed in the metrics below can be attributed to the frameworks' own transpilation strategies and gate vocabularies — not to differences in simulators or hardware. This ensures a fair, apples-to-apples comparison.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DDDDDD" w:sz="2"/>
            </w:tcBorders>
            <w:shd w:fill="EAF2FB" w:val="clear"/>
            <w:tcMar>
              <w:top w:type="dxa" w:w="120"/>
              <w:left w:type="dxa" w:w="200"/>
              <w:bottom w:type="dxa" w:w="120"/>
              <w:right w:type="dxa" w:w="200"/>
            </w:tcMar>
          </w:tcPr>
          <w:p>
            <w:pPr>
              <w:spacing w:after="40" w:before="0"/>
            </w:pPr>
            <w:r>
              <w:rPr>
                <w:rFonts w:ascii="Arial" w:cs="Arial" w:eastAsia="Arial" w:hAnsi="Arial"/>
                <w:b/>
                <w:bCs/>
                <w:color w:val="2E75B6"/>
                <w:sz w:val="20"/>
                <w:szCs w:val="20"/>
              </w:rPr>
              <w:t xml:space="preserve">Why a unified pipeline matters</w:t>
            </w:r>
          </w:p>
          <w:p>
            <w:pPr>
              <w:spacing w:after="0" w:before="0"/>
            </w:pPr>
            <w:r>
              <w:rPr>
                <w:rFonts w:ascii="Arial" w:cs="Arial" w:eastAsia="Arial" w:hAnsi="Arial"/>
                <w:color w:val="333333"/>
                <w:sz w:val="20"/>
                <w:szCs w:val="20"/>
              </w:rPr>
              <w:t xml:space="preserve">Prior framework comparisons often run each framework on its own native simulator, making it impossible to separate framework-level differences from simulator-level differences. By routing all circuits through QCanvas → OpenQASM 3.0</w:t>
            </w:r>
            <w:r>
              <w:rPr>
                <w:rFonts w:ascii="Arial" w:cs="Arial" w:eastAsia="Arial" w:hAnsi="Arial"/>
                <w:color w:val="333333"/>
                <w:sz w:val="20"/>
                <w:szCs w:val="20"/>
              </w:rPr>
            </w:r>
            <w:r>
              <w:rPr>
                <w:rFonts w:ascii="Arial" w:cs="Arial" w:eastAsia="Arial" w:hAnsi="Arial"/>
                <w:color w:val="2E75B6"/>
                <w:sz w:val="15"/>
                <w:szCs w:val="15"/>
                <w:vertAlign w:val="superscript"/>
              </w:rPr>
              <w:t xml:space="preserve">[5]</w:t>
            </w:r>
            <w:r>
              <w:rPr>
                <w:rFonts w:ascii="Arial" w:cs="Arial" w:eastAsia="Arial" w:hAnsi="Arial"/>
                <w:color w:val="333333"/>
                <w:sz w:val="20"/>
                <w:szCs w:val="20"/>
              </w:rPr>
              <w:t xml:space="preserve"> → QSim, we eliminate that confound entirely.</w:t>
            </w:r>
          </w:p>
        </w:tc>
      </w:tr>
    </w:tbl>
    <w:p>
      <w:pPr>
        <w:spacing w:after="0" w:before="160"/>
      </w:pPr>
      <w:r>
        <w:t xml:space="preserve"/>
      </w:r>
    </w:p>
    <w:p>
      <w:pPr>
        <w:pStyle w:val="Heading1"/>
        <w:pBdr>
          <w:bottom w:val="single" w:color="2E75B6" w:sz="8" w:space="4"/>
        </w:pBdr>
        <w:spacing w:after="160" w:before="400"/>
      </w:pPr>
      <w:r>
        <w:rPr>
          <w:rFonts w:ascii="Arial" w:cs="Arial" w:eastAsia="Arial" w:hAnsi="Arial"/>
          <w:b/>
          <w:bCs/>
          <w:color w:val="1F4E79"/>
          <w:sz w:val="28"/>
          <w:szCs w:val="28"/>
        </w:rPr>
        <w:t xml:space="preserve">2. Algorithm Test Suite</w:t>
      </w:r>
    </w:p>
    <w:p>
      <w:pPr>
        <w:spacing w:after="100" w:before="80"/>
      </w:pPr>
      <w:r>
        <w:rPr>
          <w:rFonts w:ascii="Arial" w:cs="Arial" w:eastAsia="Arial" w:hAnsi="Arial"/>
          <w:color w:val="1A1A1A"/>
          <w:sz w:val="22"/>
          <w:szCs w:val="22"/>
        </w:rPr>
        <w:t xml:space="preserve">The benchmarks are run across 12 quantum algorithms spanning five categories, chosen to give representative coverage of practically important quantum computing workloads — from simple two-qubit foundational circuits to multi-qubit variational and error correction routines.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500"/>
        <w:gridCol w:w="3260"/>
      </w:tblGrid>
      <w:tr>
        <w:trPr>
          <w:tblHeader/>
        </w:trPr>
        <w:tc>
          <w:tcPr>
            <w:tcW w:type="dxa" w:w="6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30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Algorithm</w:t>
            </w:r>
          </w:p>
        </w:tc>
        <w:tc>
          <w:tcPr>
            <w:tcW w:type="dxa" w:w="25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Category</w:t>
            </w:r>
          </w:p>
        </w:tc>
        <w:tc>
          <w:tcPr>
            <w:tcW w:type="dxa" w:w="326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Qubit Range</w:t>
            </w:r>
          </w:p>
        </w:tc>
      </w:tr>
      <w:tr>
        <w:tc>
          <w:tcPr>
            <w:tcW w:type="dxa" w:w="6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w:t>
            </w:r>
          </w:p>
        </w:tc>
        <w:tc>
          <w:tcPr>
            <w:tcW w:type="dxa" w:w="3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Bell State</w:t>
            </w:r>
          </w:p>
        </w:tc>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Foundational</w:t>
            </w:r>
          </w:p>
        </w:tc>
        <w:tc>
          <w:tcPr>
            <w:tcW w:type="dxa" w:w="32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2</w:t>
            </w:r>
          </w:p>
        </w:tc>
      </w:tr>
      <w:tr>
        <w:tc>
          <w:tcPr>
            <w:tcW w:type="dxa" w:w="6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2</w:t>
            </w:r>
          </w:p>
        </w:tc>
        <w:tc>
          <w:tcPr>
            <w:tcW w:type="dxa" w:w="3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GHZ State</w:t>
            </w:r>
          </w:p>
        </w:tc>
        <w:tc>
          <w:tcPr>
            <w:tcW w:type="dxa" w:w="25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Foundational</w:t>
            </w:r>
          </w:p>
        </w:tc>
        <w:tc>
          <w:tcPr>
            <w:tcW w:type="dxa" w:w="32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3 – 8</w:t>
            </w:r>
          </w:p>
        </w:tc>
      </w:tr>
      <w:tr>
        <w:tc>
          <w:tcPr>
            <w:tcW w:type="dxa" w:w="6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3</w:t>
            </w:r>
          </w:p>
        </w:tc>
        <w:tc>
          <w:tcPr>
            <w:tcW w:type="dxa" w:w="3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Quantum Teleportation</w:t>
            </w:r>
          </w:p>
        </w:tc>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Communication</w:t>
            </w:r>
          </w:p>
        </w:tc>
        <w:tc>
          <w:tcPr>
            <w:tcW w:type="dxa" w:w="32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3</w:t>
            </w:r>
          </w:p>
        </w:tc>
      </w:tr>
      <w:tr>
        <w:tc>
          <w:tcPr>
            <w:tcW w:type="dxa" w:w="6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4</w:t>
            </w:r>
          </w:p>
        </w:tc>
        <w:tc>
          <w:tcPr>
            <w:tcW w:type="dxa" w:w="3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Deutsch–Jozsa</w:t>
            </w:r>
          </w:p>
        </w:tc>
        <w:tc>
          <w:tcPr>
            <w:tcW w:type="dxa" w:w="25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Oracle-Based</w:t>
            </w:r>
          </w:p>
        </w:tc>
        <w:tc>
          <w:tcPr>
            <w:tcW w:type="dxa" w:w="32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3 – 8</w:t>
            </w:r>
          </w:p>
        </w:tc>
      </w:tr>
      <w:tr>
        <w:tc>
          <w:tcPr>
            <w:tcW w:type="dxa" w:w="6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5</w:t>
            </w:r>
          </w:p>
        </w:tc>
        <w:tc>
          <w:tcPr>
            <w:tcW w:type="dxa" w:w="3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Bernstein–Vazirani</w:t>
            </w:r>
          </w:p>
        </w:tc>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Oracle-Based</w:t>
            </w:r>
          </w:p>
        </w:tc>
        <w:tc>
          <w:tcPr>
            <w:tcW w:type="dxa" w:w="32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3 – 8</w:t>
            </w:r>
          </w:p>
        </w:tc>
      </w:tr>
      <w:tr>
        <w:tc>
          <w:tcPr>
            <w:tcW w:type="dxa" w:w="6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6</w:t>
            </w:r>
          </w:p>
        </w:tc>
        <w:tc>
          <w:tcPr>
            <w:tcW w:type="dxa" w:w="3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Grover's Algorithm</w:t>
            </w:r>
          </w:p>
        </w:tc>
        <w:tc>
          <w:tcPr>
            <w:tcW w:type="dxa" w:w="25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Search</w:t>
            </w:r>
          </w:p>
        </w:tc>
        <w:tc>
          <w:tcPr>
            <w:tcW w:type="dxa" w:w="32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2 – 6</w:t>
            </w:r>
          </w:p>
        </w:tc>
      </w:tr>
      <w:tr>
        <w:tc>
          <w:tcPr>
            <w:tcW w:type="dxa" w:w="6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7</w:t>
            </w:r>
          </w:p>
        </w:tc>
        <w:tc>
          <w:tcPr>
            <w:tcW w:type="dxa" w:w="3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QRNG</w:t>
            </w:r>
          </w:p>
        </w:tc>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Randomness</w:t>
            </w:r>
          </w:p>
        </w:tc>
        <w:tc>
          <w:tcPr>
            <w:tcW w:type="dxa" w:w="32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4 – 8</w:t>
            </w:r>
          </w:p>
        </w:tc>
      </w:tr>
      <w:tr>
        <w:tc>
          <w:tcPr>
            <w:tcW w:type="dxa" w:w="6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8</w:t>
            </w:r>
          </w:p>
        </w:tc>
        <w:tc>
          <w:tcPr>
            <w:tcW w:type="dxa" w:w="3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VQE</w:t>
            </w:r>
          </w:p>
        </w:tc>
        <w:tc>
          <w:tcPr>
            <w:tcW w:type="dxa" w:w="25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Variational</w:t>
            </w:r>
          </w:p>
        </w:tc>
        <w:tc>
          <w:tcPr>
            <w:tcW w:type="dxa" w:w="32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2 – 6</w:t>
            </w:r>
          </w:p>
        </w:tc>
      </w:tr>
      <w:tr>
        <w:tc>
          <w:tcPr>
            <w:tcW w:type="dxa" w:w="6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9</w:t>
            </w:r>
          </w:p>
        </w:tc>
        <w:tc>
          <w:tcPr>
            <w:tcW w:type="dxa" w:w="3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QAOA</w:t>
            </w:r>
          </w:p>
        </w:tc>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Variational</w:t>
            </w:r>
          </w:p>
        </w:tc>
        <w:tc>
          <w:tcPr>
            <w:tcW w:type="dxa" w:w="32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2 – 6</w:t>
            </w:r>
          </w:p>
        </w:tc>
      </w:tr>
      <w:tr>
        <w:tc>
          <w:tcPr>
            <w:tcW w:type="dxa" w:w="6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10</w:t>
            </w:r>
          </w:p>
        </w:tc>
        <w:tc>
          <w:tcPr>
            <w:tcW w:type="dxa" w:w="3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QML XOR Classifier</w:t>
            </w:r>
          </w:p>
        </w:tc>
        <w:tc>
          <w:tcPr>
            <w:tcW w:type="dxa" w:w="25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Quantum ML</w:t>
            </w:r>
          </w:p>
        </w:tc>
        <w:tc>
          <w:tcPr>
            <w:tcW w:type="dxa" w:w="32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2 – 4</w:t>
            </w:r>
          </w:p>
        </w:tc>
      </w:tr>
      <w:tr>
        <w:tc>
          <w:tcPr>
            <w:tcW w:type="dxa" w:w="6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11</w:t>
            </w:r>
          </w:p>
        </w:tc>
        <w:tc>
          <w:tcPr>
            <w:tcW w:type="dxa" w:w="3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Bit-Flip Error Code</w:t>
            </w:r>
          </w:p>
        </w:tc>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Error Correction</w:t>
            </w:r>
          </w:p>
        </w:tc>
        <w:tc>
          <w:tcPr>
            <w:tcW w:type="dxa" w:w="32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3 – 9</w:t>
            </w:r>
          </w:p>
        </w:tc>
      </w:tr>
      <w:tr>
        <w:tc>
          <w:tcPr>
            <w:tcW w:type="dxa" w:w="6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12</w:t>
            </w:r>
          </w:p>
        </w:tc>
        <w:tc>
          <w:tcPr>
            <w:tcW w:type="dxa" w:w="3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Phase-Flip Error Code</w:t>
            </w:r>
          </w:p>
        </w:tc>
        <w:tc>
          <w:tcPr>
            <w:tcW w:type="dxa" w:w="25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Error Correction</w:t>
            </w:r>
          </w:p>
        </w:tc>
        <w:tc>
          <w:tcPr>
            <w:tcW w:type="dxa" w:w="32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3 – 9</w:t>
            </w:r>
          </w:p>
        </w:tc>
      </w:tr>
    </w:tbl>
    <w:p>
      <w:pPr>
        <w:spacing w:after="0" w:before="100"/>
      </w:pPr>
      <w:r>
        <w:t xml:space="preserve"/>
      </w:r>
    </w:p>
    <w:p>
      <w:pPr>
        <w:spacing w:after="100" w:before="80"/>
      </w:pPr>
      <w:r>
        <w:rPr>
          <w:rFonts w:ascii="Arial" w:cs="Arial" w:eastAsia="Arial" w:hAnsi="Arial"/>
          <w:color w:val="1A1A1A"/>
          <w:sz w:val="22"/>
          <w:szCs w:val="22"/>
        </w:rPr>
        <w:t xml:space="preserve">Each algorithm is implemented three times — once in native Qiskit style, once in native Cirq style, and once in native PennyLane style — to ensure idiomatic usage of each framework rather than a direct port. For algorithms that scale with qubit count, the full range of qubit sizes listed above is tested, producing both point estimates and scaling data.</w:t>
      </w:r>
    </w:p>
    <w:p>
      <w:pPr>
        <w:spacing w:after="0" w:before="160"/>
      </w:pPr>
      <w:r>
        <w:t xml:space="preserve"/>
      </w:r>
    </w:p>
    <w:p>
      <w:pPr>
        <w:pStyle w:val="Heading1"/>
        <w:pBdr>
          <w:bottom w:val="single" w:color="2E75B6" w:sz="8" w:space="4"/>
        </w:pBdr>
        <w:spacing w:after="160" w:before="400"/>
      </w:pPr>
      <w:r>
        <w:rPr>
          <w:rFonts w:ascii="Arial" w:cs="Arial" w:eastAsia="Arial" w:hAnsi="Arial"/>
          <w:b/>
          <w:bCs/>
          <w:color w:val="1F4E79"/>
          <w:sz w:val="28"/>
          <w:szCs w:val="28"/>
        </w:rPr>
        <w:t xml:space="preserve">3. Metric Categories</w:t>
      </w:r>
    </w:p>
    <w:p>
      <w:pPr>
        <w:spacing w:after="100" w:before="80"/>
      </w:pPr>
      <w:r>
        <w:rPr>
          <w:rFonts w:ascii="Arial" w:cs="Arial" w:eastAsia="Arial" w:hAnsi="Arial"/>
          <w:color w:val="1A1A1A"/>
          <w:sz w:val="22"/>
          <w:szCs w:val="22"/>
        </w:rPr>
        <w:t xml:space="preserve">The metrics are organized into six categories, each measuring a distinct dimension of framework performance. Together they provide a holistic and reproducible comparison.</w:t>
      </w:r>
    </w:p>
    <w:p>
      <w:pPr>
        <w:spacing w:after="0" w:before="80"/>
      </w:pPr>
      <w:r>
        <w:t xml:space="preserve"/>
      </w:r>
    </w:p>
    <w:p>
      <w:pPr>
        <w:pStyle w:val="Heading2"/>
        <w:spacing w:after="120" w:before="280"/>
      </w:pPr>
      <w:r>
        <w:rPr>
          <w:rFonts w:ascii="Arial" w:cs="Arial" w:eastAsia="Arial" w:hAnsi="Arial"/>
          <w:b/>
          <w:bCs/>
          <w:color w:val="2E75B6"/>
          <w:sz w:val="24"/>
          <w:szCs w:val="24"/>
        </w:rPr>
        <w:t xml:space="preserve">3.1  Compilation Metrics</w:t>
      </w:r>
    </w:p>
    <w:p>
      <w:pPr>
        <w:spacing w:after="100" w:before="80"/>
      </w:pPr>
      <w:r>
        <w:rPr>
          <w:rFonts w:ascii="Arial" w:cs="Arial" w:eastAsia="Arial" w:hAnsi="Arial"/>
          <w:i/>
          <w:iCs/>
          <w:color w:val="666666"/>
          <w:sz w:val="22"/>
          <w:szCs w:val="22"/>
        </w:rPr>
        <w:t xml:space="preserve">Source file: metrics/compilation_times.csv</w:t>
      </w:r>
    </w:p>
    <w:p>
      <w:pPr>
        <w:spacing w:after="0" w:before="80"/>
      </w:pPr>
      <w:r>
        <w:t xml:space="preserve"/>
      </w:r>
    </w:p>
    <w:p>
      <w:pPr>
        <w:spacing w:after="100" w:before="80"/>
      </w:pPr>
      <w:r>
        <w:rPr>
          <w:rFonts w:ascii="Arial" w:cs="Arial" w:eastAsia="Arial" w:hAnsi="Arial"/>
          <w:color w:val="1A1A1A"/>
          <w:sz w:val="22"/>
          <w:szCs w:val="22"/>
        </w:rPr>
        <w:t xml:space="preserve">Compilation metrics capture how quickly and reliably each framework transpiles a high-level circuit definition into an executable OpenQASM 3.0 instruction set. Each compilation is repeated 10 times, and the mean and standard deviation are recorded.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25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Unit / Type</w:t>
            </w:r>
          </w:p>
        </w:tc>
        <w:tc>
          <w:tcPr>
            <w:tcW w:type="dxa" w:w="406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8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mean_compile_ms</w:t>
            </w:r>
          </w:p>
        </w:tc>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ms (float)</w:t>
            </w:r>
          </w:p>
        </w:tc>
        <w:tc>
          <w:tcPr>
            <w:tcW w:type="dxa" w:w="40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Average transpilation time across 10 runs</w:t>
            </w:r>
          </w:p>
        </w:tc>
      </w:tr>
      <w:tr>
        <w:tc>
          <w:tcPr>
            <w:tcW w:type="dxa" w:w="28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std_compile_ms</w:t>
            </w:r>
          </w:p>
        </w:tc>
        <w:tc>
          <w:tcPr>
            <w:tcW w:type="dxa" w:w="25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ms (float)</w:t>
            </w:r>
          </w:p>
        </w:tc>
        <w:tc>
          <w:tcPr>
            <w:tcW w:type="dxa" w:w="40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Standard deviation of compilation time — measures transpiler consistency</w:t>
            </w:r>
          </w:p>
        </w:tc>
      </w:tr>
      <w:tr>
        <w:tc>
          <w:tcPr>
            <w:tcW w:type="dxa" w:w="28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success</w:t>
            </w:r>
          </w:p>
        </w:tc>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Boolean</w:t>
            </w:r>
          </w:p>
        </w:tc>
        <w:tc>
          <w:tcPr>
            <w:tcW w:type="dxa" w:w="40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Whether compilation completed without error</w:t>
            </w:r>
          </w:p>
        </w:tc>
      </w:tr>
    </w:tbl>
    <w:p>
      <w:pPr>
        <w:spacing w:after="0" w:before="100"/>
      </w:pPr>
      <w:r>
        <w:t xml:space="preserve"/>
      </w:r>
    </w:p>
    <w:p>
      <w:pPr>
        <w:spacing w:after="80" w:before="200"/>
      </w:pPr>
      <w:r>
        <w:rPr>
          <w:rFonts w:ascii="Arial" w:cs="Arial" w:eastAsia="Arial" w:hAnsi="Arial"/>
          <w:b/>
          <w:bCs/>
          <w:color w:val="2C5F8A"/>
          <w:sz w:val="22"/>
          <w:szCs w:val="22"/>
        </w:rPr>
        <w:t xml:space="preserve">Why we chose these metrics</w:t>
      </w:r>
    </w:p>
    <w:p>
      <w:pPr>
        <w:spacing w:after="100" w:before="80"/>
      </w:pPr>
      <w:r>
        <w:rPr>
          <w:rFonts w:ascii="Arial" w:cs="Arial" w:eastAsia="Arial" w:hAnsi="Arial"/>
          <w:b w:val="false"/>
          <w:bCs w:val="false"/>
          <w:i w:val="false"/>
          <w:iCs w:val="false"/>
          <w:color w:val="1A1A1A"/>
          <w:sz w:val="22"/>
          <w:szCs w:val="22"/>
        </w:rPr>
        <w:t xml:space="preserve">Compilation speed is a practical bottleneck in the quantum development workflow, particularly for variational algorithms (VQE, QAOA) that require many repeated circuit compilations during classical–quantum optimization loops — a challenge highlighted in the early NISQ literature.</w:t>
      </w:r>
      <w:r>
        <w:rPr>
          <w:rFonts w:ascii="Arial" w:cs="Arial" w:eastAsia="Arial" w:hAnsi="Arial"/>
          <w:color w:val="2E75B6"/>
          <w:sz w:val="16"/>
          <w:szCs w:val="16"/>
          <w:vertAlign w:val="superscript"/>
        </w:rPr>
        <w:t xml:space="preserve">[1]</w:t>
      </w:r>
      <w:r>
        <w:rPr>
          <w:rFonts w:ascii="Arial" w:cs="Arial" w:eastAsia="Arial" w:hAnsi="Arial"/>
          <w:b w:val="false"/>
          <w:bCs w:val="false"/>
          <w:i w:val="false"/>
          <w:iCs w:val="false"/>
          <w:color w:val="1A1A1A"/>
          <w:sz w:val="22"/>
          <w:szCs w:val="22"/>
        </w:rPr>
        <w:t xml:space="preserve"> A high standard deviation (std_compile_ms) signals an unstable transpiler, which makes execution pipelines unreliable. The </w:t>
      </w:r>
      <w:r>
        <w:rPr>
          <w:rFonts w:ascii="Arial" w:cs="Arial" w:eastAsia="Arial" w:hAnsi="Arial"/>
          <w:b/>
          <w:bCs/>
          <w:i w:val="false"/>
          <w:iCs w:val="false"/>
          <w:color w:val="1A1A1A"/>
          <w:sz w:val="22"/>
          <w:szCs w:val="22"/>
        </w:rPr>
        <w:t xml:space="preserve">success</w:t>
      </w:r>
      <w:r>
        <w:rPr>
          <w:rFonts w:ascii="Arial" w:cs="Arial" w:eastAsia="Arial" w:hAnsi="Arial"/>
          <w:b w:val="false"/>
          <w:bCs w:val="false"/>
          <w:i w:val="false"/>
          <w:iCs w:val="false"/>
          <w:color w:val="1A1A1A"/>
          <w:sz w:val="22"/>
          <w:szCs w:val="22"/>
        </w:rPr>
        <w:t xml:space="preserve"> flag identifies hard compilation failures, which are especially important to track for the more complex circuits in the suite.</w:t>
      </w:r>
    </w:p>
    <w:p>
      <w:pPr>
        <w:spacing w:after="0" w:before="160"/>
      </w:pPr>
      <w:r>
        <w:t xml:space="preserve"/>
      </w:r>
    </w:p>
    <w:p>
      <w:pPr>
        <w:pStyle w:val="Heading2"/>
        <w:spacing w:after="120" w:before="280"/>
      </w:pPr>
      <w:r>
        <w:rPr>
          <w:rFonts w:ascii="Arial" w:cs="Arial" w:eastAsia="Arial" w:hAnsi="Arial"/>
          <w:b/>
          <w:bCs/>
          <w:color w:val="2E75B6"/>
          <w:sz w:val="24"/>
          <w:szCs w:val="24"/>
        </w:rPr>
        <w:t xml:space="preserve">3.2  Structural &amp; Optimization Metrics</w:t>
      </w:r>
    </w:p>
    <w:p>
      <w:pPr>
        <w:spacing w:after="100" w:before="80"/>
      </w:pPr>
      <w:r>
        <w:rPr>
          <w:rFonts w:ascii="Arial" w:cs="Arial" w:eastAsia="Arial" w:hAnsi="Arial"/>
          <w:i/>
          <w:iCs/>
          <w:color w:val="666666"/>
          <w:sz w:val="22"/>
          <w:szCs w:val="22"/>
        </w:rPr>
        <w:t xml:space="preserve">Source file: metrics/structural_metrics.csv</w:t>
      </w:r>
    </w:p>
    <w:p>
      <w:pPr>
        <w:spacing w:after="0" w:before="80"/>
      </w:pPr>
      <w:r>
        <w:t xml:space="preserve"/>
      </w:r>
    </w:p>
    <w:p>
      <w:pPr>
        <w:spacing w:after="100" w:before="80"/>
      </w:pPr>
      <w:r>
        <w:rPr>
          <w:rFonts w:ascii="Arial" w:cs="Arial" w:eastAsia="Arial" w:hAnsi="Arial"/>
          <w:b w:val="false"/>
          <w:bCs w:val="false"/>
          <w:i w:val="false"/>
          <w:iCs w:val="false"/>
          <w:color w:val="1A1A1A"/>
          <w:sz w:val="22"/>
          <w:szCs w:val="22"/>
        </w:rPr>
        <w:t xml:space="preserve">Structural metrics analyze the topology and gate composition of the compiled circuit. They directly determine the likelihood of successful execution on real noisy hardware. These metrics are informed by the broader NISQ-era understanding that circuit depth and two-qubit gate count are the primary predictors of output quality on current devices.</w:t>
      </w:r>
      <w:r>
        <w:rPr>
          <w:rFonts w:ascii="Arial" w:cs="Arial" w:eastAsia="Arial" w:hAnsi="Arial"/>
          <w:color w:val="2E75B6"/>
          <w:sz w:val="16"/>
          <w:szCs w:val="16"/>
          <w:vertAlign w:val="superscript"/>
        </w:rPr>
        <w:t xml:space="preserve">[1]</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25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Unit / Type</w:t>
            </w:r>
          </w:p>
        </w:tc>
        <w:tc>
          <w:tcPr>
            <w:tcW w:type="dxa" w:w="406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8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total_gates</w:t>
            </w:r>
          </w:p>
        </w:tc>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Integer</w:t>
            </w:r>
          </w:p>
        </w:tc>
        <w:tc>
          <w:tcPr>
            <w:tcW w:type="dxa" w:w="40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Total number of quantum gates in the compiled circuit</w:t>
            </w:r>
          </w:p>
        </w:tc>
      </w:tr>
      <w:tr>
        <w:tc>
          <w:tcPr>
            <w:tcW w:type="dxa" w:w="28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circuit_depth</w:t>
            </w:r>
          </w:p>
        </w:tc>
        <w:tc>
          <w:tcPr>
            <w:tcW w:type="dxa" w:w="25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Integer</w:t>
            </w:r>
          </w:p>
        </w:tc>
        <w:tc>
          <w:tcPr>
            <w:tcW w:type="dxa" w:w="40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Length of the longest execution path (critical path)</w:t>
            </w:r>
          </w:p>
        </w:tc>
      </w:tr>
      <w:tr>
        <w:tc>
          <w:tcPr>
            <w:tcW w:type="dxa" w:w="28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multi_qubit_gates</w:t>
            </w:r>
          </w:p>
        </w:tc>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Integer</w:t>
            </w:r>
          </w:p>
        </w:tc>
        <w:tc>
          <w:tcPr>
            <w:tcW w:type="dxa" w:w="40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Count of gates acting on 2+ qubits (e.g., CX, CZ, SWAP)</w:t>
            </w:r>
          </w:p>
        </w:tc>
      </w:tr>
      <w:tr>
        <w:tc>
          <w:tcPr>
            <w:tcW w:type="dxa" w:w="28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multi_qubit_ratio</w:t>
            </w:r>
          </w:p>
        </w:tc>
        <w:tc>
          <w:tcPr>
            <w:tcW w:type="dxa" w:w="25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Float (0–1)</w:t>
            </w:r>
          </w:p>
        </w:tc>
        <w:tc>
          <w:tcPr>
            <w:tcW w:type="dxa" w:w="40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Proportion of multi-qubit gates relative to total gates</w:t>
            </w:r>
          </w:p>
        </w:tc>
      </w:tr>
      <w:tr>
        <w:tc>
          <w:tcPr>
            <w:tcW w:type="dxa" w:w="28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gate_&lt;TYPE&gt;</w:t>
            </w:r>
          </w:p>
        </w:tc>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Integer per type</w:t>
            </w:r>
          </w:p>
        </w:tc>
        <w:tc>
          <w:tcPr>
            <w:tcW w:type="dxa" w:w="40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Individual counts per gate type (e.g., gate_H, gate_CX, gate_RZ)</w:t>
            </w:r>
          </w:p>
        </w:tc>
      </w:tr>
    </w:tbl>
    <w:p>
      <w:pPr>
        <w:spacing w:after="0" w:before="100"/>
      </w:pPr>
      <w:r>
        <w:t xml:space="preserve"/>
      </w:r>
    </w:p>
    <w:p>
      <w:pPr>
        <w:spacing w:after="80" w:before="200"/>
      </w:pPr>
      <w:r>
        <w:rPr>
          <w:rFonts w:ascii="Arial" w:cs="Arial" w:eastAsia="Arial" w:hAnsi="Arial"/>
          <w:b/>
          <w:bCs/>
          <w:color w:val="2C5F8A"/>
          <w:sz w:val="22"/>
          <w:szCs w:val="22"/>
        </w:rPr>
        <w:t xml:space="preserve">Why we chose these metrics</w:t>
      </w:r>
    </w:p>
    <w:p>
      <w:pPr>
        <w:spacing w:after="100" w:before="80"/>
      </w:pPr>
      <w:r>
        <w:rPr>
          <w:rFonts w:ascii="Arial" w:cs="Arial" w:eastAsia="Arial" w:hAnsi="Arial"/>
          <w:b w:val="false"/>
          <w:bCs w:val="false"/>
          <w:i w:val="false"/>
          <w:iCs w:val="false"/>
          <w:color w:val="1A1A1A"/>
          <w:sz w:val="22"/>
          <w:szCs w:val="22"/>
        </w:rPr>
        <w:t xml:space="preserve">Quantum states are extremely fragile. They degrade through decoherence and accumulate error with every applied gate operation. Multi-qubit gates such as CX and CZ carry significantly higher error rates than single-qubit gates on current hardware, a point formally analyzed in the context of the depolarizing noise model.</w:t>
      </w:r>
      <w:r>
        <w:rPr>
          <w:rFonts w:ascii="Arial" w:cs="Arial" w:eastAsia="Arial" w:hAnsi="Arial"/>
          <w:color w:val="2E75B6"/>
          <w:sz w:val="16"/>
          <w:szCs w:val="16"/>
          <w:vertAlign w:val="superscript"/>
        </w:rPr>
        <w:t xml:space="preserve">[2]</w:t>
      </w:r>
      <w:r>
        <w:rPr>
          <w:rFonts w:ascii="Arial" w:cs="Arial" w:eastAsia="Arial" w:hAnsi="Arial"/>
          <w:b w:val="false"/>
          <w:bCs w:val="false"/>
          <w:i w:val="false"/>
          <w:iCs w:val="false"/>
          <w:color w:val="1A1A1A"/>
          <w:sz w:val="22"/>
          <w:szCs w:val="22"/>
        </w:rPr>
        <w:t xml:space="preserve"> Therefore:</w:t>
      </w:r>
    </w:p>
    <w:p>
      <w:pPr>
        <w:pStyle w:val="ListParagraph"/>
        <w:numPr>
          <w:ilvl w:val="0"/>
          <w:numId w:val="2"/>
        </w:numPr>
        <w:spacing w:after="60" w:before="60"/>
      </w:pPr>
      <w:r>
        <w:rPr>
          <w:rFonts w:ascii="Arial" w:cs="Arial" w:eastAsia="Arial" w:hAnsi="Arial"/>
          <w:color w:val="1A1A1A"/>
          <w:sz w:val="22"/>
          <w:szCs w:val="22"/>
        </w:rPr>
        <w:t xml:space="preserve">A lower circuit_depth means the circuit completes before decoherence destroys the quantum state.</w:t>
      </w:r>
    </w:p>
    <w:p>
      <w:pPr>
        <w:pStyle w:val="ListParagraph"/>
        <w:numPr>
          <w:ilvl w:val="0"/>
          <w:numId w:val="2"/>
        </w:numPr>
        <w:spacing w:after="60" w:before="60"/>
      </w:pPr>
      <w:r>
        <w:rPr>
          <w:rFonts w:ascii="Arial" w:cs="Arial" w:eastAsia="Arial" w:hAnsi="Arial"/>
          <w:color w:val="1A1A1A"/>
          <w:sz w:val="22"/>
          <w:szCs w:val="22"/>
        </w:rPr>
        <w:t xml:space="preserve">Fewer multi_qubit_gates means fewer high-error operations, directly increasing output fidelity.</w:t>
      </w:r>
    </w:p>
    <w:p>
      <w:pPr>
        <w:pStyle w:val="ListParagraph"/>
        <w:numPr>
          <w:ilvl w:val="0"/>
          <w:numId w:val="2"/>
        </w:numPr>
        <w:spacing w:after="60" w:before="60"/>
      </w:pPr>
      <w:r>
        <w:rPr>
          <w:rFonts w:ascii="Arial" w:cs="Arial" w:eastAsia="Arial" w:hAnsi="Arial"/>
          <w:color w:val="1A1A1A"/>
          <w:sz w:val="22"/>
          <w:szCs w:val="22"/>
        </w:rPr>
        <w:t xml:space="preserve">A lower multi_qubit_ratio is therefore strongly correlated with higher quality results on real hardware.</w:t>
      </w:r>
    </w:p>
    <w:p>
      <w:pPr>
        <w:pStyle w:val="ListParagraph"/>
        <w:numPr>
          <w:ilvl w:val="0"/>
          <w:numId w:val="2"/>
        </w:numPr>
        <w:spacing w:after="60" w:before="60"/>
      </w:pPr>
      <w:r>
        <w:rPr>
          <w:rFonts w:ascii="Arial" w:cs="Arial" w:eastAsia="Arial" w:hAnsi="Arial"/>
          <w:color w:val="1A1A1A"/>
          <w:sz w:val="22"/>
          <w:szCs w:val="22"/>
        </w:rPr>
        <w:t xml:space="preserve">Gate-type breakdowns (gate_&lt;TYPE&gt;) allow us to identify whether specific costly controlled gates drive any depth differences between frameworks.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DDDDDD" w:sz="2"/>
            </w:tcBorders>
            <w:shd w:fill="EAF2FB" w:val="clear"/>
            <w:tcMar>
              <w:top w:type="dxa" w:w="120"/>
              <w:left w:type="dxa" w:w="200"/>
              <w:bottom w:type="dxa" w:w="120"/>
              <w:right w:type="dxa" w:w="200"/>
            </w:tcMar>
          </w:tcPr>
          <w:p>
            <w:pPr>
              <w:spacing w:after="40" w:before="0"/>
            </w:pPr>
            <w:r>
              <w:rPr>
                <w:rFonts w:ascii="Arial" w:cs="Arial" w:eastAsia="Arial" w:hAnsi="Arial"/>
                <w:b/>
                <w:bCs/>
                <w:color w:val="2E75B6"/>
                <w:sz w:val="20"/>
                <w:szCs w:val="20"/>
              </w:rPr>
              <w:t xml:space="preserve">Practical implication</w:t>
            </w:r>
          </w:p>
          <w:p>
            <w:pPr>
              <w:spacing w:after="0" w:before="0"/>
            </w:pPr>
            <w:r>
              <w:rPr>
                <w:rFonts w:ascii="Arial" w:cs="Arial" w:eastAsia="Arial" w:hAnsi="Arial"/>
                <w:color w:val="333333"/>
                <w:sz w:val="20"/>
                <w:szCs w:val="20"/>
              </w:rPr>
              <w:t xml:space="preserve">A framework that transpiles a given algorithm to shallower circuits with fewer multi-qubit gates is more hardware-friendly. Its circuits will succeed at higher rates on current NISQ devices</w:t>
            </w:r>
            <w:r>
              <w:rPr>
                <w:rFonts w:ascii="Arial" w:cs="Arial" w:eastAsia="Arial" w:hAnsi="Arial"/>
                <w:color w:val="2E75B6"/>
                <w:sz w:val="15"/>
                <w:szCs w:val="15"/>
                <w:vertAlign w:val="superscript"/>
              </w:rPr>
              <w:t xml:space="preserve">[1]</w:t>
            </w:r>
            <w:r>
              <w:rPr>
                <w:rFonts w:ascii="Arial" w:cs="Arial" w:eastAsia="Arial" w:hAnsi="Arial"/>
                <w:color w:val="333333"/>
                <w:sz w:val="20"/>
                <w:szCs w:val="20"/>
              </w:rPr>
              <w:t xml:space="preserve"> — even before any error mitigation is applied.</w:t>
            </w:r>
          </w:p>
        </w:tc>
      </w:tr>
    </w:tbl>
    <w:p>
      <w:pPr>
        <w:spacing w:after="0" w:before="160"/>
      </w:pPr>
      <w:r>
        <w:t xml:space="preserve"/>
      </w:r>
    </w:p>
    <w:p>
      <w:pPr>
        <w:pStyle w:val="Heading2"/>
        <w:spacing w:after="120" w:before="280"/>
      </w:pPr>
      <w:r>
        <w:rPr>
          <w:rFonts w:ascii="Arial" w:cs="Arial" w:eastAsia="Arial" w:hAnsi="Arial"/>
          <w:b/>
          <w:bCs/>
          <w:color w:val="2E75B6"/>
          <w:sz w:val="24"/>
          <w:szCs w:val="24"/>
        </w:rPr>
        <w:t xml:space="preserve">3.3  Scaling &amp; Complexity Metrics</w:t>
      </w:r>
    </w:p>
    <w:p>
      <w:pPr>
        <w:spacing w:after="100" w:before="80"/>
      </w:pPr>
      <w:r>
        <w:rPr>
          <w:rFonts w:ascii="Arial" w:cs="Arial" w:eastAsia="Arial" w:hAnsi="Arial"/>
          <w:i/>
          <w:iCs/>
          <w:color w:val="666666"/>
          <w:sz w:val="22"/>
          <w:szCs w:val="22"/>
        </w:rPr>
        <w:t xml:space="preserve">Source file: metrics/power_law_fits.csv</w:t>
      </w:r>
    </w:p>
    <w:p>
      <w:pPr>
        <w:spacing w:after="0" w:before="80"/>
      </w:pPr>
      <w:r>
        <w:t xml:space="preserve"/>
      </w:r>
    </w:p>
    <w:p>
      <w:pPr>
        <w:spacing w:after="100" w:before="80"/>
      </w:pPr>
      <w:r>
        <w:rPr>
          <w:rFonts w:ascii="Arial" w:cs="Arial" w:eastAsia="Arial" w:hAnsi="Arial"/>
          <w:color w:val="1A1A1A"/>
          <w:sz w:val="22"/>
          <w:szCs w:val="22"/>
        </w:rPr>
        <w:t xml:space="preserve">Scaling metrics characterize how each framework's resource requirements grow as the number of qubits increases, derived by fitting empirical structural data to a power-law curve: y = c · n^a. This methodology is a standard tool in computational complexity analysis applied here to empirically characterize transpiler behavior across the qubit range.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20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Unit / Type</w:t>
            </w:r>
          </w:p>
        </w:tc>
        <w:tc>
          <w:tcPr>
            <w:tcW w:type="dxa" w:w="516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a (Exponent)</w:t>
            </w:r>
          </w:p>
        </w:tc>
        <w:tc>
          <w:tcPr>
            <w:tcW w:type="dxa" w:w="2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Float</w:t>
            </w:r>
          </w:p>
        </w:tc>
        <w:tc>
          <w:tcPr>
            <w:tcW w:type="dxa" w:w="51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Power-law exponent: how depth/gate count grows with qubit count</w:t>
            </w:r>
          </w:p>
        </w:tc>
      </w:tr>
      <w:tr>
        <w:tc>
          <w:tcPr>
            <w:tcW w:type="dxa" w:w="22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coefficient (c)</w:t>
            </w:r>
          </w:p>
        </w:tc>
        <w:tc>
          <w:tcPr>
            <w:tcW w:type="dxa" w:w="2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Float</w:t>
            </w:r>
          </w:p>
        </w:tc>
        <w:tc>
          <w:tcPr>
            <w:tcW w:type="dxa" w:w="51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Constant multiplier in the power-law fit y = c · n^a</w:t>
            </w:r>
          </w:p>
        </w:tc>
      </w:tr>
      <w:tr>
        <w:tc>
          <w:tcPr>
            <w:tcW w:type="dxa" w:w="22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r2</w:t>
            </w:r>
          </w:p>
        </w:tc>
        <w:tc>
          <w:tcPr>
            <w:tcW w:type="dxa" w:w="2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Float (0–1)</w:t>
            </w:r>
          </w:p>
        </w:tc>
        <w:tc>
          <w:tcPr>
            <w:tcW w:type="dxa" w:w="51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Goodness-of-fit; values close to 1 confirm a reliable power-law model</w:t>
            </w:r>
          </w:p>
        </w:tc>
      </w:tr>
      <w:tr>
        <w:tc>
          <w:tcPr>
            <w:tcW w:type="dxa" w:w="22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scaling_class</w:t>
            </w:r>
          </w:p>
        </w:tc>
        <w:tc>
          <w:tcPr>
            <w:tcW w:type="dxa" w:w="2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Categorical</w:t>
            </w:r>
          </w:p>
        </w:tc>
        <w:tc>
          <w:tcPr>
            <w:tcW w:type="dxa" w:w="51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Qualitative label: constant-depth, sub-linear, linear, or super-linear</w:t>
            </w:r>
          </w:p>
        </w:tc>
      </w:tr>
    </w:tbl>
    <w:p>
      <w:pPr>
        <w:spacing w:after="0" w:before="100"/>
      </w:pPr>
      <w:r>
        <w:t xml:space="preserve"/>
      </w:r>
    </w:p>
    <w:p>
      <w:pPr>
        <w:spacing w:after="80" w:before="200"/>
      </w:pPr>
      <w:r>
        <w:rPr>
          <w:rFonts w:ascii="Arial" w:cs="Arial" w:eastAsia="Arial" w:hAnsi="Arial"/>
          <w:b/>
          <w:bCs/>
          <w:color w:val="2C5F8A"/>
          <w:sz w:val="22"/>
          <w:szCs w:val="22"/>
        </w:rPr>
        <w:t xml:space="preserve">Why we chose these metrics</w:t>
      </w:r>
    </w:p>
    <w:p>
      <w:pPr>
        <w:spacing w:after="100" w:before="80"/>
      </w:pPr>
      <w:r>
        <w:rPr>
          <w:rFonts w:ascii="Arial" w:cs="Arial" w:eastAsia="Arial" w:hAnsi="Arial"/>
          <w:b w:val="false"/>
          <w:bCs w:val="false"/>
          <w:i w:val="false"/>
          <w:iCs w:val="false"/>
          <w:color w:val="1A1A1A"/>
          <w:sz w:val="22"/>
          <w:szCs w:val="22"/>
        </w:rPr>
        <w:t xml:space="preserve">A point comparison at a fixed qubit count is insufficient for a research conclusion — a framework might be efficient for small circuits but scale poorly to larger ones, which is a critical concern for near-term quantum hardware.</w:t>
      </w:r>
      <w:r>
        <w:rPr>
          <w:rFonts w:ascii="Arial" w:cs="Arial" w:eastAsia="Arial" w:hAnsi="Arial"/>
          <w:color w:val="2E75B6"/>
          <w:sz w:val="16"/>
          <w:szCs w:val="16"/>
          <w:vertAlign w:val="superscript"/>
        </w:rPr>
        <w:t xml:space="preserve">[1]</w:t>
      </w:r>
      <w:r>
        <w:rPr>
          <w:rFonts w:ascii="Arial" w:cs="Arial" w:eastAsia="Arial" w:hAnsi="Arial"/>
          <w:b w:val="false"/>
          <w:bCs w:val="false"/>
          <w:i w:val="false"/>
          <w:iCs w:val="false"/>
          <w:color w:val="1A1A1A"/>
          <w:sz w:val="22"/>
          <w:szCs w:val="22"/>
        </w:rPr>
        <w:t xml:space="preserve"> The power-law exponent </w:t>
      </w:r>
      <w:r>
        <w:rPr>
          <w:rFonts w:ascii="Arial" w:cs="Arial" w:eastAsia="Arial" w:hAnsi="Arial"/>
          <w:b w:val="false"/>
          <w:bCs w:val="false"/>
          <w:i/>
          <w:iCs/>
          <w:color w:val="1A1A1A"/>
          <w:sz w:val="22"/>
          <w:szCs w:val="22"/>
        </w:rPr>
        <w:t xml:space="preserve">a</w:t>
      </w:r>
      <w:r>
        <w:rPr>
          <w:rFonts w:ascii="Arial" w:cs="Arial" w:eastAsia="Arial" w:hAnsi="Arial"/>
          <w:b w:val="false"/>
          <w:bCs w:val="false"/>
          <w:i w:val="false"/>
          <w:iCs w:val="false"/>
          <w:color w:val="1A1A1A"/>
          <w:sz w:val="22"/>
          <w:szCs w:val="22"/>
        </w:rPr>
        <w:t xml:space="preserve"> characterizes the growth regime:</w:t>
      </w:r>
    </w:p>
    <w:p>
      <w:pPr>
        <w:pStyle w:val="ListParagraph"/>
        <w:numPr>
          <w:ilvl w:val="0"/>
          <w:numId w:val="2"/>
        </w:numPr>
        <w:spacing w:after="60" w:before="60"/>
      </w:pPr>
      <w:r>
        <w:rPr>
          <w:rFonts w:ascii="Arial" w:cs="Arial" w:eastAsia="Arial" w:hAnsi="Arial"/>
          <w:color w:val="1A1A1A"/>
          <w:sz w:val="22"/>
          <w:szCs w:val="22"/>
        </w:rPr>
        <w:t xml:space="preserve">constant-depth (a ≈ 0): ideal — circuit size does not grow with qubit count.</w:t>
      </w:r>
    </w:p>
    <w:p>
      <w:pPr>
        <w:pStyle w:val="ListParagraph"/>
        <w:numPr>
          <w:ilvl w:val="0"/>
          <w:numId w:val="2"/>
        </w:numPr>
        <w:spacing w:after="60" w:before="60"/>
      </w:pPr>
      <w:r>
        <w:rPr>
          <w:rFonts w:ascii="Arial" w:cs="Arial" w:eastAsia="Arial" w:hAnsi="Arial"/>
          <w:color w:val="1A1A1A"/>
          <w:sz w:val="22"/>
          <w:szCs w:val="22"/>
        </w:rPr>
        <w:t xml:space="preserve">sub-linear (0 &lt; a &lt; 1): good — growth is slower than linear.</w:t>
      </w:r>
    </w:p>
    <w:p>
      <w:pPr>
        <w:pStyle w:val="ListParagraph"/>
        <w:numPr>
          <w:ilvl w:val="0"/>
          <w:numId w:val="2"/>
        </w:numPr>
        <w:spacing w:after="60" w:before="60"/>
      </w:pPr>
      <w:r>
        <w:rPr>
          <w:rFonts w:ascii="Arial" w:cs="Arial" w:eastAsia="Arial" w:hAnsi="Arial"/>
          <w:color w:val="1A1A1A"/>
          <w:sz w:val="22"/>
          <w:szCs w:val="22"/>
        </w:rPr>
        <w:t xml:space="preserve">linear (a ≈ 1): acceptable — circuit grows proportionally to qubit count.</w:t>
      </w:r>
    </w:p>
    <w:p>
      <w:pPr>
        <w:pStyle w:val="ListParagraph"/>
        <w:numPr>
          <w:ilvl w:val="0"/>
          <w:numId w:val="2"/>
        </w:numPr>
        <w:spacing w:after="60" w:before="60"/>
      </w:pPr>
      <w:r>
        <w:rPr>
          <w:rFonts w:ascii="Arial" w:cs="Arial" w:eastAsia="Arial" w:hAnsi="Arial"/>
          <w:color w:val="1A1A1A"/>
          <w:sz w:val="22"/>
          <w:szCs w:val="22"/>
        </w:rPr>
        <w:t xml:space="preserve">super-linear (a &gt; 1): problematic — circuits quickly become infeasible on near-term hardware.</w:t>
      </w:r>
    </w:p>
    <w:p>
      <w:pPr>
        <w:spacing w:after="0" w:before="80"/>
      </w:pPr>
      <w:r>
        <w:t xml:space="preserve"/>
      </w:r>
    </w:p>
    <w:p>
      <w:pPr>
        <w:spacing w:after="100" w:before="80"/>
      </w:pPr>
      <w:r>
        <w:rPr>
          <w:rFonts w:ascii="Arial" w:cs="Arial" w:eastAsia="Arial" w:hAnsi="Arial"/>
          <w:color w:val="1A1A1A"/>
          <w:sz w:val="22"/>
          <w:szCs w:val="22"/>
        </w:rPr>
        <w:t xml:space="preserve">The r-squared value ensures we only report scaling_class labels for fits that are statistically reliable. A poor fit (low r²) is itself a useful finding, suggesting that the algorithm's resource requirements depend on factors beyond qubit count alone.</w:t>
      </w:r>
    </w:p>
    <w:p>
      <w:pPr>
        <w:spacing w:after="0" w:before="160"/>
      </w:pPr>
      <w:r>
        <w:t xml:space="preserve"/>
      </w:r>
    </w:p>
    <w:p>
      <w:pPr>
        <w:pStyle w:val="Heading2"/>
        <w:spacing w:after="120" w:before="280"/>
      </w:pPr>
      <w:r>
        <w:rPr>
          <w:rFonts w:ascii="Arial" w:cs="Arial" w:eastAsia="Arial" w:hAnsi="Arial"/>
          <w:b/>
          <w:bCs/>
          <w:color w:val="2E75B6"/>
          <w:sz w:val="24"/>
          <w:szCs w:val="24"/>
        </w:rPr>
        <w:t xml:space="preserve">3.4  Simulation Performance Metrics</w:t>
      </w:r>
    </w:p>
    <w:p>
      <w:pPr>
        <w:spacing w:after="100" w:before="80"/>
      </w:pPr>
      <w:r>
        <w:rPr>
          <w:rFonts w:ascii="Arial" w:cs="Arial" w:eastAsia="Arial" w:hAnsi="Arial"/>
          <w:i/>
          <w:iCs/>
          <w:color w:val="666666"/>
          <w:sz w:val="22"/>
          <w:szCs w:val="22"/>
        </w:rPr>
        <w:t xml:space="preserve">Source file: metrics/simulation_metrics.csv</w:t>
      </w:r>
    </w:p>
    <w:p>
      <w:pPr>
        <w:spacing w:after="0" w:before="80"/>
      </w:pPr>
      <w:r>
        <w:t xml:space="preserve"/>
      </w:r>
    </w:p>
    <w:p>
      <w:pPr>
        <w:spacing w:after="100" w:before="80"/>
      </w:pPr>
      <w:r>
        <w:rPr>
          <w:rFonts w:ascii="Arial" w:cs="Arial" w:eastAsia="Arial" w:hAnsi="Arial"/>
          <w:b w:val="false"/>
          <w:bCs w:val="false"/>
          <w:i w:val="false"/>
          <w:iCs w:val="false"/>
          <w:color w:val="1A1A1A"/>
          <w:sz w:val="22"/>
          <w:szCs w:val="22"/>
        </w:rPr>
        <w:t xml:space="preserve">Simulation performance metrics measure the efficiency of the classical simulation step, which is where all circuits are executed in this study. Because quantum hardware remains scarce and expensive, researchers rely heavily on classical simulation — making simulator efficiency a practical and relevant benchmarking dimension.</w:t>
      </w:r>
      <w:r>
        <w:rPr>
          <w:rFonts w:ascii="Arial" w:cs="Arial" w:eastAsia="Arial" w:hAnsi="Arial"/>
          <w:color w:val="2E75B6"/>
          <w:sz w:val="16"/>
          <w:szCs w:val="16"/>
          <w:vertAlign w:val="superscript"/>
        </w:rPr>
        <w:t xml:space="preserve">[9]</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20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Unit / Type</w:t>
            </w:r>
          </w:p>
        </w:tc>
        <w:tc>
          <w:tcPr>
            <w:tcW w:type="dxa" w:w="456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8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mean_sim_time_ms</w:t>
            </w:r>
          </w:p>
        </w:tc>
        <w:tc>
          <w:tcPr>
            <w:tcW w:type="dxa" w:w="2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ms (float)</w:t>
            </w:r>
          </w:p>
        </w:tc>
        <w:tc>
          <w:tcPr>
            <w:tcW w:type="dxa" w:w="45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Average simulation time to execute and sample the circuit</w:t>
            </w:r>
          </w:p>
        </w:tc>
      </w:tr>
      <w:tr>
        <w:tc>
          <w:tcPr>
            <w:tcW w:type="dxa" w:w="28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std_sim_time_ms</w:t>
            </w:r>
          </w:p>
        </w:tc>
        <w:tc>
          <w:tcPr>
            <w:tcW w:type="dxa" w:w="2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ms (float)</w:t>
            </w:r>
          </w:p>
        </w:tc>
        <w:tc>
          <w:tcPr>
            <w:tcW w:type="dxa" w:w="45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Standard deviation of simulation time across runs</w:t>
            </w:r>
          </w:p>
        </w:tc>
      </w:tr>
      <w:tr>
        <w:tc>
          <w:tcPr>
            <w:tcW w:type="dxa" w:w="28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mean_memory_mb</w:t>
            </w:r>
          </w:p>
        </w:tc>
        <w:tc>
          <w:tcPr>
            <w:tcW w:type="dxa" w:w="2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MB (float)</w:t>
            </w:r>
          </w:p>
        </w:tc>
        <w:tc>
          <w:tcPr>
            <w:tcW w:type="dxa" w:w="45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Average peak RAM consumed during simulation</w:t>
            </w:r>
          </w:p>
        </w:tc>
      </w:tr>
      <w:tr>
        <w:tc>
          <w:tcPr>
            <w:tcW w:type="dxa" w:w="28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std_memory_mb</w:t>
            </w:r>
          </w:p>
        </w:tc>
        <w:tc>
          <w:tcPr>
            <w:tcW w:type="dxa" w:w="2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MB (float)</w:t>
            </w:r>
          </w:p>
        </w:tc>
        <w:tc>
          <w:tcPr>
            <w:tcW w:type="dxa" w:w="45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Variability of memory consumption across runs</w:t>
            </w:r>
          </w:p>
        </w:tc>
      </w:tr>
      <w:tr>
        <w:tc>
          <w:tcPr>
            <w:tcW w:type="dxa" w:w="28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mean_cpu_pct</w:t>
            </w:r>
          </w:p>
        </w:tc>
        <w:tc>
          <w:tcPr>
            <w:tcW w:type="dxa" w:w="2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 (float)</w:t>
            </w:r>
          </w:p>
        </w:tc>
        <w:tc>
          <w:tcPr>
            <w:tcW w:type="dxa" w:w="45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Average CPU utilization during simulation</w:t>
            </w:r>
          </w:p>
        </w:tc>
      </w:tr>
      <w:tr>
        <w:tc>
          <w:tcPr>
            <w:tcW w:type="dxa" w:w="28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fidelity</w:t>
            </w:r>
          </w:p>
        </w:tc>
        <w:tc>
          <w:tcPr>
            <w:tcW w:type="dxa" w:w="2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Float (0–1)</w:t>
            </w:r>
          </w:p>
        </w:tc>
        <w:tc>
          <w:tcPr>
            <w:tcW w:type="dxa" w:w="45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Accuracy of simulated output vs. ideal theoretical distribution</w:t>
            </w:r>
          </w:p>
        </w:tc>
      </w:tr>
    </w:tbl>
    <w:p>
      <w:pPr>
        <w:spacing w:after="0" w:before="100"/>
      </w:pPr>
      <w:r>
        <w:t xml:space="preserve"/>
      </w:r>
    </w:p>
    <w:p>
      <w:pPr>
        <w:spacing w:after="80" w:before="200"/>
      </w:pPr>
      <w:r>
        <w:rPr>
          <w:rFonts w:ascii="Arial" w:cs="Arial" w:eastAsia="Arial" w:hAnsi="Arial"/>
          <w:b/>
          <w:bCs/>
          <w:color w:val="2C5F8A"/>
          <w:sz w:val="22"/>
          <w:szCs w:val="22"/>
        </w:rPr>
        <w:t xml:space="preserve">Why we chose these metrics</w:t>
      </w:r>
    </w:p>
    <w:p>
      <w:pPr>
        <w:spacing w:after="100" w:before="80"/>
      </w:pPr>
      <w:r>
        <w:rPr>
          <w:rFonts w:ascii="Arial" w:cs="Arial" w:eastAsia="Arial" w:hAnsi="Arial"/>
          <w:b w:val="false"/>
          <w:bCs w:val="false"/>
          <w:i w:val="false"/>
          <w:iCs w:val="false"/>
          <w:color w:val="1A1A1A"/>
          <w:sz w:val="22"/>
          <w:szCs w:val="22"/>
        </w:rPr>
        <w:t xml:space="preserve">Classical statevector simulation requires storing 2ⁿ complex amplitudes for an n-qubit system, making memory the primary bottleneck for large circuits.</w:t>
      </w:r>
      <w:r>
        <w:rPr>
          <w:rFonts w:ascii="Arial" w:cs="Arial" w:eastAsia="Arial" w:hAnsi="Arial"/>
          <w:color w:val="2E75B6"/>
          <w:sz w:val="16"/>
          <w:szCs w:val="16"/>
          <w:vertAlign w:val="superscript"/>
        </w:rPr>
        <w:t xml:space="preserve">[2]</w:t>
      </w:r>
      <w:r>
        <w:rPr>
          <w:rFonts w:ascii="Arial" w:cs="Arial" w:eastAsia="Arial" w:hAnsi="Arial"/>
          <w:color w:val="2E75B6"/>
          <w:sz w:val="16"/>
          <w:szCs w:val="16"/>
          <w:vertAlign w:val="superscript"/>
        </w:rPr>
        <w:t xml:space="preserve">[9]</w:t>
      </w:r>
      <w:r>
        <w:rPr>
          <w:rFonts w:ascii="Arial" w:cs="Arial" w:eastAsia="Arial" w:hAnsi="Arial"/>
          <w:b w:val="false"/>
          <w:bCs w:val="false"/>
          <w:i w:val="false"/>
          <w:iCs w:val="false"/>
          <w:color w:val="1A1A1A"/>
          <w:sz w:val="22"/>
          <w:szCs w:val="22"/>
        </w:rPr>
        <w:t xml:space="preserve"> CPU utilization reflects how well each framework parallelizes its simulation workload. Together, these metrics answer: which framework allows researchers to simulate the largest circuits on standard academic hardware?</w:t>
      </w:r>
    </w:p>
    <w:p>
      <w:pPr>
        <w:pStyle w:val="ListParagraph"/>
        <w:numPr>
          <w:ilvl w:val="0"/>
          <w:numId w:val="2"/>
        </w:numPr>
        <w:spacing w:after="60" w:before="60"/>
      </w:pPr>
      <w:r>
        <w:rPr>
          <w:rFonts w:ascii="Arial" w:cs="Arial" w:eastAsia="Arial" w:hAnsi="Arial"/>
          <w:color w:val="1A1A1A"/>
          <w:sz w:val="22"/>
          <w:szCs w:val="22"/>
        </w:rPr>
        <w:t xml:space="preserve">mean_sim_time_ms and std_sim_time_ms: time efficiency and consistency.</w:t>
      </w:r>
    </w:p>
    <w:p>
      <w:pPr>
        <w:pStyle w:val="ListParagraph"/>
        <w:numPr>
          <w:ilvl w:val="0"/>
          <w:numId w:val="2"/>
        </w:numPr>
        <w:spacing w:after="60" w:before="60"/>
      </w:pPr>
      <w:r>
        <w:rPr>
          <w:rFonts w:ascii="Arial" w:cs="Arial" w:eastAsia="Arial" w:hAnsi="Arial"/>
          <w:b w:val="false"/>
          <w:bCs w:val="false"/>
          <w:color w:val="1A1A1A"/>
          <w:sz w:val="22"/>
          <w:szCs w:val="22"/>
        </w:rPr>
        <w:t xml:space="preserve">mean_memory_mb and std_memory_mb: memory footprint — the hard limit for large-scale statevector simulation.</w:t>
      </w:r>
      <w:r>
        <w:rPr>
          <w:rFonts w:ascii="Arial" w:cs="Arial" w:eastAsia="Arial" w:hAnsi="Arial"/>
          <w:color w:val="2E75B6"/>
          <w:sz w:val="16"/>
          <w:szCs w:val="16"/>
          <w:vertAlign w:val="superscript"/>
        </w:rPr>
        <w:t xml:space="preserve">[9]</w:t>
      </w:r>
    </w:p>
    <w:p>
      <w:pPr>
        <w:pStyle w:val="ListParagraph"/>
        <w:numPr>
          <w:ilvl w:val="0"/>
          <w:numId w:val="2"/>
        </w:numPr>
        <w:spacing w:after="60" w:before="60"/>
      </w:pPr>
      <w:r>
        <w:rPr>
          <w:rFonts w:ascii="Arial" w:cs="Arial" w:eastAsia="Arial" w:hAnsi="Arial"/>
          <w:color w:val="1A1A1A"/>
          <w:sz w:val="22"/>
          <w:szCs w:val="22"/>
        </w:rPr>
        <w:t xml:space="preserve">mean_cpu_pct: how efficiently the framework utilizes available CPU cores.</w:t>
      </w:r>
    </w:p>
    <w:p>
      <w:pPr>
        <w:pStyle w:val="ListParagraph"/>
        <w:numPr>
          <w:ilvl w:val="0"/>
          <w:numId w:val="2"/>
        </w:numPr>
        <w:spacing w:after="60" w:before="60"/>
      </w:pPr>
      <w:r>
        <w:rPr>
          <w:rFonts w:ascii="Arial" w:cs="Arial" w:eastAsia="Arial" w:hAnsi="Arial"/>
          <w:b w:val="false"/>
          <w:bCs w:val="false"/>
          <w:color w:val="1A1A1A"/>
          <w:sz w:val="22"/>
          <w:szCs w:val="22"/>
        </w:rPr>
        <w:t xml:space="preserve">fidelity: confirms that faster simulation does not come at the cost of accuracy, verified against the ideal theoretical distribution computed analytically.</w:t>
      </w:r>
      <w:r>
        <w:rPr>
          <w:rFonts w:ascii="Arial" w:cs="Arial" w:eastAsia="Arial" w:hAnsi="Arial"/>
          <w:color w:val="2E75B6"/>
          <w:sz w:val="16"/>
          <w:szCs w:val="16"/>
          <w:vertAlign w:val="superscript"/>
        </w:rPr>
        <w:t xml:space="preserve">[2]</w:t>
      </w:r>
    </w:p>
    <w:p>
      <w:pPr>
        <w:spacing w:after="0" w:before="160"/>
      </w:pPr>
      <w:r>
        <w:t xml:space="preserve"/>
      </w:r>
    </w:p>
    <w:p>
      <w:pPr>
        <w:pStyle w:val="Heading2"/>
        <w:spacing w:after="120" w:before="280"/>
      </w:pPr>
      <w:r>
        <w:rPr>
          <w:rFonts w:ascii="Arial" w:cs="Arial" w:eastAsia="Arial" w:hAnsi="Arial"/>
          <w:b/>
          <w:bCs/>
          <w:color w:val="2E75B6"/>
          <w:sz w:val="24"/>
          <w:szCs w:val="24"/>
        </w:rPr>
        <w:t xml:space="preserve">3.5  Statistical Equivalence Metrics</w:t>
      </w:r>
    </w:p>
    <w:p>
      <w:pPr>
        <w:spacing w:after="100" w:before="80"/>
      </w:pPr>
      <w:r>
        <w:rPr>
          <w:rFonts w:ascii="Arial" w:cs="Arial" w:eastAsia="Arial" w:hAnsi="Arial"/>
          <w:i/>
          <w:iCs/>
          <w:color w:val="666666"/>
          <w:sz w:val="22"/>
          <w:szCs w:val="22"/>
        </w:rPr>
        <w:t xml:space="preserve">Source file: metrics/statistical_tests.csv</w:t>
      </w:r>
    </w:p>
    <w:p>
      <w:pPr>
        <w:spacing w:after="0" w:before="80"/>
      </w:pPr>
      <w:r>
        <w:t xml:space="preserve"/>
      </w:r>
    </w:p>
    <w:p>
      <w:pPr>
        <w:spacing w:after="100" w:before="80"/>
      </w:pPr>
      <w:r>
        <w:rPr>
          <w:rFonts w:ascii="Arial" w:cs="Arial" w:eastAsia="Arial" w:hAnsi="Arial"/>
          <w:b w:val="false"/>
          <w:bCs w:val="false"/>
          <w:i w:val="false"/>
          <w:iCs w:val="false"/>
          <w:color w:val="1A1A1A"/>
          <w:sz w:val="22"/>
          <w:szCs w:val="22"/>
        </w:rPr>
        <w:t xml:space="preserve">Statistical equivalence metrics assess whether Qiskit</w:t>
      </w:r>
      <w:r>
        <w:rPr>
          <w:rFonts w:ascii="Arial" w:cs="Arial" w:eastAsia="Arial" w:hAnsi="Arial"/>
          <w:color w:val="2E75B6"/>
          <w:sz w:val="16"/>
          <w:szCs w:val="16"/>
          <w:vertAlign w:val="superscript"/>
        </w:rPr>
        <w:t xml:space="preserve">[6]</w:t>
      </w:r>
      <w:r>
        <w:rPr>
          <w:rFonts w:ascii="Arial" w:cs="Arial" w:eastAsia="Arial" w:hAnsi="Arial"/>
          <w:b w:val="false"/>
          <w:bCs w:val="false"/>
          <w:i w:val="false"/>
          <w:iCs w:val="false"/>
          <w:color w:val="1A1A1A"/>
          <w:sz w:val="22"/>
          <w:szCs w:val="22"/>
        </w:rPr>
        <w:t xml:space="preserve">, Cirq</w:t>
      </w:r>
      <w:r>
        <w:rPr>
          <w:rFonts w:ascii="Arial" w:cs="Arial" w:eastAsia="Arial" w:hAnsi="Arial"/>
          <w:color w:val="2E75B6"/>
          <w:sz w:val="16"/>
          <w:szCs w:val="16"/>
          <w:vertAlign w:val="superscript"/>
        </w:rPr>
        <w:t xml:space="preserve">[7]</w:t>
      </w:r>
      <w:r>
        <w:rPr>
          <w:rFonts w:ascii="Arial" w:cs="Arial" w:eastAsia="Arial" w:hAnsi="Arial"/>
          <w:b w:val="false"/>
          <w:bCs w:val="false"/>
          <w:i w:val="false"/>
          <w:iCs w:val="false"/>
          <w:color w:val="1A1A1A"/>
          <w:sz w:val="22"/>
          <w:szCs w:val="22"/>
        </w:rPr>
        <w:t xml:space="preserve">, and PennyLane</w:t>
      </w:r>
      <w:r>
        <w:rPr>
          <w:rFonts w:ascii="Arial" w:cs="Arial" w:eastAsia="Arial" w:hAnsi="Arial"/>
          <w:color w:val="2E75B6"/>
          <w:sz w:val="16"/>
          <w:szCs w:val="16"/>
          <w:vertAlign w:val="superscript"/>
        </w:rPr>
        <w:t xml:space="preserve">[8]</w:t>
      </w:r>
      <w:r>
        <w:rPr>
          <w:rFonts w:ascii="Arial" w:cs="Arial" w:eastAsia="Arial" w:hAnsi="Arial"/>
          <w:b w:val="false"/>
          <w:bCs w:val="false"/>
          <w:i w:val="false"/>
          <w:iCs w:val="false"/>
          <w:color w:val="1A1A1A"/>
          <w:sz w:val="22"/>
          <w:szCs w:val="22"/>
        </w:rPr>
        <w:t xml:space="preserve"> produce mathematically equivalent probability distributions for the same algorithm. Because all three circuits are compiled to the same OpenQASM 3.0</w:t>
      </w:r>
      <w:r>
        <w:rPr>
          <w:rFonts w:ascii="Arial" w:cs="Arial" w:eastAsia="Arial" w:hAnsi="Arial"/>
          <w:color w:val="2E75B6"/>
          <w:sz w:val="16"/>
          <w:szCs w:val="16"/>
          <w:vertAlign w:val="superscript"/>
        </w:rPr>
        <w:t xml:space="preserve">[5]</w:t>
      </w:r>
      <w:r>
        <w:rPr>
          <w:rFonts w:ascii="Arial" w:cs="Arial" w:eastAsia="Arial" w:hAnsi="Arial"/>
          <w:b w:val="false"/>
          <w:bCs w:val="false"/>
          <w:i w:val="false"/>
          <w:iCs w:val="false"/>
          <w:color w:val="1A1A1A"/>
          <w:sz w:val="22"/>
          <w:szCs w:val="22"/>
        </w:rPr>
        <w:t xml:space="preserve"> and run on the same QSim backend, output distributions should converge unless transpilation strategies introduce meaningful differences.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20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Unit / Type</w:t>
            </w:r>
          </w:p>
        </w:tc>
        <w:tc>
          <w:tcPr>
            <w:tcW w:type="dxa" w:w="456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8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jsd_&lt;fw1&gt;_&lt;fw2&gt;</w:t>
            </w:r>
          </w:p>
        </w:tc>
        <w:tc>
          <w:tcPr>
            <w:tcW w:type="dxa" w:w="2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Float (0–1)</w:t>
            </w:r>
          </w:p>
        </w:tc>
        <w:tc>
          <w:tcPr>
            <w:tcW w:type="dxa" w:w="45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Jensen-Shannon Divergence between two frameworks' output distributions; 0 = identical</w:t>
            </w:r>
          </w:p>
        </w:tc>
      </w:tr>
      <w:tr>
        <w:tc>
          <w:tcPr>
            <w:tcW w:type="dxa" w:w="28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label_&lt;fw1&gt;_&lt;fw2&gt;</w:t>
            </w:r>
          </w:p>
        </w:tc>
        <w:tc>
          <w:tcPr>
            <w:tcW w:type="dxa" w:w="2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Boolean (✓/✗)</w:t>
            </w:r>
          </w:p>
        </w:tc>
        <w:tc>
          <w:tcPr>
            <w:tcW w:type="dxa" w:w="45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Equivalence verdict for each framework pair based on a defined JSD threshold</w:t>
            </w:r>
          </w:p>
        </w:tc>
      </w:tr>
      <w:tr>
        <w:tc>
          <w:tcPr>
            <w:tcW w:type="dxa" w:w="28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all_equivalent</w:t>
            </w:r>
          </w:p>
        </w:tc>
        <w:tc>
          <w:tcPr>
            <w:tcW w:type="dxa" w:w="2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Boolean</w:t>
            </w:r>
          </w:p>
        </w:tc>
        <w:tc>
          <w:tcPr>
            <w:tcW w:type="dxa" w:w="45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True only if all three pairwise comparisons pass the equivalence threshold</w:t>
            </w:r>
          </w:p>
        </w:tc>
      </w:tr>
    </w:tbl>
    <w:p>
      <w:pPr>
        <w:spacing w:after="0" w:before="100"/>
      </w:pPr>
      <w:r>
        <w:t xml:space="preserve"/>
      </w:r>
    </w:p>
    <w:p>
      <w:pPr>
        <w:spacing w:after="80" w:before="200"/>
      </w:pPr>
      <w:r>
        <w:rPr>
          <w:rFonts w:ascii="Arial" w:cs="Arial" w:eastAsia="Arial" w:hAnsi="Arial"/>
          <w:b/>
          <w:bCs/>
          <w:color w:val="2C5F8A"/>
          <w:sz w:val="22"/>
          <w:szCs w:val="22"/>
        </w:rPr>
        <w:t xml:space="preserve">Why we chose these metrics</w:t>
      </w:r>
    </w:p>
    <w:p>
      <w:pPr>
        <w:spacing w:after="100" w:before="80"/>
      </w:pPr>
      <w:r>
        <w:rPr>
          <w:rFonts w:ascii="Arial" w:cs="Arial" w:eastAsia="Arial" w:hAnsi="Arial"/>
          <w:b w:val="false"/>
          <w:bCs w:val="false"/>
          <w:i w:val="false"/>
          <w:iCs w:val="false"/>
          <w:color w:val="1A1A1A"/>
          <w:sz w:val="22"/>
          <w:szCs w:val="22"/>
        </w:rPr>
        <w:t xml:space="preserve">This category serves as the correctness validation layer of the study. Jensen-Shannon Divergence (JSD) was selected over simpler measures such as total-variation distance because it is symmetric, bounded in [0, 1], and well-defined even when distributions have non-overlapping support.</w:t>
      </w:r>
      <w:r>
        <w:rPr>
          <w:rFonts w:ascii="Arial" w:cs="Arial" w:eastAsia="Arial" w:hAnsi="Arial"/>
          <w:color w:val="2E75B6"/>
          <w:sz w:val="16"/>
          <w:szCs w:val="16"/>
          <w:vertAlign w:val="superscript"/>
        </w:rPr>
        <w:t xml:space="preserve">[4]</w:t>
      </w:r>
      <w:r>
        <w:rPr>
          <w:rFonts w:ascii="Arial" w:cs="Arial" w:eastAsia="Arial" w:hAnsi="Arial"/>
          <w:b w:val="false"/>
          <w:bCs w:val="false"/>
          <w:i w:val="false"/>
          <w:iCs w:val="false"/>
          <w:color w:val="1A1A1A"/>
          <w:sz w:val="22"/>
          <w:szCs w:val="22"/>
        </w:rPr>
        <w:t xml:space="preserve"> Specific justifications:</w:t>
      </w:r>
    </w:p>
    <w:p>
      <w:pPr>
        <w:pStyle w:val="ListParagraph"/>
        <w:numPr>
          <w:ilvl w:val="0"/>
          <w:numId w:val="2"/>
        </w:numPr>
        <w:spacing w:after="60" w:before="60"/>
      </w:pPr>
      <w:r>
        <w:rPr>
          <w:rFonts w:ascii="Arial" w:cs="Arial" w:eastAsia="Arial" w:hAnsi="Arial"/>
          <w:b w:val="false"/>
          <w:bCs w:val="false"/>
          <w:color w:val="1A1A1A"/>
          <w:sz w:val="22"/>
          <w:szCs w:val="22"/>
        </w:rPr>
        <w:t xml:space="preserve">JSD close to 0 confirms the frameworks produce the correct quantum algorithm despite different transpilation paths.</w:t>
      </w:r>
      <w:r>
        <w:rPr>
          <w:rFonts w:ascii="Arial" w:cs="Arial" w:eastAsia="Arial" w:hAnsi="Arial"/>
          <w:color w:val="2E75B6"/>
          <w:sz w:val="16"/>
          <w:szCs w:val="16"/>
          <w:vertAlign w:val="superscript"/>
        </w:rPr>
        <w:t xml:space="preserve">[4]</w:t>
      </w:r>
    </w:p>
    <w:p>
      <w:pPr>
        <w:pStyle w:val="ListParagraph"/>
        <w:numPr>
          <w:ilvl w:val="0"/>
          <w:numId w:val="2"/>
        </w:numPr>
        <w:spacing w:after="60" w:before="60"/>
      </w:pPr>
      <w:r>
        <w:rPr>
          <w:rFonts w:ascii="Arial" w:cs="Arial" w:eastAsia="Arial" w:hAnsi="Arial"/>
          <w:color w:val="1A1A1A"/>
          <w:sz w:val="22"/>
          <w:szCs w:val="22"/>
        </w:rPr>
        <w:t xml:space="preserve">A non-trivial JSD flags differences in gate ordering, endianness conventions, or transpiler bugs worth investigating as case studies.</w:t>
      </w:r>
    </w:p>
    <w:p>
      <w:pPr>
        <w:pStyle w:val="ListParagraph"/>
        <w:numPr>
          <w:ilvl w:val="0"/>
          <w:numId w:val="2"/>
        </w:numPr>
        <w:spacing w:after="60" w:before="60"/>
      </w:pPr>
      <w:r>
        <w:rPr>
          <w:rFonts w:ascii="Arial" w:cs="Arial" w:eastAsia="Arial" w:hAnsi="Arial"/>
          <w:color w:val="1A1A1A"/>
          <w:sz w:val="22"/>
          <w:szCs w:val="22"/>
        </w:rPr>
        <w:t xml:space="preserve">all_equivalent provides a single per-algorithm pass/fail verdict suitable for reporting in the paper's results tables.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DDDDDD" w:sz="2"/>
            </w:tcBorders>
            <w:shd w:fill="EAF2FB" w:val="clear"/>
            <w:tcMar>
              <w:top w:type="dxa" w:w="120"/>
              <w:left w:type="dxa" w:w="200"/>
              <w:bottom w:type="dxa" w:w="120"/>
              <w:right w:type="dxa" w:w="200"/>
            </w:tcMar>
          </w:tcPr>
          <w:p>
            <w:pPr>
              <w:spacing w:after="40" w:before="0"/>
            </w:pPr>
            <w:r>
              <w:rPr>
                <w:rFonts w:ascii="Arial" w:cs="Arial" w:eastAsia="Arial" w:hAnsi="Arial"/>
                <w:b/>
                <w:bCs/>
                <w:color w:val="2E75B6"/>
                <w:sz w:val="20"/>
                <w:szCs w:val="20"/>
              </w:rPr>
              <w:t xml:space="preserve">Connection to QCanvas</w:t>
            </w:r>
          </w:p>
          <w:p>
            <w:pPr>
              <w:spacing w:after="0" w:before="0"/>
            </w:pPr>
            <w:r>
              <w:rPr>
                <w:rFonts w:ascii="Arial" w:cs="Arial" w:eastAsia="Arial" w:hAnsi="Arial"/>
                <w:color w:val="333333"/>
                <w:sz w:val="20"/>
                <w:szCs w:val="20"/>
              </w:rPr>
              <w:t xml:space="preserve">This is only measurable because QCanvas provides a unified compilation path through OpenQASM 3.0.</w:t>
            </w:r>
            <w:r>
              <w:rPr>
                <w:rFonts w:ascii="Arial" w:cs="Arial" w:eastAsia="Arial" w:hAnsi="Arial"/>
                <w:color w:val="2E75B6"/>
                <w:sz w:val="15"/>
                <w:szCs w:val="15"/>
                <w:vertAlign w:val="superscript"/>
              </w:rPr>
              <w:t xml:space="preserve">[5]</w:t>
            </w:r>
            <w:r>
              <w:rPr>
                <w:rFonts w:ascii="Arial" w:cs="Arial" w:eastAsia="Arial" w:hAnsi="Arial"/>
                <w:color w:val="333333"/>
                <w:sz w:val="20"/>
                <w:szCs w:val="20"/>
              </w:rPr>
              <w:t xml:space="preserve"> Without the common intermediate representation, differing native simulators would obscure whether statistical differences stem from the framework or the simulator.</w:t>
            </w:r>
          </w:p>
        </w:tc>
      </w:tr>
    </w:tbl>
    <w:p>
      <w:pPr>
        <w:spacing w:after="0" w:before="160"/>
      </w:pPr>
      <w:r>
        <w:t xml:space="preserve"/>
      </w:r>
    </w:p>
    <w:p>
      <w:pPr>
        <w:pStyle w:val="Heading2"/>
        <w:spacing w:after="120" w:before="280"/>
      </w:pPr>
      <w:r>
        <w:rPr>
          <w:rFonts w:ascii="Arial" w:cs="Arial" w:eastAsia="Arial" w:hAnsi="Arial"/>
          <w:b/>
          <w:bCs/>
          <w:color w:val="2E75B6"/>
          <w:sz w:val="24"/>
          <w:szCs w:val="24"/>
        </w:rPr>
        <w:t xml:space="preserve">3.6  Holistic Benchmark Scores</w:t>
      </w:r>
    </w:p>
    <w:p>
      <w:pPr>
        <w:spacing w:after="100" w:before="80"/>
      </w:pPr>
      <w:r>
        <w:rPr>
          <w:rFonts w:ascii="Arial" w:cs="Arial" w:eastAsia="Arial" w:hAnsi="Arial"/>
          <w:i/>
          <w:iCs/>
          <w:color w:val="666666"/>
          <w:sz w:val="22"/>
          <w:szCs w:val="22"/>
        </w:rPr>
        <w:t xml:space="preserve">Source files: metrics/qpack_scores.csv, metrics/quantum_volume_estimates.csv</w:t>
      </w:r>
    </w:p>
    <w:p>
      <w:pPr>
        <w:spacing w:after="0" w:before="80"/>
      </w:pPr>
      <w:r>
        <w:t xml:space="preserve"/>
      </w:r>
    </w:p>
    <w:p>
      <w:pPr>
        <w:spacing w:after="100" w:before="80"/>
      </w:pPr>
      <w:r>
        <w:rPr>
          <w:rFonts w:ascii="Arial" w:cs="Arial" w:eastAsia="Arial" w:hAnsi="Arial"/>
          <w:color w:val="1A1A1A"/>
          <w:sz w:val="22"/>
          <w:szCs w:val="22"/>
        </w:rPr>
        <w:t xml:space="preserve">Holistic scores aggregate the low-level metrics into high-level framework capability indicators. These are designed for the paper's summary results section and for practitioners who need a quick comparative snapshot without parsing every individual metric.</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20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Unit / Type</w:t>
            </w:r>
          </w:p>
        </w:tc>
        <w:tc>
          <w:tcPr>
            <w:tcW w:type="dxa" w:w="486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effective_qv</w:t>
            </w:r>
          </w:p>
        </w:tc>
        <w:tc>
          <w:tcPr>
            <w:tcW w:type="dxa" w:w="2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Integer</w:t>
            </w:r>
          </w:p>
        </w:tc>
        <w:tc>
          <w:tcPr>
            <w:tcW w:type="dxa" w:w="48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Estimated Quantum Volume the framework can effectively support</w:t>
            </w:r>
          </w:p>
        </w:tc>
      </w:tr>
      <w:tr>
        <w:tc>
          <w:tcPr>
            <w:tcW w:type="dxa" w:w="25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effective_qv_log2</w:t>
            </w:r>
          </w:p>
        </w:tc>
        <w:tc>
          <w:tcPr>
            <w:tcW w:type="dxa" w:w="2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Float</w:t>
            </w:r>
          </w:p>
        </w:tc>
        <w:tc>
          <w:tcPr>
            <w:tcW w:type="dxa" w:w="48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Log base-2 of effective QV; a common reporting convention in literature</w:t>
            </w:r>
          </w:p>
        </w:tc>
      </w:tr>
      <w:tr>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S_compile_speed</w:t>
            </w:r>
          </w:p>
        </w:tc>
        <w:tc>
          <w:tcPr>
            <w:tcW w:type="dxa" w:w="2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Score (0–1)</w:t>
            </w:r>
          </w:p>
        </w:tc>
        <w:tc>
          <w:tcPr>
            <w:tcW w:type="dxa" w:w="48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Normalized score for compilation performance across all algorithms</w:t>
            </w:r>
          </w:p>
        </w:tc>
      </w:tr>
      <w:tr>
        <w:tc>
          <w:tcPr>
            <w:tcW w:type="dxa" w:w="25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S_scalability</w:t>
            </w:r>
          </w:p>
        </w:tc>
        <w:tc>
          <w:tcPr>
            <w:tcW w:type="dxa" w:w="2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Score (0–1)</w:t>
            </w:r>
          </w:p>
        </w:tc>
        <w:tc>
          <w:tcPr>
            <w:tcW w:type="dxa" w:w="48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Normalized score for how efficiently the framework scales to more qubits</w:t>
            </w:r>
          </w:p>
        </w:tc>
      </w:tr>
      <w:tr>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S_accuracy</w:t>
            </w:r>
          </w:p>
        </w:tc>
        <w:tc>
          <w:tcPr>
            <w:tcW w:type="dxa" w:w="2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Score (0–1)</w:t>
            </w:r>
          </w:p>
        </w:tc>
        <w:tc>
          <w:tcPr>
            <w:tcW w:type="dxa" w:w="48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Normalized score for simulation/execution fidelity</w:t>
            </w:r>
          </w:p>
        </w:tc>
      </w:tr>
      <w:tr>
        <w:tc>
          <w:tcPr>
            <w:tcW w:type="dxa" w:w="25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S_capacity</w:t>
            </w:r>
          </w:p>
        </w:tc>
        <w:tc>
          <w:tcPr>
            <w:tcW w:type="dxa" w:w="2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Score (0–1)</w:t>
            </w:r>
          </w:p>
        </w:tc>
        <w:tc>
          <w:tcPr>
            <w:tcW w:type="dxa" w:w="48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Score for the maximum problem size the framework handles effectively</w:t>
            </w:r>
          </w:p>
        </w:tc>
      </w:tr>
      <w:tr>
        <w:tc>
          <w:tcPr>
            <w:tcW w:type="dxa" w:w="25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S_overall</w:t>
            </w:r>
          </w:p>
        </w:tc>
        <w:tc>
          <w:tcPr>
            <w:tcW w:type="dxa" w:w="2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Score (0–1)</w:t>
            </w:r>
          </w:p>
        </w:tc>
        <w:tc>
          <w:tcPr>
            <w:tcW w:type="dxa" w:w="48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Aggregated QPack score — balanced summary of all four sub-scores</w:t>
            </w:r>
          </w:p>
        </w:tc>
      </w:tr>
    </w:tbl>
    <w:p>
      <w:pPr>
        <w:spacing w:after="0" w:before="100"/>
      </w:pPr>
      <w:r>
        <w:t xml:space="preserve"/>
      </w:r>
    </w:p>
    <w:p>
      <w:pPr>
        <w:spacing w:after="80" w:before="200"/>
      </w:pPr>
      <w:r>
        <w:rPr>
          <w:rFonts w:ascii="Arial" w:cs="Arial" w:eastAsia="Arial" w:hAnsi="Arial"/>
          <w:b/>
          <w:bCs/>
          <w:color w:val="2C5F8A"/>
          <w:sz w:val="22"/>
          <w:szCs w:val="22"/>
        </w:rPr>
        <w:t xml:space="preserve">Why we chose these metrics</w:t>
      </w:r>
    </w:p>
    <w:p>
      <w:pPr>
        <w:spacing w:after="100" w:before="80"/>
      </w:pPr>
      <w:r>
        <w:rPr>
          <w:rFonts w:ascii="Arial" w:cs="Arial" w:eastAsia="Arial" w:hAnsi="Arial"/>
          <w:b w:val="false"/>
          <w:bCs w:val="false"/>
          <w:i w:val="false"/>
          <w:iCs w:val="false"/>
          <w:color w:val="1A1A1A"/>
          <w:sz w:val="22"/>
          <w:szCs w:val="22"/>
        </w:rPr>
        <w:t xml:space="preserve">Quantum Volume (QV) is an established, hardware-centric benchmark that accounts for qubit count, connectivity, gate errors, and compiler efficiency in a single number.</w:t>
      </w:r>
      <w:r>
        <w:rPr>
          <w:rFonts w:ascii="Arial" w:cs="Arial" w:eastAsia="Arial" w:hAnsi="Arial"/>
          <w:color w:val="2E75B6"/>
          <w:sz w:val="16"/>
          <w:szCs w:val="16"/>
          <w:vertAlign w:val="superscript"/>
        </w:rPr>
        <w:t xml:space="preserve">[3]</w:t>
      </w:r>
      <w:r>
        <w:rPr>
          <w:rFonts w:ascii="Arial" w:cs="Arial" w:eastAsia="Arial" w:hAnsi="Arial"/>
          <w:b w:val="false"/>
          <w:bCs w:val="false"/>
          <w:i w:val="false"/>
          <w:iCs w:val="false"/>
          <w:color w:val="1A1A1A"/>
          <w:sz w:val="22"/>
          <w:szCs w:val="22"/>
        </w:rPr>
        <w:t xml:space="preserve"> It was introduced by IBM and has since become an industry-standard circuit quality measure.</w:t>
      </w:r>
      <w:r>
        <w:rPr>
          <w:rFonts w:ascii="Arial" w:cs="Arial" w:eastAsia="Arial" w:hAnsi="Arial"/>
          <w:color w:val="2E75B6"/>
          <w:sz w:val="16"/>
          <w:szCs w:val="16"/>
          <w:vertAlign w:val="superscript"/>
        </w:rPr>
        <w:t xml:space="preserve">[3]</w:t>
      </w:r>
      <w:r>
        <w:rPr>
          <w:rFonts w:ascii="Arial" w:cs="Arial" w:eastAsia="Arial" w:hAnsi="Arial"/>
          <w:b w:val="false"/>
          <w:bCs w:val="false"/>
          <w:i w:val="false"/>
          <w:iCs w:val="false"/>
          <w:color w:val="1A1A1A"/>
          <w:sz w:val="22"/>
          <w:szCs w:val="22"/>
        </w:rPr>
        <w:t xml:space="preserve"> We compute a structure-implied QV estimate using a depolarizing noise model</w:t>
      </w:r>
      <w:r>
        <w:rPr>
          <w:rFonts w:ascii="Arial" w:cs="Arial" w:eastAsia="Arial" w:hAnsi="Arial"/>
          <w:color w:val="2E75B6"/>
          <w:sz w:val="16"/>
          <w:szCs w:val="16"/>
          <w:vertAlign w:val="superscript"/>
        </w:rPr>
        <w:t xml:space="preserve">[2]</w:t>
      </w:r>
      <w:r>
        <w:rPr>
          <w:rFonts w:ascii="Arial" w:cs="Arial" w:eastAsia="Arial" w:hAnsi="Arial"/>
          <w:b w:val="false"/>
          <w:bCs w:val="false"/>
          <w:i w:val="false"/>
          <w:iCs w:val="false"/>
          <w:color w:val="1A1A1A"/>
          <w:sz w:val="22"/>
          <w:szCs w:val="22"/>
        </w:rPr>
        <w:t xml:space="preserve"> applied to each framework's compiled circuits, making scores comparable across frameworks on equal footing. The QPack scores (S_*) normalize each performance dimension independently and then combine them:</w:t>
      </w:r>
    </w:p>
    <w:p>
      <w:pPr>
        <w:pStyle w:val="ListParagraph"/>
        <w:numPr>
          <w:ilvl w:val="0"/>
          <w:numId w:val="2"/>
        </w:numPr>
        <w:spacing w:after="60" w:before="60"/>
      </w:pPr>
      <w:r>
        <w:rPr>
          <w:rFonts w:ascii="Arial" w:cs="Arial" w:eastAsia="Arial" w:hAnsi="Arial"/>
          <w:b w:val="false"/>
          <w:bCs w:val="false"/>
          <w:color w:val="1A1A1A"/>
          <w:sz w:val="22"/>
          <w:szCs w:val="22"/>
        </w:rPr>
        <w:t xml:space="preserve">S_compile_speed: rewards frameworks with fast, consistent transpilation.</w:t>
      </w:r>
    </w:p>
    <w:p>
      <w:pPr>
        <w:pStyle w:val="ListParagraph"/>
        <w:numPr>
          <w:ilvl w:val="0"/>
          <w:numId w:val="2"/>
        </w:numPr>
        <w:spacing w:after="60" w:before="60"/>
      </w:pPr>
      <w:r>
        <w:rPr>
          <w:rFonts w:ascii="Arial" w:cs="Arial" w:eastAsia="Arial" w:hAnsi="Arial"/>
          <w:b w:val="false"/>
          <w:bCs w:val="false"/>
          <w:color w:val="1A1A1A"/>
          <w:sz w:val="22"/>
          <w:szCs w:val="22"/>
        </w:rPr>
        <w:t xml:space="preserve">S_scalability: rewards sub-linear or constant-depth scaling behavior.</w:t>
      </w:r>
      <w:r>
        <w:rPr>
          <w:rFonts w:ascii="Arial" w:cs="Arial" w:eastAsia="Arial" w:hAnsi="Arial"/>
          <w:color w:val="2E75B6"/>
          <w:sz w:val="16"/>
          <w:szCs w:val="16"/>
          <w:vertAlign w:val="superscript"/>
        </w:rPr>
        <w:t xml:space="preserve">[1]</w:t>
      </w:r>
    </w:p>
    <w:p>
      <w:pPr>
        <w:pStyle w:val="ListParagraph"/>
        <w:numPr>
          <w:ilvl w:val="0"/>
          <w:numId w:val="2"/>
        </w:numPr>
        <w:spacing w:after="60" w:before="60"/>
      </w:pPr>
      <w:r>
        <w:rPr>
          <w:rFonts w:ascii="Arial" w:cs="Arial" w:eastAsia="Arial" w:hAnsi="Arial"/>
          <w:b w:val="false"/>
          <w:bCs w:val="false"/>
          <w:color w:val="1A1A1A"/>
          <w:sz w:val="22"/>
          <w:szCs w:val="22"/>
        </w:rPr>
        <w:t xml:space="preserve">S_accuracy: rewards high simulation fidelity, consistent with the depolarizing noise model baseline.</w:t>
      </w:r>
      <w:r>
        <w:rPr>
          <w:rFonts w:ascii="Arial" w:cs="Arial" w:eastAsia="Arial" w:hAnsi="Arial"/>
          <w:color w:val="2E75B6"/>
          <w:sz w:val="16"/>
          <w:szCs w:val="16"/>
          <w:vertAlign w:val="superscript"/>
        </w:rPr>
        <w:t xml:space="preserve">[2]</w:t>
      </w:r>
    </w:p>
    <w:p>
      <w:pPr>
        <w:pStyle w:val="ListParagraph"/>
        <w:numPr>
          <w:ilvl w:val="0"/>
          <w:numId w:val="2"/>
        </w:numPr>
        <w:spacing w:after="60" w:before="60"/>
      </w:pPr>
      <w:r>
        <w:rPr>
          <w:rFonts w:ascii="Arial" w:cs="Arial" w:eastAsia="Arial" w:hAnsi="Arial"/>
          <w:b w:val="false"/>
          <w:bCs w:val="false"/>
          <w:color w:val="1A1A1A"/>
          <w:sz w:val="22"/>
          <w:szCs w:val="22"/>
        </w:rPr>
        <w:t xml:space="preserve">S_capacity: rewards ability to handle the largest circuits in the suite, aligned with the memory-scaling considerations of statevector simulation.</w:t>
      </w:r>
      <w:r>
        <w:rPr>
          <w:rFonts w:ascii="Arial" w:cs="Arial" w:eastAsia="Arial" w:hAnsi="Arial"/>
          <w:color w:val="2E75B6"/>
          <w:sz w:val="16"/>
          <w:szCs w:val="16"/>
          <w:vertAlign w:val="superscript"/>
        </w:rPr>
        <w:t xml:space="preserve">[9]</w:t>
      </w:r>
    </w:p>
    <w:p>
      <w:pPr>
        <w:pStyle w:val="ListParagraph"/>
        <w:numPr>
          <w:ilvl w:val="0"/>
          <w:numId w:val="2"/>
        </w:numPr>
        <w:spacing w:after="60" w:before="60"/>
      </w:pPr>
      <w:r>
        <w:rPr>
          <w:rFonts w:ascii="Arial" w:cs="Arial" w:eastAsia="Arial" w:hAnsi="Arial"/>
          <w:b w:val="false"/>
          <w:bCs w:val="false"/>
          <w:color w:val="1A1A1A"/>
          <w:sz w:val="22"/>
          <w:szCs w:val="22"/>
        </w:rPr>
        <w:t xml:space="preserve">S_overall: a weighted aggregation providing a single framework ranking for the paper's headline result.</w:t>
      </w:r>
      <w:r>
        <w:rPr>
          <w:rFonts w:ascii="Arial" w:cs="Arial" w:eastAsia="Arial" w:hAnsi="Arial"/>
          <w:color w:val="2E75B6"/>
          <w:sz w:val="16"/>
          <w:szCs w:val="16"/>
          <w:vertAlign w:val="superscript"/>
        </w:rPr>
        <w:t xml:space="preserve">[3]</w:t>
      </w:r>
    </w:p>
    <w:p>
      <w:pPr>
        <w:spacing w:after="0" w:before="160"/>
      </w:pPr>
      <w:r>
        <w:t xml:space="preserve"/>
      </w:r>
    </w:p>
    <w:p>
      <w:pPr>
        <w:pStyle w:val="Heading1"/>
        <w:pBdr>
          <w:bottom w:val="single" w:color="2E75B6" w:sz="8" w:space="4"/>
        </w:pBdr>
        <w:spacing w:after="160" w:before="400"/>
      </w:pPr>
      <w:r>
        <w:rPr>
          <w:rFonts w:ascii="Arial" w:cs="Arial" w:eastAsia="Arial" w:hAnsi="Arial"/>
          <w:b/>
          <w:bCs/>
          <w:color w:val="1F4E79"/>
          <w:sz w:val="28"/>
          <w:szCs w:val="28"/>
        </w:rPr>
        <w:t xml:space="preserve">4. Measurement Protocol</w:t>
      </w:r>
    </w:p>
    <w:p>
      <w:pPr>
        <w:spacing w:after="100" w:before="80"/>
      </w:pPr>
      <w:r>
        <w:rPr>
          <w:rFonts w:ascii="Arial" w:cs="Arial" w:eastAsia="Arial" w:hAnsi="Arial"/>
          <w:color w:val="1A1A1A"/>
          <w:sz w:val="22"/>
          <w:szCs w:val="22"/>
        </w:rPr>
        <w:t xml:space="preserve">To ensure reproducibility and fairness, all measurements follow a standardized protocol applied identically across all three frameworks.</w:t>
      </w:r>
    </w:p>
    <w:p>
      <w:pPr>
        <w:spacing w:after="0" w:before="80"/>
      </w:pPr>
      <w:r>
        <w:t xml:space="preserve"/>
      </w:r>
    </w:p>
    <w:p>
      <w:pPr>
        <w:pStyle w:val="Heading2"/>
        <w:spacing w:after="120" w:before="280"/>
      </w:pPr>
      <w:r>
        <w:rPr>
          <w:rFonts w:ascii="Arial" w:cs="Arial" w:eastAsia="Arial" w:hAnsi="Arial"/>
          <w:b/>
          <w:bCs/>
          <w:color w:val="2E75B6"/>
          <w:sz w:val="24"/>
          <w:szCs w:val="24"/>
        </w:rPr>
        <w:t xml:space="preserve">4.1  Repeated Runs</w:t>
      </w:r>
    </w:p>
    <w:p>
      <w:pPr>
        <w:spacing w:after="100" w:before="80"/>
      </w:pPr>
      <w:r>
        <w:rPr>
          <w:rFonts w:ascii="Arial" w:cs="Arial" w:eastAsia="Arial" w:hAnsi="Arial"/>
          <w:color w:val="1A1A1A"/>
          <w:sz w:val="22"/>
          <w:szCs w:val="22"/>
        </w:rPr>
        <w:t xml:space="preserve">Every timed measurement (compilation and simulation) is repeated 10 times. The mean and standard deviation are reported. This controls for system noise and transient OS scheduling artifacts.</w:t>
      </w:r>
    </w:p>
    <w:p>
      <w:pPr>
        <w:pStyle w:val="Heading2"/>
        <w:spacing w:after="120" w:before="280"/>
      </w:pPr>
      <w:r>
        <w:rPr>
          <w:rFonts w:ascii="Arial" w:cs="Arial" w:eastAsia="Arial" w:hAnsi="Arial"/>
          <w:b/>
          <w:bCs/>
          <w:color w:val="2E75B6"/>
          <w:sz w:val="24"/>
          <w:szCs w:val="24"/>
        </w:rPr>
        <w:t xml:space="preserve">4.2  Controlled Environment</w:t>
      </w:r>
    </w:p>
    <w:p>
      <w:pPr>
        <w:spacing w:after="100" w:before="80"/>
      </w:pPr>
      <w:r>
        <w:rPr>
          <w:rFonts w:ascii="Arial" w:cs="Arial" w:eastAsia="Arial" w:hAnsi="Arial"/>
          <w:b w:val="false"/>
          <w:bCs w:val="false"/>
          <w:i w:val="false"/>
          <w:iCs w:val="false"/>
          <w:color w:val="1A1A1A"/>
          <w:sz w:val="22"/>
          <w:szCs w:val="22"/>
        </w:rPr>
        <w:t xml:space="preserve">All experiments run on the same machine with the same software environment (Python 3.11+, pinned package versions for Qiskit</w:t>
      </w:r>
      <w:r>
        <w:rPr>
          <w:rFonts w:ascii="Arial" w:cs="Arial" w:eastAsia="Arial" w:hAnsi="Arial"/>
          <w:color w:val="2E75B6"/>
          <w:sz w:val="16"/>
          <w:szCs w:val="16"/>
          <w:vertAlign w:val="superscript"/>
        </w:rPr>
        <w:t xml:space="preserve">[6]</w:t>
      </w:r>
      <w:r>
        <w:rPr>
          <w:rFonts w:ascii="Arial" w:cs="Arial" w:eastAsia="Arial" w:hAnsi="Arial"/>
          <w:b w:val="false"/>
          <w:bCs w:val="false"/>
          <w:i w:val="false"/>
          <w:iCs w:val="false"/>
          <w:color w:val="1A1A1A"/>
          <w:sz w:val="22"/>
          <w:szCs w:val="22"/>
        </w:rPr>
        <w:t xml:space="preserve">, Cirq</w:t>
      </w:r>
      <w:r>
        <w:rPr>
          <w:rFonts w:ascii="Arial" w:cs="Arial" w:eastAsia="Arial" w:hAnsi="Arial"/>
          <w:color w:val="2E75B6"/>
          <w:sz w:val="16"/>
          <w:szCs w:val="16"/>
          <w:vertAlign w:val="superscript"/>
        </w:rPr>
        <w:t xml:space="preserve">[7]</w:t>
      </w:r>
      <w:r>
        <w:rPr>
          <w:rFonts w:ascii="Arial" w:cs="Arial" w:eastAsia="Arial" w:hAnsi="Arial"/>
          <w:b w:val="false"/>
          <w:bCs w:val="false"/>
          <w:i w:val="false"/>
          <w:iCs w:val="false"/>
          <w:color w:val="1A1A1A"/>
          <w:sz w:val="22"/>
          <w:szCs w:val="22"/>
        </w:rPr>
        <w:t xml:space="preserve">, and PennyLane</w:t>
      </w:r>
      <w:r>
        <w:rPr>
          <w:rFonts w:ascii="Arial" w:cs="Arial" w:eastAsia="Arial" w:hAnsi="Arial"/>
          <w:color w:val="2E75B6"/>
          <w:sz w:val="16"/>
          <w:szCs w:val="16"/>
          <w:vertAlign w:val="superscript"/>
        </w:rPr>
        <w:t xml:space="preserve">[8]</w:t>
      </w:r>
      <w:r>
        <w:rPr>
          <w:rFonts w:ascii="Arial" w:cs="Arial" w:eastAsia="Arial" w:hAnsi="Arial"/>
          <w:b w:val="false"/>
          <w:bCs w:val="false"/>
          <w:i w:val="false"/>
          <w:iCs w:val="false"/>
          <w:color w:val="1A1A1A"/>
          <w:sz w:val="22"/>
          <w:szCs w:val="22"/>
        </w:rPr>
        <w:t xml:space="preserve">). No other computationally intensive processes run concurrently. The QSim backend is fixed at 1,000 shots for all circuits to keep shot noise constant.</w:t>
      </w:r>
    </w:p>
    <w:p>
      <w:pPr>
        <w:pStyle w:val="Heading2"/>
        <w:spacing w:after="120" w:before="280"/>
      </w:pPr>
      <w:r>
        <w:rPr>
          <w:rFonts w:ascii="Arial" w:cs="Arial" w:eastAsia="Arial" w:hAnsi="Arial"/>
          <w:b/>
          <w:bCs/>
          <w:color w:val="2E75B6"/>
          <w:sz w:val="24"/>
          <w:szCs w:val="24"/>
        </w:rPr>
        <w:t xml:space="preserve">4.3  Idiomatic Implementations</w:t>
      </w:r>
    </w:p>
    <w:p>
      <w:pPr>
        <w:spacing w:after="100" w:before="80"/>
      </w:pPr>
      <w:r>
        <w:rPr>
          <w:rFonts w:ascii="Arial" w:cs="Arial" w:eastAsia="Arial" w:hAnsi="Arial"/>
          <w:color w:val="1A1A1A"/>
          <w:sz w:val="22"/>
          <w:szCs w:val="22"/>
        </w:rPr>
        <w:t xml:space="preserve">Each algorithm is implemented by a team member familiar with that framework's conventions. Circuits are not mechanically ported — they use the framework's preferred gate decompositions, qubit registers, and measurement syntax. This ensures we measure the framework as a real user would use it.</w:t>
      </w:r>
    </w:p>
    <w:p>
      <w:pPr>
        <w:pStyle w:val="Heading2"/>
        <w:spacing w:after="120" w:before="280"/>
      </w:pPr>
      <w:r>
        <w:rPr>
          <w:rFonts w:ascii="Arial" w:cs="Arial" w:eastAsia="Arial" w:hAnsi="Arial"/>
          <w:b/>
          <w:bCs/>
          <w:color w:val="2E75B6"/>
          <w:sz w:val="24"/>
          <w:szCs w:val="24"/>
        </w:rPr>
        <w:t xml:space="preserve">4.4  Version Pinning</w:t>
      </w:r>
    </w:p>
    <w:p>
      <w:pPr>
        <w:spacing w:after="100" w:before="80"/>
      </w:pPr>
      <w:r>
        <w:rPr>
          <w:rFonts w:ascii="Arial" w:cs="Arial" w:eastAsia="Arial" w:hAnsi="Arial"/>
          <w:color w:val="1A1A1A"/>
          <w:sz w:val="22"/>
          <w:szCs w:val="22"/>
        </w:rPr>
        <w:t xml:space="preserve">Exact versions of all frameworks and QCanvas are recorded and pinned in the repository's requirements file. Results are tied to a specific snapshot of each framework to allow future replication.</w:t>
      </w:r>
    </w:p>
    <w:p>
      <w:pPr>
        <w:spacing w:after="0" w:before="160"/>
      </w:pPr>
      <w:r>
        <w:t xml:space="preserve"/>
      </w:r>
    </w:p>
    <w:p>
      <w:pPr>
        <w:pStyle w:val="Heading1"/>
        <w:pBdr>
          <w:bottom w:val="single" w:color="2E75B6" w:sz="8" w:space="4"/>
        </w:pBdr>
        <w:spacing w:after="160" w:before="400"/>
      </w:pPr>
      <w:r>
        <w:rPr>
          <w:rFonts w:ascii="Arial" w:cs="Arial" w:eastAsia="Arial" w:hAnsi="Arial"/>
          <w:b/>
          <w:bCs/>
          <w:color w:val="1F4E79"/>
          <w:sz w:val="28"/>
          <w:szCs w:val="28"/>
        </w:rPr>
        <w:t xml:space="preserve">5. Data Collection Pipeline</w:t>
      </w:r>
    </w:p>
    <w:p>
      <w:pPr>
        <w:spacing w:after="100" w:before="80"/>
      </w:pPr>
      <w:r>
        <w:rPr>
          <w:rFonts w:ascii="Arial" w:cs="Arial" w:eastAsia="Arial" w:hAnsi="Arial"/>
          <w:color w:val="1A1A1A"/>
          <w:sz w:val="22"/>
          <w:szCs w:val="22"/>
        </w:rPr>
        <w:t xml:space="preserve">The data collection process is fully automated through a series of Jupyter notebooks executed in strict order. The pipeline ensures that every metric is derived from the same source artifacts: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Notebook</w:t>
            </w:r>
          </w:p>
        </w:tc>
        <w:tc>
          <w:tcPr>
            <w:tcW w:type="dxa" w:w="26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Inputs</w:t>
            </w:r>
          </w:p>
        </w:tc>
        <w:tc>
          <w:tcPr>
            <w:tcW w:type="dxa" w:w="456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Outputs</w:t>
            </w:r>
          </w:p>
        </w:tc>
      </w:tr>
      <w:tr>
        <w:tc>
          <w:tcPr>
            <w:tcW w:type="dxa" w:w="22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nb01 — Compile &amp; Static Analysis</w:t>
            </w:r>
          </w:p>
        </w:tc>
        <w:tc>
          <w:tcPr>
            <w:tcW w:type="dxa" w:w="26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algorithms/</w:t>
            </w:r>
          </w:p>
        </w:tc>
        <w:tc>
          <w:tcPr>
            <w:tcW w:type="dxa" w:w="45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qasm_outputs/, structural_metrics.csv, compilation_times.csv</w:t>
            </w:r>
          </w:p>
        </w:tc>
      </w:tr>
      <w:tr>
        <w:tc>
          <w:tcPr>
            <w:tcW w:type="dxa" w:w="22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nb02 — Simulation &amp; QV</w:t>
            </w:r>
          </w:p>
        </w:tc>
        <w:tc>
          <w:tcPr>
            <w:tcW w:type="dxa" w:w="26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qasm_outputs/</w:t>
            </w:r>
          </w:p>
        </w:tc>
        <w:tc>
          <w:tcPr>
            <w:tcW w:type="dxa" w:w="45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simulation_metrics.csv, quantum_volume_estimates.csv</w:t>
            </w:r>
          </w:p>
        </w:tc>
      </w:tr>
      <w:tr>
        <w:tc>
          <w:tcPr>
            <w:tcW w:type="dxa" w:w="22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nb03 — Statistical Analysis</w:t>
            </w:r>
          </w:p>
        </w:tc>
        <w:tc>
          <w:tcPr>
            <w:tcW w:type="dxa" w:w="26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metrics/*.csv</w:t>
            </w:r>
          </w:p>
        </w:tc>
        <w:tc>
          <w:tcPr>
            <w:tcW w:type="dxa" w:w="45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statistical_tests.csv, equivalence decisions</w:t>
            </w:r>
          </w:p>
        </w:tc>
      </w:tr>
      <w:tr>
        <w:tc>
          <w:tcPr>
            <w:tcW w:type="dxa" w:w="22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nb04 — Case Studies</w:t>
            </w:r>
          </w:p>
        </w:tc>
        <w:tc>
          <w:tcPr>
            <w:tcW w:type="dxa" w:w="26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qasm_outputs/, metrics/</w:t>
            </w:r>
          </w:p>
        </w:tc>
        <w:tc>
          <w:tcPr>
            <w:tcW w:type="dxa" w:w="45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Narrative tables and circuit listings</w:t>
            </w:r>
          </w:p>
        </w:tc>
      </w:tr>
      <w:tr>
        <w:tc>
          <w:tcPr>
            <w:tcW w:type="dxa" w:w="22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nb05 — Figures</w:t>
            </w:r>
          </w:p>
        </w:tc>
        <w:tc>
          <w:tcPr>
            <w:tcW w:type="dxa" w:w="26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All metrics</w:t>
            </w:r>
          </w:p>
        </w:tc>
        <w:tc>
          <w:tcPr>
            <w:tcW w:type="dxa" w:w="45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Publication-quality plots in results/</w:t>
            </w:r>
          </w:p>
        </w:tc>
      </w:tr>
      <w:tr>
        <w:tc>
          <w:tcPr>
            <w:tcW w:type="dxa" w:w="22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nb06 — Results Tables</w:t>
            </w:r>
          </w:p>
        </w:tc>
        <w:tc>
          <w:tcPr>
            <w:tcW w:type="dxa" w:w="26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All metrics</w:t>
            </w:r>
          </w:p>
        </w:tc>
        <w:tc>
          <w:tcPr>
            <w:tcW w:type="dxa" w:w="45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LaTeX / Markdown tables for paper sections</w:t>
            </w:r>
          </w:p>
        </w:tc>
      </w:tr>
      <w:tr>
        <w:tc>
          <w:tcPr>
            <w:tcW w:type="dxa" w:w="22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nb07 — Validation</w:t>
            </w:r>
          </w:p>
        </w:tc>
        <w:tc>
          <w:tcPr>
            <w:tcW w:type="dxa" w:w="26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All outputs</w:t>
            </w:r>
          </w:p>
        </w:tc>
        <w:tc>
          <w:tcPr>
            <w:tcW w:type="dxa" w:w="45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Final validation checklist</w:t>
            </w:r>
          </w:p>
        </w:tc>
      </w:tr>
    </w:tbl>
    <w:p>
      <w:pPr>
        <w:spacing w:after="0" w:before="160"/>
      </w:pPr>
      <w:r>
        <w:t xml:space="preserve"/>
      </w:r>
    </w:p>
    <w:p>
      <w:pPr>
        <w:pStyle w:val="Heading1"/>
        <w:pBdr>
          <w:bottom w:val="single" w:color="2E75B6" w:sz="8" w:space="4"/>
        </w:pBdr>
        <w:spacing w:after="160" w:before="400"/>
      </w:pPr>
      <w:r>
        <w:rPr>
          <w:rFonts w:ascii="Arial" w:cs="Arial" w:eastAsia="Arial" w:hAnsi="Arial"/>
          <w:b/>
          <w:bCs/>
          <w:color w:val="1F4E79"/>
          <w:sz w:val="28"/>
          <w:szCs w:val="28"/>
        </w:rPr>
        <w:t xml:space="preserve">6. Summary &amp; Rationale</w:t>
      </w:r>
    </w:p>
    <w:p>
      <w:pPr>
        <w:spacing w:after="100" w:before="80"/>
      </w:pPr>
      <w:r>
        <w:rPr>
          <w:rFonts w:ascii="Arial" w:cs="Arial" w:eastAsia="Arial" w:hAnsi="Arial"/>
          <w:color w:val="1A1A1A"/>
          <w:sz w:val="22"/>
          <w:szCs w:val="22"/>
        </w:rPr>
        <w:t xml:space="preserve">The six metric categories described in this document provide a complete, multi-dimensional picture of each framework's performance. The table below maps each category to the core research question it answers: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Metric Category</w:t>
            </w:r>
          </w:p>
        </w:tc>
        <w:tc>
          <w:tcPr>
            <w:tcW w:type="dxa" w:w="6360"/>
            <w:tcBorders>
              <w:top w:val="single" w:color="BFD7ED" w:sz="1"/>
              <w:left w:val="single" w:color="BFD7ED" w:sz="1"/>
              <w:bottom w:val="single" w:color="BFD7ED" w:sz="1"/>
              <w:right w:val="single" w:color="BFD7ED"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Core Research Question Answered</w:t>
            </w:r>
          </w:p>
        </w:tc>
      </w:tr>
      <w:tr>
        <w:tc>
          <w:tcPr>
            <w:tcW w:type="dxa" w:w="3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Compilation</w:t>
            </w:r>
          </w:p>
        </w:tc>
        <w:tc>
          <w:tcPr>
            <w:tcW w:type="dxa" w:w="63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How fast and reliably does each framework transpile circuits?</w:t>
            </w:r>
          </w:p>
        </w:tc>
      </w:tr>
      <w:tr>
        <w:tc>
          <w:tcPr>
            <w:tcW w:type="dxa" w:w="3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Structural</w:t>
            </w:r>
          </w:p>
        </w:tc>
        <w:tc>
          <w:tcPr>
            <w:tcW w:type="dxa" w:w="63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How hardware-friendly are the circuits each framework produces?</w:t>
            </w:r>
          </w:p>
        </w:tc>
      </w:tr>
      <w:tr>
        <w:tc>
          <w:tcPr>
            <w:tcW w:type="dxa" w:w="3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Scaling</w:t>
            </w:r>
          </w:p>
        </w:tc>
        <w:tc>
          <w:tcPr>
            <w:tcW w:type="dxa" w:w="63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Do resource requirements grow acceptably as qubit count increases?</w:t>
            </w:r>
          </w:p>
        </w:tc>
      </w:tr>
      <w:tr>
        <w:tc>
          <w:tcPr>
            <w:tcW w:type="dxa" w:w="3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Simulation</w:t>
            </w:r>
          </w:p>
        </w:tc>
        <w:tc>
          <w:tcPr>
            <w:tcW w:type="dxa" w:w="63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How efficiently can each framework simulate large circuits classically?</w:t>
            </w:r>
          </w:p>
        </w:tc>
      </w:tr>
      <w:tr>
        <w:tc>
          <w:tcPr>
            <w:tcW w:type="dxa" w:w="300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Statistical Equivalence</w:t>
            </w:r>
          </w:p>
        </w:tc>
        <w:tc>
          <w:tcPr>
            <w:tcW w:type="dxa" w:w="6360"/>
            <w:tcBorders>
              <w:top w:val="single" w:color="BFD7ED" w:sz="1"/>
              <w:left w:val="single" w:color="BFD7ED" w:sz="1"/>
              <w:bottom w:val="single" w:color="BFD7ED" w:sz="1"/>
              <w:right w:val="single" w:color="BFD7ED" w:sz="1"/>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Do all three frameworks produce the correct quantum output?</w:t>
            </w:r>
          </w:p>
        </w:tc>
      </w:tr>
      <w:tr>
        <w:tc>
          <w:tcPr>
            <w:tcW w:type="dxa" w:w="300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bCs/>
                <w:color w:val="1A1A1A"/>
                <w:sz w:val="20"/>
                <w:szCs w:val="20"/>
              </w:rPr>
              <w:t xml:space="preserve">Holistic Scores</w:t>
            </w:r>
          </w:p>
        </w:tc>
        <w:tc>
          <w:tcPr>
            <w:tcW w:type="dxa" w:w="6360"/>
            <w:tcBorders>
              <w:top w:val="single" w:color="BFD7ED" w:sz="1"/>
              <w:left w:val="single" w:color="BFD7ED" w:sz="1"/>
              <w:bottom w:val="single" w:color="BFD7ED" w:sz="1"/>
              <w:right w:val="single" w:color="BFD7ED" w:sz="1"/>
            </w:tcBorders>
            <w:shd w:fill="EAF2FB" w:val="clear"/>
            <w:tcMar>
              <w:top w:type="dxa" w:w="80"/>
              <w:left w:type="dxa" w:w="150"/>
              <w:bottom w:type="dxa" w:w="80"/>
              <w:right w:type="dxa" w:w="150"/>
            </w:tcMar>
          </w:tcPr>
          <w:p>
            <w:r>
              <w:rPr>
                <w:rFonts w:ascii="Arial" w:cs="Arial" w:eastAsia="Arial" w:hAnsi="Arial"/>
                <w:b w:val="false"/>
                <w:bCs w:val="false"/>
                <w:color w:val="1A1A1A"/>
                <w:sz w:val="20"/>
                <w:szCs w:val="20"/>
              </w:rPr>
              <w:t xml:space="preserve">How does each framework rank overall across all dimensions?</w:t>
            </w:r>
          </w:p>
        </w:tc>
      </w:tr>
    </w:tbl>
    <w:p>
      <w:pPr>
        <w:spacing w:after="0" w:before="120"/>
      </w:pPr>
      <w:r>
        <w:t xml:space="preserve"/>
      </w:r>
    </w:p>
    <w:p>
      <w:pPr>
        <w:spacing w:after="100" w:before="80"/>
      </w:pPr>
      <w:r>
        <w:rPr>
          <w:rFonts w:ascii="Arial" w:cs="Arial" w:eastAsia="Arial" w:hAnsi="Arial"/>
          <w:b w:val="false"/>
          <w:bCs w:val="false"/>
          <w:i w:val="false"/>
          <w:iCs w:val="false"/>
          <w:color w:val="1A1A1A"/>
          <w:sz w:val="22"/>
          <w:szCs w:val="22"/>
        </w:rPr>
        <w:t xml:space="preserve">This metric suite is intentionally designed so that no single framework is expected to dominate every category. Qiskit</w:t>
      </w:r>
      <w:r>
        <w:rPr>
          <w:rFonts w:ascii="Arial" w:cs="Arial" w:eastAsia="Arial" w:hAnsi="Arial"/>
          <w:color w:val="2E75B6"/>
          <w:sz w:val="16"/>
          <w:szCs w:val="16"/>
          <w:vertAlign w:val="superscript"/>
        </w:rPr>
        <w:t xml:space="preserve">[6]</w:t>
      </w:r>
      <w:r>
        <w:rPr>
          <w:rFonts w:ascii="Arial" w:cs="Arial" w:eastAsia="Arial" w:hAnsi="Arial"/>
          <w:b w:val="false"/>
          <w:bCs w:val="false"/>
          <w:i w:val="false"/>
          <w:iCs w:val="false"/>
          <w:color w:val="1A1A1A"/>
          <w:sz w:val="22"/>
          <w:szCs w:val="22"/>
        </w:rPr>
        <w:t xml:space="preserve"> may excel in compilation reliability given its mature transpiler; Cirq</w:t>
      </w:r>
      <w:r>
        <w:rPr>
          <w:rFonts w:ascii="Arial" w:cs="Arial" w:eastAsia="Arial" w:hAnsi="Arial"/>
          <w:color w:val="2E75B6"/>
          <w:sz w:val="16"/>
          <w:szCs w:val="16"/>
          <w:vertAlign w:val="superscript"/>
        </w:rPr>
        <w:t xml:space="preserve">[7]</w:t>
      </w:r>
      <w:r>
        <w:rPr>
          <w:rFonts w:ascii="Arial" w:cs="Arial" w:eastAsia="Arial" w:hAnsi="Arial"/>
          <w:b w:val="false"/>
          <w:bCs w:val="false"/>
          <w:i w:val="false"/>
          <w:iCs w:val="false"/>
          <w:color w:val="1A1A1A"/>
          <w:sz w:val="22"/>
          <w:szCs w:val="22"/>
        </w:rPr>
        <w:t xml:space="preserve"> may produce shallower circuits due to its hardware-oriented design philosophy; PennyLane</w:t>
      </w:r>
      <w:r>
        <w:rPr>
          <w:rFonts w:ascii="Arial" w:cs="Arial" w:eastAsia="Arial" w:hAnsi="Arial"/>
          <w:color w:val="2E75B6"/>
          <w:sz w:val="16"/>
          <w:szCs w:val="16"/>
          <w:vertAlign w:val="superscript"/>
        </w:rPr>
        <w:t xml:space="preserve">[8]</w:t>
      </w:r>
      <w:r>
        <w:rPr>
          <w:rFonts w:ascii="Arial" w:cs="Arial" w:eastAsia="Arial" w:hAnsi="Arial"/>
          <w:b w:val="false"/>
          <w:bCs w:val="false"/>
          <w:i w:val="false"/>
          <w:iCs w:val="false"/>
          <w:color w:val="1A1A1A"/>
          <w:sz w:val="22"/>
          <w:szCs w:val="22"/>
        </w:rPr>
        <w:t xml:space="preserve"> may offer better memory efficiency for variational algorithms given its differentiable programming model. The goal of the study is to surface these trade-offs empirically, providing the quantum computing community with a rigorous, reproducible reference for framework selection in the NISQ era.</w:t>
      </w:r>
      <w:r>
        <w:rPr>
          <w:rFonts w:ascii="Arial" w:cs="Arial" w:eastAsia="Arial" w:hAnsi="Arial"/>
          <w:color w:val="2E75B6"/>
          <w:sz w:val="16"/>
          <w:szCs w:val="16"/>
          <w:vertAlign w:val="superscript"/>
        </w:rPr>
        <w:t xml:space="preserve">[1]</w:t>
      </w:r>
    </w:p>
    <w:p>
      <w:pPr>
        <w:spacing w:after="0" w:before="200"/>
      </w:pPr>
      <w:r>
        <w:t xml:space="preserve"/>
      </w:r>
    </w:p>
    <w:p>
      <w:pPr>
        <w:pStyle w:val="Heading1"/>
        <w:pBdr>
          <w:bottom w:val="single" w:color="2E75B6" w:sz="8" w:space="4"/>
        </w:pBdr>
        <w:spacing w:after="160" w:before="400"/>
      </w:pPr>
      <w:r>
        <w:rPr>
          <w:rFonts w:ascii="Arial" w:cs="Arial" w:eastAsia="Arial" w:hAnsi="Arial"/>
          <w:b/>
          <w:bCs/>
          <w:color w:val="1F4E79"/>
          <w:sz w:val="28"/>
          <w:szCs w:val="28"/>
        </w:rPr>
        <w:t xml:space="preserve">References</w:t>
      </w:r>
    </w:p>
    <w:p>
      <w:pPr>
        <w:spacing w:after="0" w:before="40"/>
      </w:pPr>
      <w:r>
        <w:t xml:space="preserve"/>
      </w:r>
    </w:p>
    <w:p>
      <w:pPr>
        <w:spacing w:after="60" w:before="100"/>
        <w:ind w:left="560" w:hanging="560"/>
      </w:pPr>
      <w:r>
        <w:rPr>
          <w:rFonts w:ascii="Arial" w:cs="Arial" w:eastAsia="Arial" w:hAnsi="Arial"/>
          <w:b/>
          <w:bCs/>
          <w:color w:val="2E75B6"/>
          <w:sz w:val="20"/>
          <w:szCs w:val="20"/>
        </w:rPr>
        <w:t xml:space="preserve">[1]  </w:t>
      </w:r>
      <w:r>
        <w:rPr>
          <w:rFonts w:ascii="Arial" w:cs="Arial" w:eastAsia="Arial" w:hAnsi="Arial"/>
          <w:color w:val="1A1A1A"/>
          <w:sz w:val="20"/>
          <w:szCs w:val="20"/>
        </w:rPr>
        <w:t xml:space="preserve">Preskill, J. (2018). </w:t>
      </w:r>
      <w:r>
        <w:rPr>
          <w:rFonts w:ascii="Arial" w:cs="Arial" w:eastAsia="Arial" w:hAnsi="Arial"/>
          <w:i/>
          <w:iCs/>
          <w:color w:val="1A1A1A"/>
          <w:sz w:val="20"/>
          <w:szCs w:val="20"/>
        </w:rPr>
        <w:t xml:space="preserve">Quantum Computing in the NISQ Era and Beyond. </w:t>
      </w:r>
      <w:r>
        <w:rPr>
          <w:rFonts w:ascii="Arial" w:cs="Arial" w:eastAsia="Arial" w:hAnsi="Arial"/>
          <w:color w:val="1A1A1A"/>
          <w:sz w:val="20"/>
          <w:szCs w:val="20"/>
        </w:rPr>
        <w:t xml:space="preserve">Quantum, 2, 79.</w:t>
      </w:r>
      <w:r>
        <w:rPr>
          <w:rFonts w:ascii="Arial" w:cs="Arial" w:eastAsia="Arial" w:hAnsi="Arial"/>
          <w:color w:val="1155CC"/>
          <w:sz w:val="20"/>
          <w:szCs w:val="20"/>
        </w:rPr>
        <w:t xml:space="preserve"> https://doi.org/10.22331/q-2018-08-06-79</w:t>
      </w:r>
    </w:p>
    <w:p>
      <w:pPr>
        <w:spacing w:after="60" w:before="100"/>
        <w:ind w:left="560" w:hanging="560"/>
      </w:pPr>
      <w:r>
        <w:rPr>
          <w:rFonts w:ascii="Arial" w:cs="Arial" w:eastAsia="Arial" w:hAnsi="Arial"/>
          <w:b/>
          <w:bCs/>
          <w:color w:val="2E75B6"/>
          <w:sz w:val="20"/>
          <w:szCs w:val="20"/>
        </w:rPr>
        <w:t xml:space="preserve">[2]  </w:t>
      </w:r>
      <w:r>
        <w:rPr>
          <w:rFonts w:ascii="Arial" w:cs="Arial" w:eastAsia="Arial" w:hAnsi="Arial"/>
          <w:color w:val="1A1A1A"/>
          <w:sz w:val="20"/>
          <w:szCs w:val="20"/>
        </w:rPr>
        <w:t xml:space="preserve">Nielsen, M. A., &amp; Chuang, I. L. (2010). </w:t>
      </w:r>
      <w:r>
        <w:rPr>
          <w:rFonts w:ascii="Arial" w:cs="Arial" w:eastAsia="Arial" w:hAnsi="Arial"/>
          <w:i/>
          <w:iCs/>
          <w:color w:val="1A1A1A"/>
          <w:sz w:val="20"/>
          <w:szCs w:val="20"/>
        </w:rPr>
        <w:t xml:space="preserve">Quantum Computation and Quantum Information (10th Anniversary ed.). </w:t>
      </w:r>
      <w:r>
        <w:rPr>
          <w:rFonts w:ascii="Arial" w:cs="Arial" w:eastAsia="Arial" w:hAnsi="Arial"/>
          <w:color w:val="1A1A1A"/>
          <w:sz w:val="20"/>
          <w:szCs w:val="20"/>
        </w:rPr>
        <w:t xml:space="preserve">Cambridge University Press.</w:t>
      </w:r>
    </w:p>
    <w:p>
      <w:pPr>
        <w:spacing w:after="60" w:before="100"/>
        <w:ind w:left="560" w:hanging="560"/>
      </w:pPr>
      <w:r>
        <w:rPr>
          <w:rFonts w:ascii="Arial" w:cs="Arial" w:eastAsia="Arial" w:hAnsi="Arial"/>
          <w:b/>
          <w:bCs/>
          <w:color w:val="2E75B6"/>
          <w:sz w:val="20"/>
          <w:szCs w:val="20"/>
        </w:rPr>
        <w:t xml:space="preserve">[3]  </w:t>
      </w:r>
      <w:r>
        <w:rPr>
          <w:rFonts w:ascii="Arial" w:cs="Arial" w:eastAsia="Arial" w:hAnsi="Arial"/>
          <w:color w:val="1A1A1A"/>
          <w:sz w:val="20"/>
          <w:szCs w:val="20"/>
        </w:rPr>
        <w:t xml:space="preserve">Cross, A. W., Bishop, L. S., Sheldon, S., Nation, P. D., &amp; Gambetta, J. M. (2019). </w:t>
      </w:r>
      <w:r>
        <w:rPr>
          <w:rFonts w:ascii="Arial" w:cs="Arial" w:eastAsia="Arial" w:hAnsi="Arial"/>
          <w:i/>
          <w:iCs/>
          <w:color w:val="1A1A1A"/>
          <w:sz w:val="20"/>
          <w:szCs w:val="20"/>
        </w:rPr>
        <w:t xml:space="preserve">Validating quantum computers using randomized model circuits. </w:t>
      </w:r>
      <w:r>
        <w:rPr>
          <w:rFonts w:ascii="Arial" w:cs="Arial" w:eastAsia="Arial" w:hAnsi="Arial"/>
          <w:color w:val="1A1A1A"/>
          <w:sz w:val="20"/>
          <w:szCs w:val="20"/>
        </w:rPr>
        <w:t xml:space="preserve">Physical Review A, 100(3), 032328.</w:t>
      </w:r>
      <w:r>
        <w:rPr>
          <w:rFonts w:ascii="Arial" w:cs="Arial" w:eastAsia="Arial" w:hAnsi="Arial"/>
          <w:color w:val="1155CC"/>
          <w:sz w:val="20"/>
          <w:szCs w:val="20"/>
        </w:rPr>
        <w:t xml:space="preserve"> https://doi.org/10.1103/PhysRevA.100.032328</w:t>
      </w:r>
    </w:p>
    <w:p>
      <w:pPr>
        <w:spacing w:after="60" w:before="100"/>
        <w:ind w:left="560" w:hanging="560"/>
      </w:pPr>
      <w:r>
        <w:rPr>
          <w:rFonts w:ascii="Arial" w:cs="Arial" w:eastAsia="Arial" w:hAnsi="Arial"/>
          <w:b/>
          <w:bCs/>
          <w:color w:val="2E75B6"/>
          <w:sz w:val="20"/>
          <w:szCs w:val="20"/>
        </w:rPr>
        <w:t xml:space="preserve">[4]  </w:t>
      </w:r>
      <w:r>
        <w:rPr>
          <w:rFonts w:ascii="Arial" w:cs="Arial" w:eastAsia="Arial" w:hAnsi="Arial"/>
          <w:color w:val="1A1A1A"/>
          <w:sz w:val="20"/>
          <w:szCs w:val="20"/>
        </w:rPr>
        <w:t xml:space="preserve">Lin, J. (1991). </w:t>
      </w:r>
      <w:r>
        <w:rPr>
          <w:rFonts w:ascii="Arial" w:cs="Arial" w:eastAsia="Arial" w:hAnsi="Arial"/>
          <w:i/>
          <w:iCs/>
          <w:color w:val="1A1A1A"/>
          <w:sz w:val="20"/>
          <w:szCs w:val="20"/>
        </w:rPr>
        <w:t xml:space="preserve">Divergence measures based on the Shannon entropy. </w:t>
      </w:r>
      <w:r>
        <w:rPr>
          <w:rFonts w:ascii="Arial" w:cs="Arial" w:eastAsia="Arial" w:hAnsi="Arial"/>
          <w:color w:val="1A1A1A"/>
          <w:sz w:val="20"/>
          <w:szCs w:val="20"/>
        </w:rPr>
        <w:t xml:space="preserve">IEEE Transactions on Information Theory, 37(1), 145–151.</w:t>
      </w:r>
      <w:r>
        <w:rPr>
          <w:rFonts w:ascii="Arial" w:cs="Arial" w:eastAsia="Arial" w:hAnsi="Arial"/>
          <w:color w:val="1155CC"/>
          <w:sz w:val="20"/>
          <w:szCs w:val="20"/>
        </w:rPr>
        <w:t xml:space="preserve"> https://doi.org/10.1109/18.61115</w:t>
      </w:r>
    </w:p>
    <w:p>
      <w:pPr>
        <w:spacing w:after="60" w:before="100"/>
        <w:ind w:left="560" w:hanging="560"/>
      </w:pPr>
      <w:r>
        <w:rPr>
          <w:rFonts w:ascii="Arial" w:cs="Arial" w:eastAsia="Arial" w:hAnsi="Arial"/>
          <w:b/>
          <w:bCs/>
          <w:color w:val="2E75B6"/>
          <w:sz w:val="20"/>
          <w:szCs w:val="20"/>
        </w:rPr>
        <w:t xml:space="preserve">[5]  </w:t>
      </w:r>
      <w:r>
        <w:rPr>
          <w:rFonts w:ascii="Arial" w:cs="Arial" w:eastAsia="Arial" w:hAnsi="Arial"/>
          <w:color w:val="1A1A1A"/>
          <w:sz w:val="20"/>
          <w:szCs w:val="20"/>
        </w:rPr>
        <w:t xml:space="preserve">Cross, A., Bishop, L., Sheldon, S., Nation, P., &amp; Gambetta, J. (Eds.). (2022). </w:t>
      </w:r>
      <w:r>
        <w:rPr>
          <w:rFonts w:ascii="Arial" w:cs="Arial" w:eastAsia="Arial" w:hAnsi="Arial"/>
          <w:i/>
          <w:iCs/>
          <w:color w:val="1A1A1A"/>
          <w:sz w:val="20"/>
          <w:szCs w:val="20"/>
        </w:rPr>
        <w:t xml:space="preserve">OpenQASM 3: A Broader and Deeper Quantum Assembly Language. </w:t>
      </w:r>
      <w:r>
        <w:rPr>
          <w:rFonts w:ascii="Arial" w:cs="Arial" w:eastAsia="Arial" w:hAnsi="Arial"/>
          <w:color w:val="1A1A1A"/>
          <w:sz w:val="20"/>
          <w:szCs w:val="20"/>
        </w:rPr>
        <w:t xml:space="preserve">ACM Transactions on Quantum Computing, 3(3), 12.</w:t>
      </w:r>
      <w:r>
        <w:rPr>
          <w:rFonts w:ascii="Arial" w:cs="Arial" w:eastAsia="Arial" w:hAnsi="Arial"/>
          <w:color w:val="1155CC"/>
          <w:sz w:val="20"/>
          <w:szCs w:val="20"/>
        </w:rPr>
        <w:t xml:space="preserve"> https://doi.org/10.1145/3505636</w:t>
      </w:r>
    </w:p>
    <w:p>
      <w:pPr>
        <w:spacing w:after="60" w:before="100"/>
        <w:ind w:left="560" w:hanging="560"/>
      </w:pPr>
      <w:r>
        <w:rPr>
          <w:rFonts w:ascii="Arial" w:cs="Arial" w:eastAsia="Arial" w:hAnsi="Arial"/>
          <w:b/>
          <w:bCs/>
          <w:color w:val="2E75B6"/>
          <w:sz w:val="20"/>
          <w:szCs w:val="20"/>
        </w:rPr>
        <w:t xml:space="preserve">[6]  </w:t>
      </w:r>
      <w:r>
        <w:rPr>
          <w:rFonts w:ascii="Arial" w:cs="Arial" w:eastAsia="Arial" w:hAnsi="Arial"/>
          <w:color w:val="1A1A1A"/>
          <w:sz w:val="20"/>
          <w:szCs w:val="20"/>
        </w:rPr>
        <w:t xml:space="preserve">Qiskit contributors. (2023). </w:t>
      </w:r>
      <w:r>
        <w:rPr>
          <w:rFonts w:ascii="Arial" w:cs="Arial" w:eastAsia="Arial" w:hAnsi="Arial"/>
          <w:i/>
          <w:iCs/>
          <w:color w:val="1A1A1A"/>
          <w:sz w:val="20"/>
          <w:szCs w:val="20"/>
        </w:rPr>
        <w:t xml:space="preserve">Qiskit: An Open-source Framework for Quantum Computing. </w:t>
      </w:r>
      <w:r>
        <w:rPr>
          <w:rFonts w:ascii="Arial" w:cs="Arial" w:eastAsia="Arial" w:hAnsi="Arial"/>
          <w:color w:val="1A1A1A"/>
          <w:sz w:val="20"/>
          <w:szCs w:val="20"/>
        </w:rPr>
        <w:t xml:space="preserve">Zenodo.</w:t>
      </w:r>
      <w:r>
        <w:rPr>
          <w:rFonts w:ascii="Arial" w:cs="Arial" w:eastAsia="Arial" w:hAnsi="Arial"/>
          <w:color w:val="1155CC"/>
          <w:sz w:val="20"/>
          <w:szCs w:val="20"/>
        </w:rPr>
        <w:t xml:space="preserve"> https://doi.org/10.5281/zenodo.2573505</w:t>
      </w:r>
    </w:p>
    <w:p>
      <w:pPr>
        <w:spacing w:after="60" w:before="100"/>
        <w:ind w:left="560" w:hanging="560"/>
      </w:pPr>
      <w:r>
        <w:rPr>
          <w:rFonts w:ascii="Arial" w:cs="Arial" w:eastAsia="Arial" w:hAnsi="Arial"/>
          <w:b/>
          <w:bCs/>
          <w:color w:val="2E75B6"/>
          <w:sz w:val="20"/>
          <w:szCs w:val="20"/>
        </w:rPr>
        <w:t xml:space="preserve">[7]  </w:t>
      </w:r>
      <w:r>
        <w:rPr>
          <w:rFonts w:ascii="Arial" w:cs="Arial" w:eastAsia="Arial" w:hAnsi="Arial"/>
          <w:color w:val="1A1A1A"/>
          <w:sz w:val="20"/>
          <w:szCs w:val="20"/>
        </w:rPr>
        <w:t xml:space="preserve">Cirq Developers. (2024). </w:t>
      </w:r>
      <w:r>
        <w:rPr>
          <w:rFonts w:ascii="Arial" w:cs="Arial" w:eastAsia="Arial" w:hAnsi="Arial"/>
          <w:i/>
          <w:iCs/>
          <w:color w:val="1A1A1A"/>
          <w:sz w:val="20"/>
          <w:szCs w:val="20"/>
        </w:rPr>
        <w:t xml:space="preserve">Cirq. </w:t>
      </w:r>
      <w:r>
        <w:rPr>
          <w:rFonts w:ascii="Arial" w:cs="Arial" w:eastAsia="Arial" w:hAnsi="Arial"/>
          <w:color w:val="1A1A1A"/>
          <w:sz w:val="20"/>
          <w:szCs w:val="20"/>
        </w:rPr>
        <w:t xml:space="preserve">Zenodo.</w:t>
      </w:r>
      <w:r>
        <w:rPr>
          <w:rFonts w:ascii="Arial" w:cs="Arial" w:eastAsia="Arial" w:hAnsi="Arial"/>
          <w:color w:val="1155CC"/>
          <w:sz w:val="20"/>
          <w:szCs w:val="20"/>
        </w:rPr>
        <w:t xml:space="preserve"> https://doi.org/10.5281/zenodo.8161858</w:t>
      </w:r>
    </w:p>
    <w:p>
      <w:pPr>
        <w:spacing w:after="60" w:before="100"/>
        <w:ind w:left="560" w:hanging="560"/>
      </w:pPr>
      <w:r>
        <w:rPr>
          <w:rFonts w:ascii="Arial" w:cs="Arial" w:eastAsia="Arial" w:hAnsi="Arial"/>
          <w:b/>
          <w:bCs/>
          <w:color w:val="2E75B6"/>
          <w:sz w:val="20"/>
          <w:szCs w:val="20"/>
        </w:rPr>
        <w:t xml:space="preserve">[8]  </w:t>
      </w:r>
      <w:r>
        <w:rPr>
          <w:rFonts w:ascii="Arial" w:cs="Arial" w:eastAsia="Arial" w:hAnsi="Arial"/>
          <w:color w:val="1A1A1A"/>
          <w:sz w:val="20"/>
          <w:szCs w:val="20"/>
        </w:rPr>
        <w:t xml:space="preserve">Bergholm, V., Izaac, J., Schuld, M., Gogolin, C., Ahmed, S., Ajith, V., Alam, M. S., Alonso-Linaje, G., AkashNarayanan, B., Asadi, A., et al. (2022). </w:t>
      </w:r>
      <w:r>
        <w:rPr>
          <w:rFonts w:ascii="Arial" w:cs="Arial" w:eastAsia="Arial" w:hAnsi="Arial"/>
          <w:i/>
          <w:iCs/>
          <w:color w:val="1A1A1A"/>
          <w:sz w:val="20"/>
          <w:szCs w:val="20"/>
        </w:rPr>
        <w:t xml:space="preserve">PennyLane: Automatic Differentiation of Hybrid Quantum-Classical Computations. </w:t>
      </w:r>
      <w:r>
        <w:rPr>
          <w:rFonts w:ascii="Arial" w:cs="Arial" w:eastAsia="Arial" w:hAnsi="Arial"/>
          <w:color w:val="1A1A1A"/>
          <w:sz w:val="20"/>
          <w:szCs w:val="20"/>
        </w:rPr>
        <w:t xml:space="preserve">arXiv:1811.04968.</w:t>
      </w:r>
      <w:r>
        <w:rPr>
          <w:rFonts w:ascii="Arial" w:cs="Arial" w:eastAsia="Arial" w:hAnsi="Arial"/>
          <w:color w:val="1155CC"/>
          <w:sz w:val="20"/>
          <w:szCs w:val="20"/>
        </w:rPr>
        <w:t xml:space="preserve"> https://arxiv.org/abs/1811.04968</w:t>
      </w:r>
    </w:p>
    <w:p>
      <w:pPr>
        <w:spacing w:after="60" w:before="100"/>
        <w:ind w:left="560" w:hanging="560"/>
      </w:pPr>
      <w:r>
        <w:rPr>
          <w:rFonts w:ascii="Arial" w:cs="Arial" w:eastAsia="Arial" w:hAnsi="Arial"/>
          <w:b/>
          <w:bCs/>
          <w:color w:val="2E75B6"/>
          <w:sz w:val="20"/>
          <w:szCs w:val="20"/>
        </w:rPr>
        <w:t xml:space="preserve">[9]  </w:t>
      </w:r>
      <w:r>
        <w:rPr>
          <w:rFonts w:ascii="Arial" w:cs="Arial" w:eastAsia="Arial" w:hAnsi="Arial"/>
          <w:color w:val="1A1A1A"/>
          <w:sz w:val="20"/>
          <w:szCs w:val="20"/>
        </w:rPr>
        <w:t xml:space="preserve">Villalonga, B., Boixo, S., Nelson, B., Henze, C., Rieffel, E., Biswas, R., &amp; Mandrà, S. (2019). </w:t>
      </w:r>
      <w:r>
        <w:rPr>
          <w:rFonts w:ascii="Arial" w:cs="Arial" w:eastAsia="Arial" w:hAnsi="Arial"/>
          <w:i/>
          <w:iCs/>
          <w:color w:val="1A1A1A"/>
          <w:sz w:val="20"/>
          <w:szCs w:val="20"/>
        </w:rPr>
        <w:t xml:space="preserve">A flexible high-performance simulator for verifying and benchmarking quantum circuits implemented on real hardware. </w:t>
      </w:r>
      <w:r>
        <w:rPr>
          <w:rFonts w:ascii="Arial" w:cs="Arial" w:eastAsia="Arial" w:hAnsi="Arial"/>
          <w:color w:val="1A1A1A"/>
          <w:sz w:val="20"/>
          <w:szCs w:val="20"/>
        </w:rPr>
        <w:t xml:space="preserve">npj Quantum Information, 5(1), 86.</w:t>
      </w:r>
      <w:r>
        <w:rPr>
          <w:rFonts w:ascii="Arial" w:cs="Arial" w:eastAsia="Arial" w:hAnsi="Arial"/>
          <w:color w:val="1155CC"/>
          <w:sz w:val="20"/>
          <w:szCs w:val="20"/>
        </w:rPr>
        <w:t xml:space="preserve"> https://doi.org/10.1038/s41534-019-0196-1</w:t>
      </w:r>
    </w:p>
    <w:p>
      <w:pPr>
        <w:spacing w:after="60" w:before="100"/>
        <w:ind w:left="560" w:hanging="560"/>
      </w:pPr>
      <w:r>
        <w:rPr>
          <w:rFonts w:ascii="Arial" w:cs="Arial" w:eastAsia="Arial" w:hAnsi="Arial"/>
          <w:b/>
          <w:bCs/>
          <w:color w:val="2E75B6"/>
          <w:sz w:val="20"/>
          <w:szCs w:val="20"/>
        </w:rPr>
        <w:t xml:space="preserve">[10]  </w:t>
      </w:r>
      <w:r>
        <w:rPr>
          <w:rFonts w:ascii="Arial" w:cs="Arial" w:eastAsia="Arial" w:hAnsi="Arial"/>
          <w:color w:val="1A1A1A"/>
          <w:sz w:val="20"/>
          <w:szCs w:val="20"/>
        </w:rPr>
        <w:t xml:space="preserve">Gheorghiu, V. (2018). </w:t>
      </w:r>
      <w:r>
        <w:rPr>
          <w:rFonts w:ascii="Arial" w:cs="Arial" w:eastAsia="Arial" w:hAnsi="Arial"/>
          <w:i/>
          <w:iCs/>
          <w:color w:val="1A1A1A"/>
          <w:sz w:val="20"/>
          <w:szCs w:val="20"/>
        </w:rPr>
        <w:t xml:space="preserve">Quantum++: A modern C++ quantum computing library. </w:t>
      </w:r>
      <w:r>
        <w:rPr>
          <w:rFonts w:ascii="Arial" w:cs="Arial" w:eastAsia="Arial" w:hAnsi="Arial"/>
          <w:color w:val="1A1A1A"/>
          <w:sz w:val="20"/>
          <w:szCs w:val="20"/>
        </w:rPr>
        <w:t xml:space="preserve">PLOS ONE, 13(12), e0208073.</w:t>
      </w:r>
      <w:r>
        <w:rPr>
          <w:rFonts w:ascii="Arial" w:cs="Arial" w:eastAsia="Arial" w:hAnsi="Arial"/>
          <w:color w:val="1155CC"/>
          <w:sz w:val="20"/>
          <w:szCs w:val="20"/>
        </w:rPr>
        <w:t xml:space="preserve"> https://doi.org/10.1371/journal.pone.0208073</w:t>
      </w:r>
    </w:p>
    <w:p>
      <w:pPr>
        <w:spacing w:after="0" w:before="200"/>
      </w:pPr>
      <w:r>
        <w:t xml:space="preserve"/>
      </w:r>
    </w:p>
    <w:p>
      <w:pPr>
        <w:spacing w:after="0" w:before="200"/>
        <w:jc w:val="center"/>
      </w:pPr>
      <w:r>
        <w:rPr>
          <w:rFonts w:ascii="Arial" w:cs="Arial" w:eastAsia="Arial" w:hAnsi="Arial"/>
          <w:i/>
          <w:iCs/>
          <w:color w:val="AAAAAA"/>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after="0" w:before="80"/>
    </w:pPr>
    <w:r>
      <w:rPr>
        <w:rFonts w:ascii="Arial" w:cs="Arial" w:eastAsia="Arial" w:hAnsi="Arial"/>
        <w:color w:val="888888"/>
        <w:sz w:val="17"/>
        <w:szCs w:val="17"/>
      </w:rPr>
      <w:t xml:space="preserve">Confidential — For Supervisor Review</w:t>
    </w:r>
    <w:r>
      <w:rPr>
        <w:rFonts w:ascii="Arial" w:cs="Arial" w:eastAsia="Arial" w:hAnsi="Arial"/>
        <w:color w:val="888888"/>
        <w:sz w:val="17"/>
        <w:szCs w:val="17"/>
      </w:rPr>
      <w:t xml:space="preserve">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before="0"/>
    </w:pPr>
    <w:r>
      <w:rPr>
        <w:rFonts w:ascii="Arial" w:cs="Arial" w:eastAsia="Arial" w:hAnsi="Arial"/>
        <w:color w:val="555555"/>
        <w:sz w:val="18"/>
        <w:szCs w:val="18"/>
      </w:rPr>
      <w:t xml:space="preserve">QCanvas — Cross-Framework Quantum Benchmarking</w:t>
    </w:r>
    <w:r>
      <w:rPr>
        <w:rFonts w:ascii="Arial" w:cs="Arial" w:eastAsia="Arial" w:hAnsi="Arial"/>
        <w:color w:val="999999"/>
        <w:sz w:val="18"/>
        <w:szCs w:val="18"/>
      </w:rPr>
      <w:t xml:space="preserve">    |    Framework Comparison Metrics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2026-05-04T02:25:41.530Z</dcterms:created>
  <dcterms:modified xsi:type="dcterms:W3CDTF">2026-05-04T02:25:41.530Z</dcterms:modified>
</cp:coreProperties>
</file>

<file path=docProps/custom.xml><?xml version="1.0" encoding="utf-8"?>
<Properties xmlns="http://schemas.openxmlformats.org/officeDocument/2006/custom-properties" xmlns:vt="http://schemas.openxmlformats.org/officeDocument/2006/docPropsVTypes"/>
</file>