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65"/>
        <w:gridCol w:w="1584"/>
        <w:gridCol w:w="1728"/>
      </w:tblGrid>
      <w:tr>
        <w:trPr>
          <w:trHeight w:val="698" w:hRule="auto"/>
          <w:tblHeader/>
        </w:trPr>
        <w:tc>
          <w:tcPr>
            <w:tcBorders>
              <w:bottom w:val="single" w:sz="4" w:space="0" w:color="A6A6A6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4" w:space="0" w:color="A6A6A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Patients, n (%)</w:t>
            </w:r>
          </w:p>
        </w:tc>
        <w:tc>
          <w:tcPr>
            <w:tcBorders>
              <w:bottom w:val="single" w:sz="4" w:space="0" w:color="A6A6A6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Endoscopy-to-DTT, days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</w:tr>
      <w:tr>
        <w:trPr>
          <w:trHeight w:val="439" w:hRule="auto"/>
        </w:trPr>
        <w:tc>
          <w:tcPr>
            <w:tcBorders>
              <w:bottom w:val="single" w:sz="4" w:space="0" w:color="D9D9D9"/>
              <w:top w:val="single" w:sz="4" w:space="0" w:color="A6A6A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Patients, total</w:t>
            </w:r>
          </w:p>
        </w:tc>
        <w:tc>
          <w:tcPr>
            <w:tcBorders>
              <w:bottom w:val="single" w:sz="4" w:space="0" w:color="D9D9D9"/>
              <w:top w:val="single" w:sz="4" w:space="0" w:color="A6A6A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4" w:space="0" w:color="D9D9D9"/>
              <w:top w:val="single" w:sz="4" w:space="0" w:color="A6A6A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 (33.3)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&lt;50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(2.3)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77.2 (37.7)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(8.0)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73.5 (37.0)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(36.0)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75.9 (34.8)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(34.9)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70.4 (29.5)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80+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(18.9)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69.3 (36.5)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 (76.6)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72.2 (32.6)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(23.4)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73.9 (36.1)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Tumour site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(100.0)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 (33.3)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Stage at diagnosis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(36.0)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69.8 (33.2)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(33.1)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67.3 (31.7)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(30.9)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81.5 (33.9)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Route to diagnosis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TWW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(58.9)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67.9 (32.0)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 referral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(22.9)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78.4 (36.2)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outpatient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(11.4)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70.9 (27.8)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 elective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(6.9)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96.1 (34.3)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Treatment pathway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Surgery only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(60.0)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82.7 (35.9)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Definitive chemoRT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(17.7)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51.9 (18.5)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Curative RT only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(9.7)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70.1 (23.6)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EMR/ESD only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(12.6)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55.3 (20.6)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(79.4)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73.1 (32.8)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(9.1)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 (31.9)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(3.4)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 (46.3)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(5.7)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81.8 (33.9)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(2.3)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70.2 (26.2)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Deprivation quintile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(18.9)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61.2 (29.6)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(18.9)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70.8 (29.8)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(22.3)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76.9 (35.7)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(21.1)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 (33.8)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(18.9)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 (34.6)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RCS Charlson comorbidity score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(60.0)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71.8 (34.7)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(26.3)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75.7 (30.1)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2+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(13.7)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70.3 (33.7)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Calendar year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(47.4)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75.5 (34.7)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(52.6)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70.0 (32.0)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6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Season of diagnosis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Jan-Mar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(29.7)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69.4 (34.1)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Apr-Jun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(25.1)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69.1 (32.1)</w:t>
            </w:r>
          </w:p>
        </w:tc>
      </w:tr>
      <w:tr>
        <w:trPr>
          <w:trHeight w:val="44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Jul-Sep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(24.6)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73.5 (35.0)</w:t>
            </w:r>
          </w:p>
        </w:tc>
      </w:tr>
      <w:tr>
        <w:trPr>
          <w:trHeight w:val="449" w:hRule="auto"/>
        </w:trPr>
        <w:tc>
          <w:tcPr>
            <w:tcBorders>
              <w:bottom w:val="single" w:sz="8" w:space="0" w:color="000000"/>
              <w:top w:val="single" w:sz="4" w:space="0" w:color="D9D9D9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36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Oct-Dec</w:t>
            </w:r>
          </w:p>
        </w:tc>
        <w:tc>
          <w:tcPr>
            <w:tcBorders>
              <w:bottom w:val="single" w:sz="8" w:space="0" w:color="00000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(20.6)</w:t>
            </w:r>
          </w:p>
        </w:tc>
        <w:tc>
          <w:tcPr>
            <w:tcBorders>
              <w:bottom w:val="single" w:sz="8" w:space="0" w:color="000000"/>
              <w:top w:val="single" w:sz="4" w:space="0" w:color="D9D9D9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80.5 (31.5)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31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Patients as n (%); age at diagnosis as mean (SD). Waiting time is mean (SD) days from diagnostic endoscopy to decision-to-treat.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2026-07-22T19:19:42Z</dcterms:modified>
  <cp:category/>
</cp:coreProperties>
</file>