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NASSAU CANDY DISTRIBUTOR</w:t>
      </w:r>
    </w:p>
    <w:p>
      <w:pPr>
        <w:jc w:val="center"/>
      </w:pPr>
      <w:r>
        <w:rPr>
          <w:b/>
          <w:sz w:val="44"/>
        </w:rPr>
        <w:t>Executive Summary</w:t>
      </w:r>
    </w:p>
    <w:p>
      <w:pPr>
        <w:jc w:val="center"/>
      </w:pPr>
      <w:r>
        <w:rPr>
          <w:i/>
        </w:rPr>
        <w:t>Product Line Profitability &amp; Margin Performance Analysis</w:t>
      </w:r>
    </w:p>
    <w:p>
      <w:r>
        <w:t>Prepared as an analytics project using the supplied distributor dataset.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This project gives decision-makers a practical way to distinguish revenue volume from profit quality. It ranks products by gross profit and margin, compares divisions, identifies concentration, and highlights products for margin review.</w:t>
      </w:r>
    </w:p>
    <w:p>
      <w:pPr>
        <w:pStyle w:val="Heading1"/>
      </w:pPr>
      <w:r>
        <w:t>Baseline from the supplied dataset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Measure</w:t>
            </w:r>
          </w:p>
        </w:tc>
        <w:tc>
          <w:tcPr>
            <w:tcW w:type="dxa" w:w="4968"/>
          </w:tcPr>
          <w:p>
            <w:r>
              <w:t>Source-level value</w:t>
            </w:r>
          </w:p>
        </w:tc>
      </w:tr>
      <w:tr>
        <w:tc>
          <w:tcPr>
            <w:tcW w:type="dxa" w:w="4968"/>
          </w:tcPr>
          <w:p>
            <w:r>
              <w:t>Rows / fields</w:t>
            </w:r>
          </w:p>
        </w:tc>
        <w:tc>
          <w:tcPr>
            <w:tcW w:type="dxa" w:w="4968"/>
          </w:tcPr>
          <w:p>
            <w:r>
              <w:t>10,194 / 18</w:t>
            </w:r>
          </w:p>
        </w:tc>
      </w:tr>
      <w:tr>
        <w:tc>
          <w:tcPr>
            <w:tcW w:type="dxa" w:w="4968"/>
          </w:tcPr>
          <w:p>
            <w:r>
              <w:t>Revenue</w:t>
            </w:r>
          </w:p>
        </w:tc>
        <w:tc>
          <w:tcPr>
            <w:tcW w:type="dxa" w:w="4968"/>
          </w:tcPr>
          <w:p>
            <w:r>
              <w:t>$141,783.63</w:t>
            </w:r>
          </w:p>
        </w:tc>
      </w:tr>
      <w:tr>
        <w:tc>
          <w:tcPr>
            <w:tcW w:type="dxa" w:w="4968"/>
          </w:tcPr>
          <w:p>
            <w:r>
              <w:t>Reported cost</w:t>
            </w:r>
          </w:p>
        </w:tc>
        <w:tc>
          <w:tcPr>
            <w:tcW w:type="dxa" w:w="4968"/>
          </w:tcPr>
          <w:p>
            <w:r>
              <w:t>$48,340.83</w:t>
            </w:r>
          </w:p>
        </w:tc>
      </w:tr>
      <w:tr>
        <w:tc>
          <w:tcPr>
            <w:tcW w:type="dxa" w:w="4968"/>
          </w:tcPr>
          <w:p>
            <w:r>
              <w:t>Gross profit</w:t>
            </w:r>
          </w:p>
        </w:tc>
        <w:tc>
          <w:tcPr>
            <w:tcW w:type="dxa" w:w="4968"/>
          </w:tcPr>
          <w:p>
            <w:r>
              <w:t>$93,442.80</w:t>
            </w:r>
          </w:p>
        </w:tc>
      </w:tr>
      <w:tr>
        <w:tc>
          <w:tcPr>
            <w:tcW w:type="dxa" w:w="4968"/>
          </w:tcPr>
          <w:p>
            <w:r>
              <w:t>Weighted gross margin</w:t>
            </w:r>
          </w:p>
        </w:tc>
        <w:tc>
          <w:tcPr>
            <w:tcW w:type="dxa" w:w="4968"/>
          </w:tcPr>
          <w:p>
            <w:r>
              <w:t>65.91%</w:t>
            </w:r>
          </w:p>
        </w:tc>
      </w:tr>
      <w:tr>
        <w:tc>
          <w:tcPr>
            <w:tcW w:type="dxa" w:w="4968"/>
          </w:tcPr>
          <w:p>
            <w:r>
              <w:t>Order date range</w:t>
            </w:r>
          </w:p>
        </w:tc>
        <w:tc>
          <w:tcPr>
            <w:tcW w:type="dxa" w:w="4968"/>
          </w:tcPr>
          <w:p>
            <w:r>
              <w:t>2024-01-02 to 2025-12-31</w:t>
            </w:r>
          </w:p>
        </w:tc>
      </w:tr>
      <w:tr>
        <w:tc>
          <w:tcPr>
            <w:tcW w:type="dxa" w:w="4968"/>
          </w:tcPr>
          <w:p>
            <w:r>
              <w:t>Ship date range</w:t>
            </w:r>
          </w:p>
        </w:tc>
        <w:tc>
          <w:tcPr>
            <w:tcW w:type="dxa" w:w="4968"/>
          </w:tcPr>
          <w:p>
            <w:r>
              <w:t>2026-06-30 to 2030-06-28</w:t>
            </w:r>
          </w:p>
        </w:tc>
      </w:tr>
      <w:tr>
        <w:tc>
          <w:tcPr>
            <w:tcW w:type="dxa" w:w="4968"/>
          </w:tcPr>
          <w:p>
            <w:r>
              <w:t>Duplicate rows / missing cells</w:t>
            </w:r>
          </w:p>
        </w:tc>
        <w:tc>
          <w:tcPr>
            <w:tcW w:type="dxa" w:w="4968"/>
          </w:tcPr>
          <w:p>
            <w:r>
              <w:t>0 / 0</w:t>
            </w:r>
          </w:p>
        </w:tc>
      </w:tr>
    </w:tbl>
    <w:p>
      <w:pPr>
        <w:pStyle w:val="Heading1"/>
      </w:pPr>
      <w:r>
        <w:t>What the dashboard answers</w:t>
      </w:r>
    </w:p>
    <w:p>
      <w:pPr>
        <w:pStyle w:val="ListBullet"/>
      </w:pPr>
      <w:r>
        <w:t>Which products contribute the most gross profit and which have the highest weighted margin?</w:t>
      </w:r>
    </w:p>
    <w:p>
      <w:pPr>
        <w:pStyle w:val="ListBullet"/>
      </w:pPr>
      <w:r>
        <w:t>Which divisions generate revenue and profit in proportionate amounts?</w:t>
      </w:r>
    </w:p>
    <w:p>
      <w:pPr>
        <w:pStyle w:val="ListBullet"/>
      </w:pPr>
      <w:r>
        <w:t>How many products account for 80% of revenue or gross profit?</w:t>
      </w:r>
    </w:p>
    <w:p>
      <w:pPr>
        <w:pStyle w:val="ListBullet"/>
      </w:pPr>
      <w:r>
        <w:t>Which products fall below a configurable gross-margin threshold?</w:t>
      </w:r>
    </w:p>
    <w:p>
      <w:pPr>
        <w:pStyle w:val="ListBullet"/>
      </w:pPr>
      <w:r>
        <w:t>Which states/regions contribute the most revenue and gross profit?</w:t>
      </w:r>
    </w:p>
    <w:p>
      <w:pPr>
        <w:pStyle w:val="ListBullet"/>
      </w:pPr>
      <w:r>
        <w:t>Which mapped products roll up to the provided factory reference list?</w:t>
      </w:r>
    </w:p>
    <w:p>
      <w:pPr>
        <w:pStyle w:val="Heading1"/>
      </w:pPr>
      <w:r>
        <w:t>Recommended management actions</w:t>
      </w:r>
    </w:p>
    <w:p>
      <w:pPr>
        <w:pStyle w:val="ListBullet"/>
      </w:pPr>
      <w:r>
        <w:t>Review high-revenue products with low margins for pricing, discounting, and sourcing opportunities.</w:t>
      </w:r>
    </w:p>
    <w:p>
      <w:pPr>
        <w:pStyle w:val="ListBullet"/>
      </w:pPr>
      <w:r>
        <w:t>Investigate cost-heavy products before considering discontinuation; verify cost definitions and strategic importance.</w:t>
      </w:r>
    </w:p>
    <w:p>
      <w:pPr>
        <w:pStyle w:val="ListBullet"/>
      </w:pPr>
      <w:r>
        <w:t>Monitor revenue and profit concentration to reduce overdependence on a small set of products.</w:t>
      </w:r>
    </w:p>
    <w:p>
      <w:pPr>
        <w:pStyle w:val="ListBullet"/>
      </w:pPr>
      <w:r>
        <w:t>Set a monthly review cadence with consistent weighted-margin definitions and explicit thresholds.</w:t>
      </w:r>
    </w:p>
    <w:p>
      <w:pPr>
        <w:pStyle w:val="ListBullet"/>
      </w:pPr>
      <w:r>
        <w:t>Validate shipment dates: the file contains order dates in 2024–2025 but ship dates in 2026–2030.</w:t>
      </w:r>
    </w:p>
    <w:p>
      <w:pPr>
        <w:pStyle w:val="ListBullet"/>
      </w:pPr>
      <w:r>
        <w:t>Do not interpret mapped factory summaries as factory cost performance without factory-specific cost allocation.</w:t>
      </w:r>
    </w:p>
    <w:p>
      <w:pPr>
        <w:pStyle w:val="Heading1"/>
      </w:pPr>
      <w:r>
        <w:t>Decision caveat</w:t>
      </w:r>
    </w:p>
    <w:p>
      <w:r>
        <w:t>The dashboard is a decision-support tool, not an automatic decision-maker. The available dataset does not include all possible overhead, freight, marketing, discount, return, or factory-level costs. Final actions should be confirmed with finance, procurement, sales, and operations.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