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NASSAU CANDY DISTRIBUTOR</w:t>
      </w:r>
    </w:p>
    <w:p>
      <w:pPr>
        <w:jc w:val="center"/>
      </w:pPr>
      <w:r>
        <w:rPr>
          <w:b/>
          <w:sz w:val="44"/>
        </w:rPr>
        <w:t>Research Paper</w:t>
      </w:r>
    </w:p>
    <w:p>
      <w:pPr>
        <w:jc w:val="center"/>
      </w:pPr>
      <w:r>
        <w:rPr>
          <w:i/>
        </w:rPr>
        <w:t>Product Line Profitability &amp; Margin Performance Analysis</w:t>
      </w:r>
    </w:p>
    <w:p>
      <w:r>
        <w:t>Prepared as an analytics project using the supplied distributor dataset.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This project develops a reproducible analytical workflow for evaluating product-line profitability at Nassau Candy Distributor. It moves beyond sales volume by calculating gross profit, weighted gross margin, profit per unit, revenue and profit contribution, product rankings, division-level performance, margin-risk flags, Pareto concentration, and geography/factory reference summaries. A Streamlit application exposes the analysis through interactive filters and downloadable tables. Findings are limited to the fields available in the supplied dataset; costs are treated as the reported cost field and are not assumed to include unobserved overhead, freight, promotional spend, or factory-specific cost allocation.</w:t>
      </w:r>
    </w:p>
    <w:p>
      <w:pPr>
        <w:pStyle w:val="Heading1"/>
      </w:pPr>
      <w:r>
        <w:t>1. Background and problem statement</w:t>
      </w:r>
    </w:p>
    <w:p>
      <w:r>
        <w:t>High sales do not necessarily mean high financial quality. A product may generate revenue while retaining a thin gross margin, and a division with large sales can dominate revenue without contributing a proportionate share of gross profit. Management therefore needs a consistent view of product-level and division-level profitability to prioritize pricing review, sourcing negotiations, and portfolio decisions.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Measure revenue, cost, gross profit, weighted gross margin, and profit per unit.</w:t>
      </w:r>
    </w:p>
    <w:p>
      <w:pPr>
        <w:pStyle w:val="ListBullet"/>
      </w:pPr>
      <w:r>
        <w:t>Rank products by sales, gross profit, margin, and contribution.</w:t>
      </w:r>
    </w:p>
    <w:p>
      <w:pPr>
        <w:pStyle w:val="ListBullet"/>
      </w:pPr>
      <w:r>
        <w:t>Compare division-level revenue and gross-profit performance.</w:t>
      </w:r>
    </w:p>
    <w:p>
      <w:pPr>
        <w:pStyle w:val="ListBullet"/>
      </w:pPr>
      <w:r>
        <w:t>Use Pareto analysis to quantify product concentration in revenue and gross profit.</w:t>
      </w:r>
    </w:p>
    <w:p>
      <w:pPr>
        <w:pStyle w:val="ListBullet"/>
      </w:pPr>
      <w:r>
        <w:t>Flag low-margin products for investigation rather than automatic discontinuation.</w:t>
      </w:r>
    </w:p>
    <w:p>
      <w:pPr>
        <w:pStyle w:val="ListBullet"/>
      </w:pPr>
      <w:r>
        <w:t>Expose state/region patterns and the supplied product-to-factory mapping.</w:t>
      </w:r>
    </w:p>
    <w:p>
      <w:pPr>
        <w:pStyle w:val="ListBullet"/>
      </w:pPr>
      <w:r>
        <w:t>Deliver a usable dashboard, transparent data-quality rules, and reproducible tests.</w:t>
      </w:r>
    </w:p>
    <w:p>
      <w:pPr>
        <w:pStyle w:val="Heading1"/>
      </w:pPr>
      <w:r>
        <w:t>3. Dataset and scope</w:t>
      </w:r>
    </w:p>
    <w:p>
      <w:r>
        <w:t>The supplied CSV contains 10,194 rows and 18 fields, including order and ship dates, customer geography, division, product identifiers, sales, units, gross profit, and cost. The order-date range parses to 2024-01-02 through 2025-12-31; ship dates parse to 2026-06-30 through 2030-06-28. The dataset's ship dates are substantially later than its order dates and should be confirmed with the data owner. The project deliberately does not rewrite these values.</w:t>
      </w:r>
    </w:p>
    <w:p>
      <w:r>
        <w:t>Initial source totals: revenue $141,783.63; reported cost $48,340.83; gross profit $93,442.80; weighted gross margin 65.91%. Exact duplicate rows: 0; missing cells: 0. Profit reconciliation differences above $0.02: 0.</w:t>
      </w:r>
    </w:p>
    <w:p>
      <w:pPr>
        <w:pStyle w:val="Heading1"/>
      </w:pPr>
      <w:r>
        <w:t>4. Methodology</w:t>
      </w:r>
    </w:p>
    <w:p>
      <w:pPr>
        <w:pStyle w:val="Heading2"/>
      </w:pPr>
      <w:r>
        <w:t>4.1 Data cleaning and validation</w:t>
      </w:r>
    </w:p>
    <w:p>
      <w:r>
        <w:t>Text labels are trimmed, numeric fields are coerced to numeric types, and date fields are parsed using day-first parsing to match the supplied date format. Rows are flagged for non-positive sales, non-positive/missing units, negative/missing cost, missing profit, invalid dates, shipment before order, or profit not reconciling to sales minus cost within $0.02. The original rows remain available in the audit tab. Core summaries include only rows with positive sales and units, nonnegative cost, nonmissing gross profit, and valid order dates.</w:t>
      </w:r>
    </w:p>
    <w:p>
      <w:pPr>
        <w:pStyle w:val="Heading2"/>
      </w:pPr>
      <w:r>
        <w:t>4.2 Metrics</w:t>
      </w:r>
    </w:p>
    <w:p>
      <w:pPr>
        <w:pStyle w:val="ListBullet"/>
      </w:pPr>
      <w:r>
        <w:t>Gross margin (%) = sum(Gross Profit) / sum(Sales) × 100. This weighted measure is preferred to an unweighted average of row-level percentages.</w:t>
      </w:r>
    </w:p>
    <w:p>
      <w:pPr>
        <w:pStyle w:val="ListBullet"/>
      </w:pPr>
      <w:r>
        <w:t>Profit per unit = sum(Gross Profit) / sum(Units).</w:t>
      </w:r>
    </w:p>
    <w:p>
      <w:pPr>
        <w:pStyle w:val="ListBullet"/>
      </w:pPr>
      <w:r>
        <w:t>Revenue contribution (%) = product revenue / total revenue × 100.</w:t>
      </w:r>
    </w:p>
    <w:p>
      <w:pPr>
        <w:pStyle w:val="ListBullet"/>
      </w:pPr>
      <w:r>
        <w:t>Profit contribution (%) = product gross profit / total gross profit × 100.</w:t>
      </w:r>
    </w:p>
    <w:p>
      <w:pPr>
        <w:pStyle w:val="ListBullet"/>
      </w:pPr>
      <w:r>
        <w:t>Margin volatility = standard deviation of transaction-level margin percentages, reported in percentage points; interpret cautiously for products with few observations.</w:t>
      </w:r>
    </w:p>
    <w:p>
      <w:pPr>
        <w:pStyle w:val="ListBullet"/>
      </w:pPr>
      <w:r>
        <w:t>Pareto contribution = cumulative product value after sorting products from largest to smallest revenue or gross profit.</w:t>
      </w:r>
    </w:p>
    <w:p>
      <w:pPr>
        <w:pStyle w:val="Heading2"/>
      </w:pPr>
      <w:r>
        <w:t>4.3 Division and product analysis</w:t>
      </w:r>
    </w:p>
    <w:p>
      <w:r>
        <w:t>Product summaries aggregate sales, cost, gross profit, units, unique orders, and transaction counts. Division summaries aggregate the same financial measures by division. Low-margin thresholds are configurable; default risk bands are loss-making (&lt;0%), critical (&lt;20%), watch (&lt;35%), and healthy (≥35%). These are analytical screening conventions, not company policy.</w:t>
      </w:r>
    </w:p>
    <w:p>
      <w:pPr>
        <w:pStyle w:val="Heading2"/>
      </w:pPr>
      <w:r>
        <w:t>4.4 Geography and factory reference</w:t>
      </w:r>
    </w:p>
    <w:p>
      <w:r>
        <w:t>State and region summaries show revenue and profit by customer geography. The supplied factory coordinates and 15 product-to-factory relationships are included as reference data. Factory rollups only include mapped products; they must not be interpreted as factory-specific cost accounting because the source does not identify factory-level production cost.</w:t>
      </w:r>
    </w:p>
    <w:p>
      <w:pPr>
        <w:pStyle w:val="Heading1"/>
      </w:pPr>
      <w:r>
        <w:t>5. Dashboard design</w:t>
      </w:r>
    </w:p>
    <w:p>
      <w:pPr>
        <w:pStyle w:val="ListBullet"/>
      </w:pPr>
      <w:r>
        <w:t>Overview: KPI cards, monthly revenue/profit trend, division comparison, and top gross-profit products.</w:t>
      </w:r>
    </w:p>
    <w:p>
      <w:pPr>
        <w:pStyle w:val="ListBullet"/>
      </w:pPr>
      <w:r>
        <w:t>Product Profitability: leaderboard ranked by gross profit, margin, revenue, profit per unit, or profit contribution.</w:t>
      </w:r>
    </w:p>
    <w:p>
      <w:pPr>
        <w:pStyle w:val="ListBullet"/>
      </w:pPr>
      <w:r>
        <w:t>Division Performance: weighted margin, revenue/profit comparison, and division summary table.</w:t>
      </w:r>
    </w:p>
    <w:p>
      <w:pPr>
        <w:pStyle w:val="ListBullet"/>
      </w:pPr>
      <w:r>
        <w:t>Cost &amp; Margin Diagnostics: transaction-level cost-versus-sales scatter and configurable below-threshold product list.</w:t>
      </w:r>
    </w:p>
    <w:p>
      <w:pPr>
        <w:pStyle w:val="ListBullet"/>
      </w:pPr>
      <w:r>
        <w:t>Profit Concentration: revenue/profit Pareto curve and count/share of products required to reach 80%.</w:t>
      </w:r>
    </w:p>
    <w:p>
      <w:pPr>
        <w:pStyle w:val="ListBullet"/>
      </w:pPr>
      <w:r>
        <w:t>Geography &amp; Factories: state revenue rankings, factory coordinates, product mapping, and mapped factory rollups.</w:t>
      </w:r>
    </w:p>
    <w:p>
      <w:pPr>
        <w:pStyle w:val="ListBullet"/>
      </w:pPr>
      <w:r>
        <w:t>Data Quality &amp; Export: validation flags, row counts, audit export, filtered transactions, and summary downloads.</w:t>
      </w:r>
    </w:p>
    <w:p>
      <w:pPr>
        <w:pStyle w:val="Heading1"/>
      </w:pPr>
      <w:r>
        <w:t>6. Results and interpretation</w:t>
      </w:r>
    </w:p>
    <w:p>
      <w:r>
        <w:t>The source-level totals above are descriptive baseline results, not final recommendations. Product and division rankings should be generated from the dashboard after applying the desired date and division filters. A decision should consider both absolute profit and margin: a high-margin niche product may not replace a high-contribution product, and a low-margin product may still be strategically important. Pareto results identify concentration, not inherently poor performance.</w:t>
      </w:r>
    </w:p>
    <w:p>
      <w:pPr>
        <w:pStyle w:val="Heading1"/>
      </w:pPr>
      <w:r>
        <w:t>7. Recommendations framework</w:t>
      </w:r>
    </w:p>
    <w:p>
      <w:pPr>
        <w:pStyle w:val="ListBullet"/>
      </w:pPr>
      <w:r>
        <w:t>Repricing review: investigate products with substantial sales but margins below the chosen threshold.</w:t>
      </w:r>
    </w:p>
    <w:p>
      <w:pPr>
        <w:pStyle w:val="ListBullet"/>
      </w:pPr>
      <w:r>
        <w:t>Cost/sourcing review: investigate products whose cost consumes a high proportion of sales; validate whether the cost field is complete and comparable.</w:t>
      </w:r>
    </w:p>
    <w:p>
      <w:pPr>
        <w:pStyle w:val="ListBullet"/>
      </w:pPr>
      <w:r>
        <w:t>Portfolio review: assess low-sales/low-profit products with commercial teams before rationalization.</w:t>
      </w:r>
    </w:p>
    <w:p>
      <w:pPr>
        <w:pStyle w:val="ListBullet"/>
      </w:pPr>
      <w:r>
        <w:t>Dependency monitoring: track the share of revenue and profit generated by the smallest set of products.</w:t>
      </w:r>
    </w:p>
    <w:p>
      <w:pPr>
        <w:pStyle w:val="ListBullet"/>
      </w:pPr>
      <w:r>
        <w:t>Data governance: correct or confirm shipment dates and document the meaning and completeness of the Cost field.</w:t>
      </w:r>
    </w:p>
    <w:p>
      <w:pPr>
        <w:pStyle w:val="ListBullet"/>
      </w:pPr>
      <w:r>
        <w:t>Ongoing cadence: refresh the dataset monthly and compare weighted margin, contribution, and risk-band movement.</w:t>
      </w:r>
    </w:p>
    <w:p>
      <w:pPr>
        <w:pStyle w:val="Heading1"/>
      </w:pPr>
      <w:r>
        <w:t>8. Limitations</w:t>
      </w:r>
    </w:p>
    <w:p>
      <w:pPr>
        <w:pStyle w:val="ListBullet"/>
      </w:pPr>
      <w:r>
        <w:t>No explicit manufacturing overhead, freight, returns, discounts, marketing, or factory-specific cost fields are available.</w:t>
      </w:r>
    </w:p>
    <w:p>
      <w:pPr>
        <w:pStyle w:val="ListBullet"/>
      </w:pPr>
      <w:r>
        <w:t>Ship dates range years after order dates; shipping lead-time analysis would be misleading until dates are confirmed.</w:t>
      </w:r>
    </w:p>
    <w:p>
      <w:pPr>
        <w:pStyle w:val="ListBullet"/>
      </w:pPr>
      <w:r>
        <w:t>Division distribution is highly imbalanced in the supplied rows; small divisions may have unstable estimates.</w:t>
      </w:r>
    </w:p>
    <w:p>
      <w:pPr>
        <w:pStyle w:val="ListBullet"/>
      </w:pPr>
      <w:r>
        <w:t>The supplied product-to-factory mapping covers 15 product names and may not cover every product in future files.</w:t>
      </w:r>
    </w:p>
    <w:p>
      <w:pPr>
        <w:pStyle w:val="ListBullet"/>
      </w:pPr>
      <w:r>
        <w:t>Margin-risk thresholds are configurable assumptions, not validated company standards.</w:t>
      </w:r>
    </w:p>
    <w:p>
      <w:pPr>
        <w:pStyle w:val="Heading1"/>
      </w:pPr>
      <w:r>
        <w:t>9. Conclusion</w:t>
      </w:r>
    </w:p>
    <w:p>
      <w:r>
        <w:t>The project establishes a transparent and reproducible profitability-analysis workflow for Nassau Candy Distributor. It provides a shared view of revenue quality, product and division margins, contribution concentration, cost exposure, and data quality. The dashboard is designed to support investigation and prioritization; final pricing, sourcing, and product-retirement decisions require business context and validated accounting inputs.</w:t>
      </w:r>
    </w:p>
    <w:p>
      <w:pPr>
        <w:pStyle w:val="Heading1"/>
      </w:pPr>
      <w:r>
        <w:t>Appendix: Formula quick reference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Metric</w:t>
            </w:r>
          </w:p>
        </w:tc>
        <w:tc>
          <w:tcPr>
            <w:tcW w:type="dxa" w:w="4968"/>
          </w:tcPr>
          <w:p>
            <w:r>
              <w:t>Formula</w:t>
            </w:r>
          </w:p>
        </w:tc>
      </w:tr>
      <w:tr>
        <w:tc>
          <w:tcPr>
            <w:tcW w:type="dxa" w:w="4968"/>
          </w:tcPr>
          <w:p>
            <w:r>
              <w:t>Gross Margin (%)</w:t>
            </w:r>
          </w:p>
        </w:tc>
        <w:tc>
          <w:tcPr>
            <w:tcW w:type="dxa" w:w="4968"/>
          </w:tcPr>
          <w:p>
            <w:r>
              <w:t>Total Gross Profit / Total Sales × 100</w:t>
            </w:r>
          </w:p>
        </w:tc>
      </w:tr>
      <w:tr>
        <w:tc>
          <w:tcPr>
            <w:tcW w:type="dxa" w:w="4968"/>
          </w:tcPr>
          <w:p>
            <w:r>
              <w:t>Profit per Unit</w:t>
            </w:r>
          </w:p>
        </w:tc>
        <w:tc>
          <w:tcPr>
            <w:tcW w:type="dxa" w:w="4968"/>
          </w:tcPr>
          <w:p>
            <w:r>
              <w:t>Total Gross Profit / Total Units</w:t>
            </w:r>
          </w:p>
        </w:tc>
      </w:tr>
      <w:tr>
        <w:tc>
          <w:tcPr>
            <w:tcW w:type="dxa" w:w="4968"/>
          </w:tcPr>
          <w:p>
            <w:r>
              <w:t>Revenue Contribution (%)</w:t>
            </w:r>
          </w:p>
        </w:tc>
        <w:tc>
          <w:tcPr>
            <w:tcW w:type="dxa" w:w="4968"/>
          </w:tcPr>
          <w:p>
            <w:r>
              <w:t>Product Sales / Total Sales × 100</w:t>
            </w:r>
          </w:p>
        </w:tc>
      </w:tr>
      <w:tr>
        <w:tc>
          <w:tcPr>
            <w:tcW w:type="dxa" w:w="4968"/>
          </w:tcPr>
          <w:p>
            <w:r>
              <w:t>Profit Contribution (%)</w:t>
            </w:r>
          </w:p>
        </w:tc>
        <w:tc>
          <w:tcPr>
            <w:tcW w:type="dxa" w:w="4968"/>
          </w:tcPr>
          <w:p>
            <w:r>
              <w:t>Product Gross Profit / Total Gross Profit × 100</w:t>
            </w:r>
          </w:p>
        </w:tc>
      </w:tr>
      <w:tr>
        <w:tc>
          <w:tcPr>
            <w:tcW w:type="dxa" w:w="4968"/>
          </w:tcPr>
          <w:p>
            <w:r>
              <w:t>Profit Reconciliation</w:t>
            </w:r>
          </w:p>
        </w:tc>
        <w:tc>
          <w:tcPr>
            <w:tcW w:type="dxa" w:w="4968"/>
          </w:tcPr>
          <w:p>
            <w:r>
              <w:t>Sales − Cost ≈ Gross Profit (tolerance $0.02)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