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A52" w:rsidRPr="00F30E06" w:rsidRDefault="00EC2A52" w:rsidP="00EC2A52">
      <w:pPr>
        <w:spacing w:before="200" w:after="200" w:line="480" w:lineRule="auto"/>
        <w:jc w:val="center"/>
        <w:rPr>
          <w:b/>
          <w:sz w:val="20"/>
          <w:szCs w:val="20"/>
        </w:rPr>
      </w:pPr>
      <w:r>
        <w:rPr>
          <w:b/>
          <w:sz w:val="20"/>
          <w:szCs w:val="20"/>
        </w:rPr>
        <w:t>Online Supplementary Mater</w:t>
      </w:r>
      <w:bookmarkStart w:id="0" w:name="_GoBack"/>
      <w:bookmarkEnd w:id="0"/>
      <w:r>
        <w:rPr>
          <w:b/>
          <w:sz w:val="20"/>
          <w:szCs w:val="20"/>
        </w:rPr>
        <w:t>ial</w:t>
      </w:r>
    </w:p>
    <w:p w:rsidR="00EC2A52" w:rsidRPr="00F30E06" w:rsidRDefault="00EC2A52" w:rsidP="00EC2A52">
      <w:pPr>
        <w:spacing w:before="200" w:after="200" w:line="480" w:lineRule="auto"/>
        <w:rPr>
          <w:b/>
          <w:sz w:val="20"/>
          <w:szCs w:val="20"/>
        </w:rPr>
      </w:pPr>
      <w:r w:rsidRPr="00F30E06">
        <w:rPr>
          <w:b/>
          <w:sz w:val="20"/>
          <w:szCs w:val="20"/>
        </w:rPr>
        <w:t>Appendix A. Data Assembly for Meta-Analysis</w:t>
      </w:r>
    </w:p>
    <w:p w:rsidR="00EC2A52" w:rsidRPr="00F30E06" w:rsidRDefault="00EC2A52" w:rsidP="00EC2A52">
      <w:pPr>
        <w:spacing w:before="200" w:after="200" w:line="480" w:lineRule="auto"/>
        <w:ind w:firstLine="360"/>
        <w:jc w:val="both"/>
        <w:rPr>
          <w:sz w:val="20"/>
          <w:szCs w:val="20"/>
        </w:rPr>
      </w:pPr>
      <w:r w:rsidRPr="00F30E06">
        <w:rPr>
          <w:sz w:val="20"/>
          <w:szCs w:val="20"/>
        </w:rPr>
        <w:t>Appendix A provides more information on our dataset and its construction. Table A1 displays the full set of studies assembled for our paper, along with their corresponding temperature and damage estimates. In some select circumstances, we adjusted the temperature and damage estimates reported in the study to reflect global willingness to pay to avoid the impacts of climate change, as measured by a change in global average surface temperature in °C (see Appendices A1 to A3). In determining duplicate estimates, we make classification decisions with respect to which estimates are overly reliant on previous estimates; see Appendix A4. See below for a discussion of these decisions.</w:t>
      </w:r>
    </w:p>
    <w:p w:rsidR="00EC2A52" w:rsidRPr="00F30E06" w:rsidRDefault="00EC2A52" w:rsidP="00EC2A52">
      <w:pPr>
        <w:spacing w:before="200" w:after="200" w:line="480" w:lineRule="auto"/>
        <w:rPr>
          <w:i/>
          <w:sz w:val="20"/>
          <w:szCs w:val="20"/>
        </w:rPr>
      </w:pPr>
      <w:r w:rsidRPr="00F30E06">
        <w:rPr>
          <w:i/>
          <w:sz w:val="20"/>
          <w:szCs w:val="20"/>
        </w:rPr>
        <w:t>Appendix A1. Aggregation of Regional Damage Estimates</w:t>
      </w:r>
    </w:p>
    <w:p w:rsidR="00EC2A52" w:rsidRPr="00F30E06" w:rsidRDefault="00EC2A52" w:rsidP="00EC2A52">
      <w:pPr>
        <w:spacing w:line="480" w:lineRule="auto"/>
        <w:ind w:firstLine="360"/>
        <w:jc w:val="both"/>
        <w:rPr>
          <w:sz w:val="20"/>
          <w:szCs w:val="20"/>
        </w:rPr>
      </w:pPr>
      <w:r w:rsidRPr="00F30E06">
        <w:rPr>
          <w:sz w:val="20"/>
          <w:szCs w:val="20"/>
        </w:rPr>
        <w:t xml:space="preserve">There are several studies that provide only regional damage estimates. If the authors also provide GDP data, we use them to create GDP weights for aggregation purposes. Otherwise, we use estimates of GDP from NASA’s Socioeconomic Data and Application Center’s Country Level GDP Projections, based on the SRES A2 market scenario (Gaffin et al., 2002), corresponding to when the level of warming was predicted to occur according to the original paper. </w:t>
      </w:r>
    </w:p>
    <w:p w:rsidR="00EC2A52" w:rsidRPr="00F30E06" w:rsidRDefault="00EC2A52" w:rsidP="00EC2A52">
      <w:pPr>
        <w:spacing w:line="480" w:lineRule="auto"/>
        <w:ind w:firstLine="360"/>
        <w:jc w:val="both"/>
        <w:rPr>
          <w:sz w:val="20"/>
          <w:szCs w:val="20"/>
        </w:rPr>
      </w:pPr>
      <w:r w:rsidRPr="00F30E06">
        <w:rPr>
          <w:sz w:val="20"/>
          <w:szCs w:val="20"/>
        </w:rPr>
        <w:t>All of the Policy Analysis of the Greenhouse Effect (PAGE) estimates (Plambeck and Hope, 1996; Hope, 2006; Hope, 2011) provide regional growth rates and base GDP data, from which we construct GDP estimates. In aggregating these estimates, care was taken to account appropriately for Hope’s adaptation assumptions and for catastrophic impacts. At the calibration temperature, catastrophic impacts are non-existent and therefore are excluded.</w:t>
      </w:r>
    </w:p>
    <w:p w:rsidR="00EC2A52" w:rsidRPr="00F30E06" w:rsidRDefault="00EC2A52" w:rsidP="00EC2A52">
      <w:pPr>
        <w:spacing w:line="480" w:lineRule="auto"/>
        <w:ind w:firstLine="360"/>
        <w:jc w:val="both"/>
        <w:rPr>
          <w:sz w:val="20"/>
          <w:szCs w:val="20"/>
        </w:rPr>
      </w:pPr>
      <w:r w:rsidRPr="00F30E06">
        <w:rPr>
          <w:sz w:val="20"/>
          <w:szCs w:val="20"/>
        </w:rPr>
        <w:t xml:space="preserve">Several other studies require aggregation by region using their own data. Manne and Richels (2005) provide GDP data for the MERGE 5.1 model online. Before aggregation, willingness to pay for each region must be constructed. Nordhaus and Yang (1996) provide GDP estimates and regional damages. However, given that we drop this study based on our </w:t>
      </w:r>
      <w:r w:rsidRPr="00F30E06">
        <w:rPr>
          <w:i/>
          <w:sz w:val="20"/>
          <w:szCs w:val="20"/>
        </w:rPr>
        <w:t xml:space="preserve">a priori </w:t>
      </w:r>
      <w:r w:rsidRPr="00F30E06">
        <w:rPr>
          <w:sz w:val="20"/>
          <w:szCs w:val="20"/>
        </w:rPr>
        <w:t>criteria, we use the Tol (2009) estimate.</w:t>
      </w:r>
    </w:p>
    <w:p w:rsidR="00EC2A52" w:rsidRPr="00F30E06" w:rsidRDefault="00EC2A52" w:rsidP="00EC2A52">
      <w:pPr>
        <w:spacing w:line="480" w:lineRule="auto"/>
        <w:ind w:firstLine="360"/>
        <w:rPr>
          <w:sz w:val="20"/>
          <w:szCs w:val="20"/>
        </w:rPr>
      </w:pPr>
      <w:r w:rsidRPr="00F30E06">
        <w:rPr>
          <w:sz w:val="20"/>
          <w:szCs w:val="20"/>
        </w:rPr>
        <w:t xml:space="preserve">None of Maddison’s studies (Maddison, 2003; </w:t>
      </w:r>
      <w:r w:rsidRPr="00F30E06">
        <w:rPr>
          <w:color w:val="222222"/>
          <w:sz w:val="20"/>
          <w:szCs w:val="20"/>
          <w:shd w:val="clear" w:color="auto" w:fill="FFFFFF"/>
        </w:rPr>
        <w:t>Rehdanz</w:t>
      </w:r>
      <w:r w:rsidRPr="00F30E06">
        <w:rPr>
          <w:sz w:val="20"/>
          <w:szCs w:val="20"/>
        </w:rPr>
        <w:t xml:space="preserve"> and Maddison, 2005; Maddison and </w:t>
      </w:r>
      <w:r w:rsidRPr="00F30E06">
        <w:rPr>
          <w:color w:val="222222"/>
          <w:sz w:val="20"/>
          <w:szCs w:val="20"/>
          <w:shd w:val="clear" w:color="auto" w:fill="FFFFFF"/>
        </w:rPr>
        <w:t>Rehdanz</w:t>
      </w:r>
      <w:r w:rsidRPr="00F30E06">
        <w:rPr>
          <w:sz w:val="20"/>
          <w:szCs w:val="20"/>
        </w:rPr>
        <w:t xml:space="preserve">, 2011) provide GDP data. Therefore, we use NASA’s Socioeconomic Data and Application Center’s Country Level GDP </w:t>
      </w:r>
      <w:r w:rsidRPr="00F30E06">
        <w:rPr>
          <w:sz w:val="20"/>
          <w:szCs w:val="20"/>
        </w:rPr>
        <w:lastRenderedPageBreak/>
        <w:t>Projections</w:t>
      </w:r>
      <w:r w:rsidRPr="00F30E06" w:rsidDel="00DC19F0">
        <w:rPr>
          <w:sz w:val="20"/>
          <w:szCs w:val="20"/>
        </w:rPr>
        <w:t xml:space="preserve"> </w:t>
      </w:r>
      <w:r w:rsidRPr="00F30E06">
        <w:rPr>
          <w:sz w:val="20"/>
          <w:szCs w:val="20"/>
        </w:rPr>
        <w:t xml:space="preserve">for Scenario A2 to create GDP weights for the appropriate year. We then sum national impacts using these weights. Like Nordhaus and Yang (1996), we drop these estimates based on our </w:t>
      </w:r>
      <w:r w:rsidRPr="00F30E06">
        <w:rPr>
          <w:i/>
          <w:sz w:val="20"/>
          <w:szCs w:val="20"/>
        </w:rPr>
        <w:t xml:space="preserve">a priori </w:t>
      </w:r>
      <w:r w:rsidRPr="00F30E06">
        <w:rPr>
          <w:sz w:val="20"/>
          <w:szCs w:val="20"/>
        </w:rPr>
        <w:t>criteria, though we include them in sensitivity analysis (see Appendix C9).</w:t>
      </w:r>
    </w:p>
    <w:p w:rsidR="00EC2A52" w:rsidRPr="00F30E06" w:rsidRDefault="00EC2A52" w:rsidP="00EC2A52">
      <w:pPr>
        <w:spacing w:before="200" w:after="200" w:line="480" w:lineRule="auto"/>
        <w:jc w:val="both"/>
        <w:rPr>
          <w:i/>
          <w:sz w:val="20"/>
          <w:szCs w:val="20"/>
        </w:rPr>
      </w:pPr>
      <w:r w:rsidRPr="00F30E06">
        <w:rPr>
          <w:i/>
          <w:sz w:val="20"/>
          <w:szCs w:val="20"/>
        </w:rPr>
        <w:t>Appendix A2. Calculation of Temperature Change Relative to Paper’s Base Period</w:t>
      </w:r>
    </w:p>
    <w:p w:rsidR="00EC2A52" w:rsidRPr="00F30E06" w:rsidRDefault="00EC2A52" w:rsidP="00EC2A52">
      <w:pPr>
        <w:spacing w:line="480" w:lineRule="auto"/>
        <w:ind w:firstLine="360"/>
        <w:jc w:val="both"/>
        <w:rPr>
          <w:sz w:val="20"/>
          <w:szCs w:val="20"/>
        </w:rPr>
      </w:pPr>
      <w:r w:rsidRPr="00F30E06">
        <w:rPr>
          <w:sz w:val="20"/>
          <w:szCs w:val="20"/>
        </w:rPr>
        <w:t>Several types of temperature adjustments are necessary to ensure that each paper measures temperature change in terms of global average surface temperature (°C) relative to the study’s base period.</w:t>
      </w:r>
    </w:p>
    <w:p w:rsidR="00EC2A52" w:rsidRPr="00F30E06" w:rsidRDefault="00EC2A52" w:rsidP="00EC2A52">
      <w:pPr>
        <w:spacing w:line="480" w:lineRule="auto"/>
        <w:ind w:firstLine="360"/>
        <w:jc w:val="both"/>
        <w:rPr>
          <w:sz w:val="20"/>
          <w:szCs w:val="20"/>
        </w:rPr>
      </w:pPr>
      <w:r w:rsidRPr="00F30E06">
        <w:rPr>
          <w:sz w:val="20"/>
          <w:szCs w:val="20"/>
        </w:rPr>
        <w:t>Dell et al. (2008; 2012) discusses a 3°C increase by 2100. However, that study uses the A2 scenario to estimate a -0.3% GDP decline by 2100. According to the Intergovernmental Panel on Climate Change (IPCC) (2007)’s Working Group I, the A2 scenario implies a 3.4 °C</w:t>
      </w:r>
      <w:r w:rsidRPr="00F30E06" w:rsidDel="00E110ED">
        <w:rPr>
          <w:sz w:val="20"/>
          <w:szCs w:val="20"/>
        </w:rPr>
        <w:t xml:space="preserve"> </w:t>
      </w:r>
      <w:r w:rsidRPr="00F30E06">
        <w:rPr>
          <w:sz w:val="20"/>
          <w:szCs w:val="20"/>
        </w:rPr>
        <w:t>increase from the base period of 1980-1999 to 2090-2099. We use the 3.4 °C temperature increase.</w:t>
      </w:r>
    </w:p>
    <w:p w:rsidR="00EC2A52" w:rsidRPr="00F30E06" w:rsidRDefault="00EC2A52" w:rsidP="00EC2A52">
      <w:pPr>
        <w:spacing w:line="480" w:lineRule="auto"/>
        <w:ind w:firstLine="360"/>
        <w:jc w:val="both"/>
        <w:rPr>
          <w:sz w:val="20"/>
          <w:szCs w:val="20"/>
        </w:rPr>
      </w:pPr>
      <w:r w:rsidRPr="00F30E06">
        <w:rPr>
          <w:sz w:val="20"/>
          <w:szCs w:val="20"/>
        </w:rPr>
        <w:t xml:space="preserve">Several estimates capture average land temperature instead of average surface temperature: G-ECON (Nordhaus, 2006; Nordhaus, 2008b; Ng and Zhao, 2011); Horowitz (Choiniere and Horowitz, 2006; Horowitz, 2009); Gunasekera et al. (2008), and Bluedorn et al. (2010). </w:t>
      </w:r>
      <w:r w:rsidRPr="00F30E06">
        <w:rPr>
          <w:color w:val="000000"/>
          <w:sz w:val="20"/>
          <w:szCs w:val="20"/>
        </w:rPr>
        <w:t xml:space="preserve">We multiply their temperature change by the </w:t>
      </w:r>
      <w:r w:rsidRPr="00F30E06">
        <w:rPr>
          <w:sz w:val="20"/>
          <w:szCs w:val="20"/>
        </w:rPr>
        <w:t>ratio between global land and surface temperatures as defined by NOAA’s State of the Climate dataset to convert to global surface temperature.</w:t>
      </w:r>
    </w:p>
    <w:p w:rsidR="00EC2A52" w:rsidRPr="00F30E06" w:rsidRDefault="00EC2A52" w:rsidP="00EC2A52">
      <w:pPr>
        <w:spacing w:line="480" w:lineRule="auto"/>
        <w:ind w:firstLine="360"/>
        <w:jc w:val="both"/>
        <w:rPr>
          <w:sz w:val="20"/>
          <w:szCs w:val="20"/>
        </w:rPr>
      </w:pPr>
      <w:r w:rsidRPr="00F30E06">
        <w:rPr>
          <w:sz w:val="20"/>
          <w:szCs w:val="20"/>
        </w:rPr>
        <w:t>Using a small sample of experts, Schauer (1995) estimates the impacts of climate change as a % of GDP for a doubling of CO2. Because Schauer (1995) does not provide a specific climate scenario (i.e., the amount of warming for a particular date) to these experts, we impute the implied temperature change. We use the central estimate equilibrium climate sensitivity of 2.5 °C from the most up-to-date IPCC report at the time of publication.</w:t>
      </w:r>
    </w:p>
    <w:p w:rsidR="00EC2A52" w:rsidRPr="00F30E06" w:rsidRDefault="00EC2A52" w:rsidP="00EC2A52">
      <w:pPr>
        <w:spacing w:before="200" w:after="200" w:line="480" w:lineRule="auto"/>
        <w:rPr>
          <w:i/>
          <w:sz w:val="20"/>
          <w:szCs w:val="20"/>
        </w:rPr>
      </w:pPr>
      <w:r w:rsidRPr="00F30E06">
        <w:rPr>
          <w:i/>
          <w:sz w:val="20"/>
          <w:szCs w:val="20"/>
        </w:rPr>
        <w:t>Appendix A3. Adjustment of Damage Estimates</w:t>
      </w:r>
    </w:p>
    <w:p w:rsidR="00EC2A52" w:rsidRPr="00F30E06" w:rsidRDefault="00EC2A52" w:rsidP="00EC2A52">
      <w:pPr>
        <w:spacing w:line="480" w:lineRule="auto"/>
        <w:ind w:firstLine="360"/>
        <w:jc w:val="both"/>
        <w:rPr>
          <w:sz w:val="20"/>
          <w:szCs w:val="20"/>
        </w:rPr>
      </w:pPr>
      <w:r w:rsidRPr="00F30E06">
        <w:rPr>
          <w:sz w:val="20"/>
          <w:szCs w:val="20"/>
        </w:rPr>
        <w:t xml:space="preserve">The one damage estimate that we adjust is Meyer and Cooper (1995), which significantly augments the Fankhauser (1995) estimate to account for a higher level of warming by 2050 (3°C instead of 2.5°C), to convert from willingness to pay to willingness to accept, and to include additional damage categories (migration, malaria, and malnutrition). As stated in the main text, we are solely interested in willingness to pay (WTP) estimates and so we convert the Meyer and Cooper (1995) damage estimate to a willingness to pay estimate; we were unable to make a similar adjustment for the Maddison studies (Maddison, 2003; Rehdanz and Maddison, 2005; Maddison and </w:t>
      </w:r>
      <w:r w:rsidRPr="00F30E06">
        <w:rPr>
          <w:sz w:val="20"/>
          <w:szCs w:val="20"/>
        </w:rPr>
        <w:lastRenderedPageBreak/>
        <w:t>Rehdanz, 2011). To do this, we must undo Meyer and Cooper’s (1995) choice to use OECD’s value of statistical life (VSL) and parity-unit-damage valuation (PUDV) for non-OECD regions;</w:t>
      </w:r>
      <w:r w:rsidRPr="00F30E06">
        <w:rPr>
          <w:rStyle w:val="FootnoteReference"/>
        </w:rPr>
        <w:t xml:space="preserve"> </w:t>
      </w:r>
      <w:r w:rsidRPr="00F30E06">
        <w:rPr>
          <w:sz w:val="20"/>
          <w:szCs w:val="20"/>
        </w:rPr>
        <w:t xml:space="preserve">this implies removing the adjustment from Columns C to D in Table A of Meyer and Cooper (1995), </w:t>
      </w:r>
      <w:r>
        <w:rPr>
          <w:sz w:val="20"/>
          <w:szCs w:val="20"/>
        </w:rPr>
        <w:t>re</w:t>
      </w:r>
      <w:r w:rsidRPr="00F30E06">
        <w:rPr>
          <w:sz w:val="20"/>
          <w:szCs w:val="20"/>
        </w:rPr>
        <w:t>moving the adjustment from Columns D to E, and converting the adjustment from E to F into WTP units. This adjustment is done in several steps: (1) we calculate the share of health impacts in Column B of Figure A of Meyer and Cooper (1995) using Fankhauser (1995); (2) we calculate the cost of health impacts in Column C (a switch from 2.5°C to 3°C in 2050) by multiplying total damage by the health share derived in step 1; (3) we calculate the health cost in Columns D and E by assigning all increases from column C to D as health impacts (due to increases in the VSL) and all increases from D to E as non-health impacts (due to increases in PUDV); (4) we assign all increases from Columns E to F to health impacts because the joint impact of malaria and malnutrition dominate the impact of migration (as noted by Fankhauser and Tol in Appendix D of Meyer and Cooper (1995)); (5) we calculate the ratio of health impact increases from Column C to D (i.e., attributable to using OECD VSL values) and divide the increase in health impacts from E to F by this ratio to calculate the WTP to avoid migration, malaria, and malnutrition impacts; (6) we add this WTP estimate to the non-health impacts in Column C (i.e., the value of non-health impacts for a 3°C increase by 2050); and (7) we divide this value by global GDP in 2050 as assumed by Fankhauser (1995) and Meyer and Cooper (1995). The final value represents global willingness to pay to avoid the climate change as estimated by Meyer and Cooper (1995). Given that the adjustments made by Meyer and Cooper do</w:t>
      </w:r>
      <w:r>
        <w:rPr>
          <w:sz w:val="20"/>
          <w:szCs w:val="20"/>
        </w:rPr>
        <w:t>es</w:t>
      </w:r>
      <w:r w:rsidRPr="00F30E06">
        <w:rPr>
          <w:sz w:val="20"/>
          <w:szCs w:val="20"/>
        </w:rPr>
        <w:t xml:space="preserve"> not produce a willingness to accept estimate in the traditional sense (as noted by Fankhauser and Tol in Appendix D of Meyer and Cooper (1995)), an alternative interpretation of our adjustment is as a correction of </w:t>
      </w:r>
      <w:r>
        <w:rPr>
          <w:sz w:val="20"/>
          <w:szCs w:val="20"/>
        </w:rPr>
        <w:t>the</w:t>
      </w:r>
      <w:r w:rsidRPr="00F30E06">
        <w:rPr>
          <w:sz w:val="20"/>
          <w:szCs w:val="20"/>
        </w:rPr>
        <w:t xml:space="preserve"> assumption to use OECD values for all regions.</w:t>
      </w:r>
    </w:p>
    <w:p w:rsidR="00EC2A52" w:rsidRPr="00F30E06" w:rsidRDefault="00EC2A52" w:rsidP="00EC2A52">
      <w:pPr>
        <w:pStyle w:val="EndnoteText"/>
        <w:spacing w:line="480" w:lineRule="auto"/>
        <w:ind w:firstLine="360"/>
        <w:jc w:val="both"/>
        <w:rPr>
          <w:rFonts w:ascii="Times New Roman" w:hAnsi="Times New Roman" w:cs="Times New Roman"/>
        </w:rPr>
      </w:pPr>
      <w:r w:rsidRPr="00F30E06">
        <w:rPr>
          <w:rFonts w:ascii="Times New Roman" w:hAnsi="Times New Roman" w:cs="Times New Roman"/>
        </w:rPr>
        <w:t>After undoing Meyer and Cooper (1995)’s use of uniform damage values (per unit of impact) across regions to ensure a willingness to pay estimate, the first and third modifications remain, the most significant of which is an additional 10 million deaths per year from malnutrition. Fankhauser and Tol argue that that malnutrition mortality estimates are out-of-date, and greatly overestimate the potential impact. While this may be true, the same could be said for virtually all enumerative damage estimates whose impact estimates date back to the 1990s (Revesz et al., 2014). Instead of dropping the estimate, we classify the study as containing catastrophic impacts.</w:t>
      </w:r>
    </w:p>
    <w:p w:rsidR="00EC2A52" w:rsidRPr="00F30E06" w:rsidRDefault="00EC2A52" w:rsidP="00EC2A52">
      <w:pPr>
        <w:spacing w:before="200" w:after="200" w:line="480" w:lineRule="auto"/>
        <w:jc w:val="both"/>
        <w:rPr>
          <w:i/>
          <w:sz w:val="20"/>
          <w:szCs w:val="20"/>
        </w:rPr>
      </w:pPr>
      <w:r w:rsidRPr="00F30E06">
        <w:rPr>
          <w:i/>
          <w:sz w:val="20"/>
          <w:szCs w:val="20"/>
        </w:rPr>
        <w:t>Appendix A4. Duplication Classification</w:t>
      </w:r>
    </w:p>
    <w:p w:rsidR="00EC2A52" w:rsidRPr="00F30E06" w:rsidRDefault="00EC2A52" w:rsidP="00EC2A52">
      <w:pPr>
        <w:spacing w:line="480" w:lineRule="auto"/>
        <w:ind w:firstLine="360"/>
        <w:jc w:val="both"/>
        <w:rPr>
          <w:sz w:val="20"/>
          <w:szCs w:val="20"/>
        </w:rPr>
      </w:pPr>
      <w:r w:rsidRPr="00F30E06">
        <w:rPr>
          <w:sz w:val="20"/>
          <w:szCs w:val="20"/>
        </w:rPr>
        <w:lastRenderedPageBreak/>
        <w:t>In general, the classification of which estimates are duplicates is straightforward. There are a few exceptions, particularly with respect to duplication.</w:t>
      </w:r>
    </w:p>
    <w:p w:rsidR="00EC2A52" w:rsidRPr="00F30E06" w:rsidRDefault="00EC2A52" w:rsidP="00EC2A52">
      <w:pPr>
        <w:spacing w:line="480" w:lineRule="auto"/>
        <w:ind w:firstLine="360"/>
        <w:jc w:val="both"/>
        <w:rPr>
          <w:sz w:val="20"/>
          <w:szCs w:val="20"/>
        </w:rPr>
      </w:pPr>
      <w:r w:rsidRPr="00F30E06">
        <w:rPr>
          <w:sz w:val="20"/>
          <w:szCs w:val="20"/>
        </w:rPr>
        <w:t>There are several studies that present two potentially independent estimates. Several studies produce estimates for two different temperature changes, including Nordhaus (1994b), Eboli et al. (2010), Roson and van der Mensbrugghe (2012), Weitzman (2012), McCallum et al. (2013), and Howard and Sylvan (2015). Like Tol (2014), we maintain these two estimates despite concerns about dependence. Also like Tol (2014), we maintain the two estimates from Mendelsohn et al. (2000b) because they use separate estimation methodologies: statistical (i.e., Ricardian analysis) and experimental (i.e., reduced-form response functions, assembled by combining U.S. based scientific models and economic models). However, the estimates overlap because experimental reduced-form estimates were used to fill in omitted sectors (i.e., water and coastal) in the Ricardian analysis (Mendelsohn, 2000a). Therefore, while we classify this latter estimate as an experimental method, we reclassify it as statistical for purposes of clustering in order to keep the estimates together, due to likely dependences and because no other damage estimates are similarly constructed. Finally, we choose to keep both scientific estimates from Nordhaus (2014) because they rely on two very different assumptions about temperature limits, with very different final impact estimates. Unlike Tol (2014), we conduct sensitivity analysis to maintaining two data points from these studies instead of one.</w:t>
      </w:r>
    </w:p>
    <w:p w:rsidR="00EC2A52" w:rsidRPr="00F30E06" w:rsidRDefault="00EC2A52" w:rsidP="00EC2A52">
      <w:pPr>
        <w:pStyle w:val="EndnoteText"/>
        <w:spacing w:line="480" w:lineRule="auto"/>
        <w:ind w:firstLine="360"/>
        <w:jc w:val="both"/>
        <w:rPr>
          <w:rFonts w:ascii="Times New Roman" w:hAnsi="Times New Roman" w:cs="Times New Roman"/>
        </w:rPr>
      </w:pPr>
      <w:r w:rsidRPr="00F30E06">
        <w:rPr>
          <w:rFonts w:ascii="Times New Roman" w:hAnsi="Times New Roman" w:cs="Times New Roman"/>
        </w:rPr>
        <w:t>In a related discussion with regard to the uniqueness of an estimate (i.e., whether it is a citation of a previously included estimate), we assume that studies that make significant changes to a previous estimate are unique. Specifically, these are estimates for which their authors used the original estimates as starting points, such that the final estimates represent a significant departure from the original estimates. Hanemann (2008) uses Nordhaus (2008a)’s U.S. estimate as a starting point, but develops a fundamentally different estimate for the United States; the ratio of these estimates is then used by Ackerman et al. (2012) to adjust the global Nordhaus (2008a) estimate. Similarly, as seen in the previous section, Meyer and Cooper (1995) fundamentally change Fankhauser (1995). Finally, Environmental Impact and Sustainability Applied General Equilibrium Model (ENVISAGE) (Roson and van der Mensbrugghe, 2012) and the Inter-temporal Computable Equilibrium System (ICES) (Bosello and Parrado, 2014) calibrate their health impacts using Bosello et al. (2006), which translates mortality estimates from Tol (2002) – also used to calibrate the Framework for Uncertainty, Negotiation and Distribution (FUND) – into impacts to labor productivity and demand for health care. We conduct sensitivity analysis to this assumption (see Appendix C4).</w:t>
      </w:r>
    </w:p>
    <w:p w:rsidR="00EC2A52" w:rsidRPr="00F30E06" w:rsidRDefault="00EC2A52" w:rsidP="00EC2A52">
      <w:pPr>
        <w:spacing w:before="200" w:after="200" w:line="480" w:lineRule="auto"/>
        <w:rPr>
          <w:b/>
          <w:sz w:val="20"/>
          <w:szCs w:val="20"/>
        </w:rPr>
      </w:pPr>
      <w:r w:rsidRPr="00F30E06">
        <w:rPr>
          <w:b/>
          <w:sz w:val="20"/>
          <w:szCs w:val="20"/>
        </w:rPr>
        <w:lastRenderedPageBreak/>
        <w:t>Appendix B: Additional Tables and Figures for Section 6</w:t>
      </w:r>
    </w:p>
    <w:p w:rsidR="00EC2A52" w:rsidRPr="00F30E06" w:rsidRDefault="00EC2A52" w:rsidP="00EC2A52">
      <w:pPr>
        <w:spacing w:line="480" w:lineRule="auto"/>
        <w:rPr>
          <w:sz w:val="20"/>
          <w:szCs w:val="20"/>
        </w:rPr>
      </w:pPr>
      <w:r w:rsidRPr="00F30E06">
        <w:rPr>
          <w:sz w:val="20"/>
          <w:szCs w:val="20"/>
        </w:rPr>
        <w:t>Appendix B provides additional tables and figures estimated in our main results (Section 6).</w:t>
      </w:r>
    </w:p>
    <w:p w:rsidR="00EC2A52" w:rsidRPr="009263A5" w:rsidRDefault="00EC2A52" w:rsidP="00EC2A52">
      <w:pPr>
        <w:spacing w:before="200" w:after="200" w:line="480" w:lineRule="auto"/>
        <w:rPr>
          <w:b/>
          <w:sz w:val="20"/>
          <w:szCs w:val="20"/>
        </w:rPr>
      </w:pPr>
      <w:r w:rsidRPr="009263A5">
        <w:rPr>
          <w:b/>
          <w:sz w:val="20"/>
          <w:szCs w:val="20"/>
        </w:rPr>
        <w:t>Appendix C: Sensitivity analyses</w:t>
      </w:r>
    </w:p>
    <w:p w:rsidR="00EC2A52" w:rsidRPr="009263A5" w:rsidRDefault="00EC2A52" w:rsidP="00EC2A52">
      <w:pPr>
        <w:spacing w:line="480" w:lineRule="auto"/>
        <w:ind w:firstLine="360"/>
        <w:jc w:val="both"/>
        <w:rPr>
          <w:sz w:val="20"/>
          <w:szCs w:val="20"/>
        </w:rPr>
      </w:pPr>
      <w:r w:rsidRPr="009263A5">
        <w:rPr>
          <w:sz w:val="20"/>
          <w:szCs w:val="20"/>
        </w:rPr>
        <w:t>Appendix C discusses our sensitivity analyses</w:t>
      </w:r>
      <w:r>
        <w:rPr>
          <w:sz w:val="20"/>
          <w:szCs w:val="20"/>
        </w:rPr>
        <w:t>, which are</w:t>
      </w:r>
      <w:r w:rsidRPr="009263A5">
        <w:rPr>
          <w:sz w:val="20"/>
          <w:szCs w:val="20"/>
        </w:rPr>
        <w:t xml:space="preserve"> briefly summarized in Section 7 of the main text. Beyond our primary analysis, we run a series of sensitivity analyses to test the robustness of our results. Specifically, we re-run </w:t>
      </w:r>
      <w:r>
        <w:rPr>
          <w:sz w:val="20"/>
          <w:szCs w:val="20"/>
        </w:rPr>
        <w:t>the</w:t>
      </w:r>
      <w:r w:rsidRPr="009263A5">
        <w:rPr>
          <w:sz w:val="20"/>
          <w:szCs w:val="20"/>
        </w:rPr>
        <w:t xml:space="preserve"> preferred specifications for excluding and including the high-temperature estimates </w:t>
      </w:r>
      <w:r w:rsidRPr="003F1864">
        <w:rPr>
          <w:sz w:val="20"/>
          <w:szCs w:val="20"/>
        </w:rPr>
        <w:t xml:space="preserve">– </w:t>
      </w:r>
      <w:r w:rsidRPr="009263A5">
        <w:rPr>
          <w:sz w:val="20"/>
          <w:szCs w:val="20"/>
        </w:rPr>
        <w:t xml:space="preserve">i.e., </w:t>
      </w:r>
      <w:r>
        <w:rPr>
          <w:sz w:val="20"/>
          <w:szCs w:val="20"/>
        </w:rPr>
        <w:t>R</w:t>
      </w:r>
      <w:r w:rsidRPr="009263A5">
        <w:rPr>
          <w:sz w:val="20"/>
          <w:szCs w:val="20"/>
        </w:rPr>
        <w:t>egressions (4) and (8) in Table 2</w:t>
      </w:r>
      <w:r>
        <w:rPr>
          <w:sz w:val="20"/>
          <w:szCs w:val="20"/>
        </w:rPr>
        <w:t xml:space="preserve"> </w:t>
      </w:r>
      <w:r w:rsidRPr="009263A5">
        <w:rPr>
          <w:sz w:val="20"/>
          <w:szCs w:val="20"/>
        </w:rPr>
        <w:t xml:space="preserve">– under a variety of alternative assumptions. Sensitivity analyses are essential in all meta-analyses given the variety of assumptions that analysts face. In the case of meta-analyses of global damage estimates, they have additional importance </w:t>
      </w:r>
      <w:r>
        <w:rPr>
          <w:sz w:val="20"/>
          <w:szCs w:val="20"/>
        </w:rPr>
        <w:t>because of</w:t>
      </w:r>
      <w:r w:rsidRPr="009263A5">
        <w:rPr>
          <w:sz w:val="20"/>
          <w:szCs w:val="20"/>
        </w:rPr>
        <w:t xml:space="preserve"> the small sample size of these studies. While these sensitivity analyses are discussed in Section 7 of the paper, we provide a more extensive discussion below.</w:t>
      </w:r>
    </w:p>
    <w:p w:rsidR="00EC2A52" w:rsidRPr="009263A5" w:rsidRDefault="00EC2A52" w:rsidP="00EC2A52">
      <w:pPr>
        <w:spacing w:before="200" w:after="200" w:line="480" w:lineRule="auto"/>
        <w:jc w:val="both"/>
        <w:rPr>
          <w:sz w:val="20"/>
          <w:szCs w:val="20"/>
        </w:rPr>
      </w:pPr>
      <w:r w:rsidRPr="009263A5">
        <w:rPr>
          <w:i/>
          <w:sz w:val="20"/>
          <w:szCs w:val="20"/>
        </w:rPr>
        <w:t>Appendix C1. Re-estimating Tol (2014)’s Temperature-Damage Relationship</w:t>
      </w:r>
      <w:r w:rsidRPr="009263A5">
        <w:rPr>
          <w:sz w:val="20"/>
          <w:szCs w:val="20"/>
        </w:rPr>
        <w:t xml:space="preserve"> </w:t>
      </w:r>
    </w:p>
    <w:p w:rsidR="00EC2A52" w:rsidRPr="009263A5" w:rsidRDefault="00EC2A52" w:rsidP="00EC2A52">
      <w:pPr>
        <w:spacing w:line="480" w:lineRule="auto"/>
        <w:ind w:firstLine="360"/>
        <w:jc w:val="both"/>
        <w:rPr>
          <w:sz w:val="20"/>
          <w:szCs w:val="20"/>
        </w:rPr>
      </w:pPr>
      <w:r w:rsidRPr="009263A5">
        <w:rPr>
          <w:sz w:val="20"/>
          <w:szCs w:val="20"/>
        </w:rPr>
        <w:t>Following Tol’s (2009; 2014), we re-run Table 2</w:t>
      </w:r>
      <w:r>
        <w:rPr>
          <w:sz w:val="20"/>
          <w:szCs w:val="20"/>
        </w:rPr>
        <w:t>,</w:t>
      </w:r>
      <w:r w:rsidRPr="009263A5">
        <w:rPr>
          <w:sz w:val="20"/>
          <w:szCs w:val="20"/>
        </w:rPr>
        <w:t xml:space="preserve"> including an additional linear temperature term and its interaction with the various indicator variables; see Table </w:t>
      </w:r>
      <w:r>
        <w:rPr>
          <w:sz w:val="20"/>
          <w:szCs w:val="20"/>
        </w:rPr>
        <w:t>C1</w:t>
      </w:r>
      <w:r w:rsidRPr="009263A5">
        <w:rPr>
          <w:sz w:val="20"/>
          <w:szCs w:val="20"/>
        </w:rPr>
        <w:t>. We also re-estimate Tables 3 and B3 assuming the Tol (2009; 2014) functional form; see Tables C2 and C3. As part of these latter tables, we calculate the social cost of carbon (SCC)</w:t>
      </w:r>
      <w:r>
        <w:rPr>
          <w:sz w:val="20"/>
          <w:szCs w:val="20"/>
        </w:rPr>
        <w:t>,</w:t>
      </w:r>
      <w:r w:rsidRPr="009263A5">
        <w:rPr>
          <w:sz w:val="20"/>
          <w:szCs w:val="20"/>
        </w:rPr>
        <w:t xml:space="preserve"> interpreting the temperature-damage relationships found in our regressions as damage functions and using them to replace the DICE-2013R damage function. Following Tol (2009; 2014), we do not apply a 25% adjustment to non-catastrophic damages when calculating the SCC</w:t>
      </w:r>
      <w:r>
        <w:rPr>
          <w:sz w:val="20"/>
          <w:szCs w:val="20"/>
        </w:rPr>
        <w:t>,</w:t>
      </w:r>
      <w:r w:rsidRPr="009263A5">
        <w:rPr>
          <w:sz w:val="20"/>
          <w:szCs w:val="20"/>
        </w:rPr>
        <w:t xml:space="preserve"> as was done by Nordhaus (2013).</w:t>
      </w:r>
    </w:p>
    <w:p w:rsidR="00EC2A52" w:rsidRPr="009263A5" w:rsidRDefault="00EC2A52" w:rsidP="00EC2A52">
      <w:pPr>
        <w:spacing w:line="480" w:lineRule="auto"/>
        <w:ind w:firstLine="360"/>
        <w:jc w:val="both"/>
        <w:rPr>
          <w:sz w:val="20"/>
          <w:szCs w:val="20"/>
        </w:rPr>
      </w:pPr>
      <w:r w:rsidRPr="009263A5">
        <w:rPr>
          <w:sz w:val="20"/>
          <w:szCs w:val="20"/>
        </w:rPr>
        <w:t>When we exclude high-temperature estimates (i.e.</w:t>
      </w:r>
      <w:r>
        <w:rPr>
          <w:sz w:val="20"/>
          <w:szCs w:val="20"/>
        </w:rPr>
        <w:t>,</w:t>
      </w:r>
      <w:r w:rsidRPr="009263A5">
        <w:rPr>
          <w:sz w:val="20"/>
          <w:szCs w:val="20"/>
        </w:rPr>
        <w:t xml:space="preserve"> &gt;4°C), we find that the coefficients are jointly significant and their signs correspond to theory. Also, the coefficients corresponding to temperature and temperature</w:t>
      </w:r>
      <w:r>
        <w:rPr>
          <w:sz w:val="20"/>
          <w:szCs w:val="20"/>
        </w:rPr>
        <w:t xml:space="preserve"> </w:t>
      </w:r>
      <w:r w:rsidRPr="009263A5">
        <w:rPr>
          <w:sz w:val="20"/>
          <w:szCs w:val="20"/>
        </w:rPr>
        <w:t>squared are jointly significantly different from Tol (2014), regardless of whether we account for catastrophic and/or productivity impacts of climate change. As in Table 2, only coefficients corresponding to temperature (and its square)</w:t>
      </w:r>
      <w:r>
        <w:rPr>
          <w:sz w:val="20"/>
          <w:szCs w:val="20"/>
        </w:rPr>
        <w:t xml:space="preserve"> and</w:t>
      </w:r>
      <w:r w:rsidRPr="009263A5">
        <w:rPr>
          <w:sz w:val="20"/>
          <w:szCs w:val="20"/>
        </w:rPr>
        <w:t xml:space="preserve"> its interaction with the market indicator variable</w:t>
      </w:r>
      <w:r>
        <w:rPr>
          <w:sz w:val="20"/>
          <w:szCs w:val="20"/>
        </w:rPr>
        <w:t xml:space="preserve"> </w:t>
      </w:r>
      <w:r w:rsidRPr="009263A5">
        <w:rPr>
          <w:sz w:val="20"/>
          <w:szCs w:val="20"/>
        </w:rPr>
        <w:t>are individually significant</w:t>
      </w:r>
      <w:r>
        <w:rPr>
          <w:sz w:val="20"/>
          <w:szCs w:val="20"/>
        </w:rPr>
        <w:t xml:space="preserve">, while </w:t>
      </w:r>
      <w:r w:rsidRPr="009263A5">
        <w:rPr>
          <w:sz w:val="20"/>
          <w:szCs w:val="20"/>
        </w:rPr>
        <w:t>the cross-sectional indicator variable</w:t>
      </w:r>
      <w:r>
        <w:rPr>
          <w:sz w:val="20"/>
          <w:szCs w:val="20"/>
        </w:rPr>
        <w:t xml:space="preserve"> is no longer significant</w:t>
      </w:r>
      <w:r w:rsidRPr="009263A5">
        <w:rPr>
          <w:sz w:val="20"/>
          <w:szCs w:val="20"/>
        </w:rPr>
        <w:t>. Like Tol (2009) – which also omits high-temperature damage estimates – we find evidence of initial benefits from climate change.</w:t>
      </w:r>
    </w:p>
    <w:p w:rsidR="00EC2A52" w:rsidRPr="009263A5" w:rsidRDefault="00EC2A52" w:rsidP="00EC2A52">
      <w:pPr>
        <w:spacing w:line="480" w:lineRule="auto"/>
        <w:ind w:firstLine="360"/>
        <w:jc w:val="both"/>
        <w:rPr>
          <w:sz w:val="20"/>
          <w:szCs w:val="20"/>
        </w:rPr>
      </w:pPr>
      <w:r w:rsidRPr="009263A5">
        <w:rPr>
          <w:sz w:val="20"/>
          <w:szCs w:val="20"/>
        </w:rPr>
        <w:t>When we include high-temperature estimates (&gt;4°C), we find that the coefficient corresponding to linear temperature shifts from negative to positive</w:t>
      </w:r>
      <w:r>
        <w:rPr>
          <w:sz w:val="20"/>
          <w:szCs w:val="20"/>
        </w:rPr>
        <w:t>,</w:t>
      </w:r>
      <w:r w:rsidRPr="009263A5">
        <w:rPr>
          <w:sz w:val="20"/>
          <w:szCs w:val="20"/>
        </w:rPr>
        <w:t xml:space="preserve"> supporting the findings in Tol (2014) of no initial benefits from climate </w:t>
      </w:r>
      <w:r w:rsidRPr="009263A5">
        <w:rPr>
          <w:sz w:val="20"/>
          <w:szCs w:val="20"/>
        </w:rPr>
        <w:lastRenderedPageBreak/>
        <w:t xml:space="preserve">change and a flatter damage function. Additionally, the coefficients corresponding to temperature and temperature squared are now no longer individually significantly different from zero and are not jointly significantly different than </w:t>
      </w:r>
      <w:r>
        <w:rPr>
          <w:sz w:val="20"/>
          <w:szCs w:val="20"/>
        </w:rPr>
        <w:t xml:space="preserve">those of </w:t>
      </w:r>
      <w:r w:rsidRPr="009263A5">
        <w:rPr>
          <w:sz w:val="20"/>
          <w:szCs w:val="20"/>
        </w:rPr>
        <w:t>Tol (2014), unless productivity and/or catastrophic impacts are included. With respect to the original Tol (2014) regression (</w:t>
      </w:r>
      <w:r>
        <w:rPr>
          <w:sz w:val="20"/>
          <w:szCs w:val="20"/>
        </w:rPr>
        <w:t>S</w:t>
      </w:r>
      <w:r w:rsidRPr="009263A5">
        <w:rPr>
          <w:sz w:val="20"/>
          <w:szCs w:val="20"/>
        </w:rPr>
        <w:t>pecification (1) in Tables C2 and C3), we also find that the inclusion of the sole high-temperature estimate – Roson and van der Mensbrugghe (2012)</w:t>
      </w:r>
      <w:r>
        <w:rPr>
          <w:sz w:val="20"/>
          <w:szCs w:val="20"/>
        </w:rPr>
        <w:t>’s</w:t>
      </w:r>
      <w:r w:rsidRPr="009263A5">
        <w:rPr>
          <w:sz w:val="20"/>
          <w:szCs w:val="20"/>
        </w:rPr>
        <w:t xml:space="preserve"> estimate of a -4.6% decline in GDP for a 5.4°C increase – significantly impacts the final coefficients and the corresponding SCC estimate. Together, these results again highlight the sensitivity of the temperature-damage relationship to high-temperature damage estimates.</w:t>
      </w:r>
    </w:p>
    <w:p w:rsidR="00EC2A52" w:rsidRPr="00266133" w:rsidRDefault="00EC2A52" w:rsidP="00EC2A52">
      <w:pPr>
        <w:spacing w:line="480" w:lineRule="auto"/>
        <w:ind w:firstLine="360"/>
        <w:jc w:val="both"/>
        <w:rPr>
          <w:sz w:val="20"/>
          <w:szCs w:val="20"/>
        </w:rPr>
      </w:pPr>
      <w:r w:rsidRPr="009263A5">
        <w:rPr>
          <w:sz w:val="20"/>
          <w:szCs w:val="20"/>
        </w:rPr>
        <w:t xml:space="preserve">Regardless of our treatment of high-temperature damage estimates, we find strong evidence of duplication bias. Using seemingly unrelated regression, we reject the null that the coefficients corresponding to the temperature variables and their interactions are unaffected by the decision to </w:t>
      </w:r>
      <w:r>
        <w:rPr>
          <w:sz w:val="20"/>
          <w:szCs w:val="20"/>
        </w:rPr>
        <w:t>exclude duplicate</w:t>
      </w:r>
      <w:r w:rsidRPr="009263A5">
        <w:rPr>
          <w:sz w:val="20"/>
          <w:szCs w:val="20"/>
        </w:rPr>
        <w:t xml:space="preserve"> estimates</w:t>
      </w:r>
      <w:r>
        <w:rPr>
          <w:sz w:val="20"/>
          <w:szCs w:val="20"/>
        </w:rPr>
        <w:t>,</w:t>
      </w:r>
      <w:r w:rsidRPr="009263A5">
        <w:rPr>
          <w:sz w:val="20"/>
          <w:szCs w:val="20"/>
        </w:rPr>
        <w:t xml:space="preserve"> at the</w:t>
      </w:r>
      <w:r>
        <w:rPr>
          <w:sz w:val="20"/>
          <w:szCs w:val="20"/>
        </w:rPr>
        <w:t xml:space="preserve"> 5%</w:t>
      </w:r>
      <w:r w:rsidRPr="009263A5">
        <w:rPr>
          <w:sz w:val="20"/>
          <w:szCs w:val="20"/>
        </w:rPr>
        <w:t xml:space="preserve"> significance level. Again at the </w:t>
      </w:r>
      <w:r>
        <w:rPr>
          <w:sz w:val="20"/>
          <w:szCs w:val="20"/>
        </w:rPr>
        <w:t>5%</w:t>
      </w:r>
      <w:r w:rsidRPr="009263A5">
        <w:rPr>
          <w:sz w:val="20"/>
          <w:szCs w:val="20"/>
        </w:rPr>
        <w:t xml:space="preserve"> significance level, these results also hold when we consider only the coefficients corresponding to non-catastrophic damages (i.e., temperature squared) and total damages (i.e., temperature squared and its interaction with the catastrophic indicator variable), regardless of whether we consider </w:t>
      </w:r>
      <w:r w:rsidRPr="00266133">
        <w:rPr>
          <w:sz w:val="20"/>
          <w:szCs w:val="20"/>
        </w:rPr>
        <w:t>productivity jointly. When we exclude high-temperature estimates</w:t>
      </w:r>
      <w:r w:rsidRPr="00503B68">
        <w:rPr>
          <w:sz w:val="20"/>
          <w:szCs w:val="20"/>
        </w:rPr>
        <w:t xml:space="preserve">, duplication bias is the </w:t>
      </w:r>
      <w:r w:rsidRPr="003608C4">
        <w:rPr>
          <w:sz w:val="20"/>
          <w:szCs w:val="20"/>
        </w:rPr>
        <w:t>second</w:t>
      </w:r>
      <w:r w:rsidRPr="00266133">
        <w:rPr>
          <w:sz w:val="20"/>
          <w:szCs w:val="20"/>
        </w:rPr>
        <w:t xml:space="preserve"> most important adjustment that we make to the Tol (2014) results with respect to the percentage change in the social cost of carbon, and the magnitude of the impact is quite large. With the inclusion of high-temperature damage estimates, duplication bias becomes relatively less important</w:t>
      </w:r>
      <w:r>
        <w:rPr>
          <w:sz w:val="20"/>
          <w:szCs w:val="20"/>
        </w:rPr>
        <w:t>.</w:t>
      </w:r>
      <w:r w:rsidRPr="00266133">
        <w:rPr>
          <w:sz w:val="20"/>
          <w:szCs w:val="20"/>
        </w:rPr>
        <w:t xml:space="preserve"> </w:t>
      </w:r>
      <w:r w:rsidRPr="00266133" w:rsidDel="00B50D9B">
        <w:rPr>
          <w:rStyle w:val="FootnoteReference"/>
        </w:rPr>
        <w:t xml:space="preserve"> </w:t>
      </w:r>
    </w:p>
    <w:p w:rsidR="00EC2A52" w:rsidRPr="009263A5" w:rsidRDefault="00EC2A52" w:rsidP="00EC2A52">
      <w:pPr>
        <w:spacing w:line="480" w:lineRule="auto"/>
        <w:ind w:firstLine="360"/>
        <w:jc w:val="both"/>
        <w:rPr>
          <w:sz w:val="20"/>
          <w:szCs w:val="20"/>
        </w:rPr>
      </w:pPr>
      <w:r w:rsidRPr="00266133">
        <w:rPr>
          <w:sz w:val="20"/>
          <w:szCs w:val="20"/>
        </w:rPr>
        <w:t>Overall, our adjustments significantly influence the SCC, particularly</w:t>
      </w:r>
      <w:r w:rsidRPr="009263A5">
        <w:rPr>
          <w:sz w:val="20"/>
          <w:szCs w:val="20"/>
        </w:rPr>
        <w:t xml:space="preserve"> when we exclude high-temperature impacts, include catastrophic climate impacts, and/or account for climate impacts on productivity. </w:t>
      </w:r>
      <w:r>
        <w:rPr>
          <w:sz w:val="20"/>
          <w:szCs w:val="20"/>
        </w:rPr>
        <w:t>When we f</w:t>
      </w:r>
      <w:r w:rsidRPr="009263A5">
        <w:rPr>
          <w:sz w:val="20"/>
          <w:szCs w:val="20"/>
        </w:rPr>
        <w:t xml:space="preserve">ocus solely on damage estimates corresponding </w:t>
      </w:r>
      <w:r>
        <w:rPr>
          <w:sz w:val="20"/>
          <w:szCs w:val="20"/>
        </w:rPr>
        <w:t xml:space="preserve">to </w:t>
      </w:r>
      <w:r w:rsidRPr="009263A5">
        <w:rPr>
          <w:sz w:val="20"/>
          <w:szCs w:val="20"/>
        </w:rPr>
        <w:t>low</w:t>
      </w:r>
      <w:r>
        <w:rPr>
          <w:sz w:val="20"/>
          <w:szCs w:val="20"/>
        </w:rPr>
        <w:t>-</w:t>
      </w:r>
      <w:r w:rsidRPr="009263A5">
        <w:rPr>
          <w:sz w:val="20"/>
          <w:szCs w:val="20"/>
        </w:rPr>
        <w:t>temperatures (i.e.,</w:t>
      </w:r>
      <w:r>
        <w:rPr>
          <w:sz w:val="20"/>
          <w:szCs w:val="20"/>
        </w:rPr>
        <w:t xml:space="preserve"> </w:t>
      </w:r>
      <w:r w:rsidRPr="009263A5">
        <w:rPr>
          <w:sz w:val="20"/>
          <w:szCs w:val="20"/>
        </w:rPr>
        <w:t xml:space="preserve">≤ 4°C), addressing potential biases increases the SCC (in 2015) </w:t>
      </w:r>
      <w:r>
        <w:rPr>
          <w:sz w:val="20"/>
          <w:szCs w:val="20"/>
        </w:rPr>
        <w:t xml:space="preserve">that </w:t>
      </w:r>
      <w:r w:rsidRPr="009263A5">
        <w:rPr>
          <w:sz w:val="20"/>
          <w:szCs w:val="20"/>
        </w:rPr>
        <w:t>correspond</w:t>
      </w:r>
      <w:r>
        <w:rPr>
          <w:sz w:val="20"/>
          <w:szCs w:val="20"/>
        </w:rPr>
        <w:t>s</w:t>
      </w:r>
      <w:r w:rsidRPr="009263A5">
        <w:rPr>
          <w:sz w:val="20"/>
          <w:szCs w:val="20"/>
        </w:rPr>
        <w:t xml:space="preserve"> solely to non-catastrophic impacts by one-fifth to </w:t>
      </w:r>
      <w:r>
        <w:rPr>
          <w:sz w:val="20"/>
          <w:szCs w:val="20"/>
        </w:rPr>
        <w:t>three-fold</w:t>
      </w:r>
      <w:r w:rsidRPr="009263A5">
        <w:rPr>
          <w:sz w:val="20"/>
          <w:szCs w:val="20"/>
        </w:rPr>
        <w:t xml:space="preserve"> from </w:t>
      </w:r>
      <w:r>
        <w:rPr>
          <w:sz w:val="20"/>
          <w:szCs w:val="20"/>
        </w:rPr>
        <w:t>S</w:t>
      </w:r>
      <w:r w:rsidRPr="009263A5">
        <w:rPr>
          <w:sz w:val="20"/>
          <w:szCs w:val="20"/>
        </w:rPr>
        <w:t>pecification (1) to (5) in Table C2</w:t>
      </w:r>
      <w:r>
        <w:rPr>
          <w:sz w:val="20"/>
          <w:szCs w:val="20"/>
        </w:rPr>
        <w:t>,</w:t>
      </w:r>
      <w:r w:rsidRPr="009263A5">
        <w:rPr>
          <w:sz w:val="20"/>
          <w:szCs w:val="20"/>
        </w:rPr>
        <w:t xml:space="preserve"> depending on whether we account for the impact of climate change on economic productivity; however, this represents a six-fold to </w:t>
      </w:r>
      <w:r>
        <w:rPr>
          <w:sz w:val="20"/>
          <w:szCs w:val="20"/>
        </w:rPr>
        <w:t>thirteen</w:t>
      </w:r>
      <w:r w:rsidRPr="009263A5">
        <w:rPr>
          <w:sz w:val="20"/>
          <w:szCs w:val="20"/>
        </w:rPr>
        <w:t xml:space="preserve">-fold increase relative to the original Tol (2014) temperature-damage relationship (i.e., </w:t>
      </w:r>
      <w:r>
        <w:rPr>
          <w:sz w:val="20"/>
          <w:szCs w:val="20"/>
        </w:rPr>
        <w:t>S</w:t>
      </w:r>
      <w:r w:rsidRPr="009263A5">
        <w:rPr>
          <w:sz w:val="20"/>
          <w:szCs w:val="20"/>
        </w:rPr>
        <w:t>pecification (0) in Table C2) of $18/ton. If we consider total climate impacts (both non-catastrophic and catastrophic), addressing the above biases increases the SCC (in 2015) by two-</w:t>
      </w:r>
      <w:r>
        <w:rPr>
          <w:sz w:val="20"/>
          <w:szCs w:val="20"/>
        </w:rPr>
        <w:t>fifths</w:t>
      </w:r>
      <w:r w:rsidRPr="009263A5">
        <w:rPr>
          <w:sz w:val="20"/>
          <w:szCs w:val="20"/>
        </w:rPr>
        <w:t xml:space="preserve"> to three-fold</w:t>
      </w:r>
      <w:r>
        <w:rPr>
          <w:sz w:val="20"/>
          <w:szCs w:val="20"/>
        </w:rPr>
        <w:t>,</w:t>
      </w:r>
      <w:r w:rsidRPr="009263A5">
        <w:rPr>
          <w:sz w:val="20"/>
          <w:szCs w:val="20"/>
        </w:rPr>
        <w:t xml:space="preserve"> depending on the treatment of productivity (</w:t>
      </w:r>
      <w:r>
        <w:rPr>
          <w:sz w:val="20"/>
          <w:szCs w:val="20"/>
        </w:rPr>
        <w:t>eight</w:t>
      </w:r>
      <w:r w:rsidRPr="009263A5">
        <w:rPr>
          <w:sz w:val="20"/>
          <w:szCs w:val="20"/>
        </w:rPr>
        <w:t>-fold to f</w:t>
      </w:r>
      <w:r>
        <w:rPr>
          <w:sz w:val="20"/>
          <w:szCs w:val="20"/>
        </w:rPr>
        <w:t>ifteen</w:t>
      </w:r>
      <w:r w:rsidRPr="009263A5">
        <w:rPr>
          <w:sz w:val="20"/>
          <w:szCs w:val="20"/>
        </w:rPr>
        <w:t xml:space="preserve">-fold relative to the original Tol (2014) estimate). </w:t>
      </w:r>
    </w:p>
    <w:p w:rsidR="00EC2A52" w:rsidRPr="009263A5" w:rsidRDefault="00EC2A52" w:rsidP="00EC2A52">
      <w:pPr>
        <w:spacing w:line="480" w:lineRule="auto"/>
        <w:ind w:firstLine="360"/>
        <w:jc w:val="both"/>
        <w:rPr>
          <w:sz w:val="20"/>
          <w:szCs w:val="20"/>
        </w:rPr>
      </w:pPr>
      <w:r w:rsidRPr="009263A5">
        <w:rPr>
          <w:sz w:val="20"/>
          <w:szCs w:val="20"/>
        </w:rPr>
        <w:t xml:space="preserve">Unsurprisingly given the flattening effect on the temperature-damage relationship when damage estimates corresponding to high-temperature increases are included, we generally find a smaller impact of our modifications </w:t>
      </w:r>
      <w:r w:rsidRPr="009263A5">
        <w:rPr>
          <w:sz w:val="20"/>
          <w:szCs w:val="20"/>
        </w:rPr>
        <w:lastRenderedPageBreak/>
        <w:t>on the SCC when we include them; see Table C3. However, the 2015 SCC estimates corresponding to this dataset are still far above the $18 estimated using the original Tol (2014) damage function; the increase of the SCC is in the range of one-</w:t>
      </w:r>
      <w:r>
        <w:rPr>
          <w:sz w:val="20"/>
          <w:szCs w:val="20"/>
        </w:rPr>
        <w:t>quarter</w:t>
      </w:r>
      <w:r w:rsidRPr="009263A5">
        <w:rPr>
          <w:sz w:val="20"/>
          <w:szCs w:val="20"/>
        </w:rPr>
        <w:t xml:space="preserve"> to </w:t>
      </w:r>
      <w:r>
        <w:rPr>
          <w:sz w:val="20"/>
          <w:szCs w:val="20"/>
        </w:rPr>
        <w:t>eleven</w:t>
      </w:r>
      <w:r w:rsidRPr="009263A5">
        <w:rPr>
          <w:sz w:val="20"/>
          <w:szCs w:val="20"/>
        </w:rPr>
        <w:t xml:space="preserve">-fold when considering only non-catastrophic climate impacts and </w:t>
      </w:r>
      <w:r>
        <w:rPr>
          <w:sz w:val="20"/>
          <w:szCs w:val="20"/>
        </w:rPr>
        <w:t>four</w:t>
      </w:r>
      <w:r w:rsidRPr="009263A5">
        <w:rPr>
          <w:sz w:val="20"/>
          <w:szCs w:val="20"/>
        </w:rPr>
        <w:t>-fold to six</w:t>
      </w:r>
      <w:r>
        <w:rPr>
          <w:sz w:val="20"/>
          <w:szCs w:val="20"/>
        </w:rPr>
        <w:t>teen</w:t>
      </w:r>
      <w:r w:rsidRPr="009263A5">
        <w:rPr>
          <w:sz w:val="20"/>
          <w:szCs w:val="20"/>
        </w:rPr>
        <w:t>-fold when considering total climate impacts</w:t>
      </w:r>
      <w:r>
        <w:rPr>
          <w:sz w:val="20"/>
          <w:szCs w:val="20"/>
        </w:rPr>
        <w:t>,</w:t>
      </w:r>
      <w:r w:rsidRPr="009263A5">
        <w:rPr>
          <w:sz w:val="20"/>
          <w:szCs w:val="20"/>
        </w:rPr>
        <w:t xml:space="preserve"> where the range is dependent on the inclusion of the impact of climate change on productivity.</w:t>
      </w:r>
    </w:p>
    <w:p w:rsidR="00EC2A52" w:rsidRPr="009263A5" w:rsidRDefault="00EC2A52" w:rsidP="00EC2A52">
      <w:pPr>
        <w:spacing w:before="200" w:after="200" w:line="480" w:lineRule="auto"/>
        <w:jc w:val="both"/>
        <w:rPr>
          <w:i/>
          <w:sz w:val="20"/>
          <w:szCs w:val="20"/>
        </w:rPr>
      </w:pPr>
      <w:r w:rsidRPr="009263A5">
        <w:rPr>
          <w:i/>
          <w:sz w:val="20"/>
          <w:szCs w:val="20"/>
        </w:rPr>
        <w:t>Appendix C2. Alternative Functional Forms</w:t>
      </w:r>
    </w:p>
    <w:p w:rsidR="00EC2A52" w:rsidRPr="009263A5" w:rsidRDefault="00EC2A52" w:rsidP="00EC2A52">
      <w:pPr>
        <w:spacing w:line="480" w:lineRule="auto"/>
        <w:ind w:firstLine="360"/>
        <w:jc w:val="both"/>
        <w:rPr>
          <w:sz w:val="20"/>
          <w:szCs w:val="20"/>
        </w:rPr>
      </w:pPr>
      <w:r w:rsidRPr="009263A5">
        <w:rPr>
          <w:sz w:val="20"/>
          <w:szCs w:val="20"/>
        </w:rPr>
        <w:t xml:space="preserve">The higher adjusted-R2 squares </w:t>
      </w:r>
      <w:r>
        <w:rPr>
          <w:sz w:val="20"/>
          <w:szCs w:val="20"/>
        </w:rPr>
        <w:t xml:space="preserve">and log likelihood values </w:t>
      </w:r>
      <w:r w:rsidRPr="009263A5">
        <w:rPr>
          <w:sz w:val="20"/>
          <w:szCs w:val="20"/>
        </w:rPr>
        <w:t>of the Tol (2014) damage specification relative to the Nordhaus (2013) damage specification highlights the need to consider alternative functional forms for the damage function. Most alternatives in the literature (Tol, 2015</w:t>
      </w:r>
      <w:r>
        <w:rPr>
          <w:sz w:val="20"/>
          <w:szCs w:val="20"/>
        </w:rPr>
        <w:t>a</w:t>
      </w:r>
      <w:r w:rsidRPr="009263A5">
        <w:rPr>
          <w:sz w:val="20"/>
          <w:szCs w:val="20"/>
        </w:rPr>
        <w:t xml:space="preserve">; Kopp et al. 2012) are a variant of the functional form </w:t>
      </w:r>
    </w:p>
    <w:p w:rsidR="00EC2A52" w:rsidRPr="009263A5" w:rsidRDefault="00EC2A52" w:rsidP="00EC2A52">
      <w:pPr>
        <w:spacing w:line="480" w:lineRule="auto"/>
        <w:ind w:firstLine="360"/>
        <w:jc w:val="center"/>
        <w:rPr>
          <w:rFonts w:eastAsiaTheme="minorEastAsia"/>
          <w:sz w:val="20"/>
          <w:szCs w:val="20"/>
        </w:rPr>
      </w:pP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r>
          <w:rPr>
            <w:rFonts w:ascii="Cambria Math" w:hAnsi="Cambria Math"/>
            <w:sz w:val="20"/>
            <w:szCs w:val="20"/>
          </w:rPr>
          <m:t>T</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3</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4</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4</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6</m:t>
            </m:r>
          </m:sup>
        </m:sSup>
      </m:oMath>
      <w:r w:rsidRPr="009263A5">
        <w:rPr>
          <w:rFonts w:eastAsiaTheme="minorEastAsia"/>
          <w:sz w:val="20"/>
          <w:szCs w:val="20"/>
        </w:rPr>
        <w:t>.</w:t>
      </w:r>
    </w:p>
    <w:p w:rsidR="00EC2A52" w:rsidRPr="00836521" w:rsidRDefault="00EC2A52" w:rsidP="00EC2A52">
      <w:pPr>
        <w:spacing w:line="480" w:lineRule="auto"/>
        <w:jc w:val="both"/>
        <w:rPr>
          <w:i/>
          <w:sz w:val="20"/>
          <w:szCs w:val="20"/>
        </w:rPr>
      </w:pPr>
      <w:r w:rsidRPr="009263A5">
        <w:rPr>
          <w:rFonts w:eastAsiaTheme="minorEastAsia"/>
          <w:sz w:val="20"/>
          <w:szCs w:val="20"/>
        </w:rPr>
        <w:t xml:space="preserve">To derive a new estimation equation (i.e., </w:t>
      </w:r>
      <w:r>
        <w:rPr>
          <w:rFonts w:eastAsiaTheme="minorEastAsia"/>
          <w:sz w:val="20"/>
          <w:szCs w:val="20"/>
        </w:rPr>
        <w:t>Equation</w:t>
      </w:r>
      <w:r w:rsidRPr="009263A5">
        <w:rPr>
          <w:rFonts w:eastAsiaTheme="minorEastAsia"/>
          <w:sz w:val="20"/>
          <w:szCs w:val="20"/>
        </w:rPr>
        <w:t xml:space="preserve"> (4) in the main text), we replace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α</m:t>
        </m:r>
      </m:oMath>
      <w:r w:rsidRPr="009263A5">
        <w:rPr>
          <w:rFonts w:eastAsiaTheme="minorEastAsia"/>
          <w:sz w:val="20"/>
          <w:szCs w:val="20"/>
        </w:rPr>
        <w:t xml:space="preserve"> in </w:t>
      </w:r>
      <w:r>
        <w:rPr>
          <w:rFonts w:eastAsiaTheme="minorEastAsia"/>
          <w:sz w:val="20"/>
          <w:szCs w:val="20"/>
        </w:rPr>
        <w:t>Equation</w:t>
      </w:r>
      <w:r w:rsidRPr="009263A5">
        <w:rPr>
          <w:rFonts w:eastAsiaTheme="minorEastAsia"/>
          <w:sz w:val="20"/>
          <w:szCs w:val="20"/>
        </w:rPr>
        <w:t xml:space="preserve"> (2) in the main text with the various author assumptions: (1) Nordhaus (2013) assumes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oMath>
      <w:r w:rsidRPr="009263A5">
        <w:rPr>
          <w:rFonts w:eastAsiaTheme="minorEastAsia"/>
          <w:sz w:val="20"/>
          <w:szCs w:val="20"/>
        </w:rPr>
        <w:t xml:space="preserve">; (2) Burke et al. (2015) find that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r>
          <w:rPr>
            <w:rFonts w:ascii="Cambria Math" w:hAnsi="Cambria Math"/>
            <w:sz w:val="20"/>
            <w:szCs w:val="20"/>
          </w:rPr>
          <m:t>T</m:t>
        </m:r>
      </m:oMath>
      <w:r w:rsidRPr="009263A5">
        <w:rPr>
          <w:sz w:val="20"/>
          <w:szCs w:val="20"/>
        </w:rPr>
        <w:t xml:space="preserve"> is a potential alternative; (3) Tol (2009; 2014) support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r>
              <w:rPr>
                <w:rFonts w:ascii="Cambria Math" w:hAnsi="Cambria Math"/>
                <w:sz w:val="20"/>
                <w:szCs w:val="20"/>
              </w:rPr>
              <m:t>T+α</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oMath>
      <w:r w:rsidRPr="009263A5">
        <w:rPr>
          <w:rFonts w:eastAsiaTheme="minorEastAsia"/>
          <w:sz w:val="20"/>
          <w:szCs w:val="20"/>
        </w:rPr>
        <w:t xml:space="preserve">; (4) </w:t>
      </w:r>
      <w:r w:rsidRPr="009263A5">
        <w:rPr>
          <w:sz w:val="20"/>
          <w:szCs w:val="20"/>
        </w:rPr>
        <w:t xml:space="preserve">Azar and Lindgren (2003) adopt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3</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4</m:t>
            </m:r>
          </m:sup>
        </m:sSup>
      </m:oMath>
      <w:r w:rsidRPr="009263A5">
        <w:rPr>
          <w:rFonts w:eastAsiaTheme="minorEastAsia"/>
          <w:sz w:val="20"/>
          <w:szCs w:val="20"/>
        </w:rPr>
        <w:t xml:space="preserve">; (5) Weitzman (2012) backs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4</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6</m:t>
            </m:r>
          </m:sup>
        </m:sSup>
      </m:oMath>
      <w:r w:rsidRPr="009263A5">
        <w:rPr>
          <w:rFonts w:eastAsiaTheme="minorEastAsia"/>
          <w:sz w:val="20"/>
          <w:szCs w:val="20"/>
        </w:rPr>
        <w:t xml:space="preserve"> as another alternative</w:t>
      </w:r>
      <w:r w:rsidRPr="00586BF6">
        <w:rPr>
          <w:rFonts w:eastAsiaTheme="minorEastAsia"/>
          <w:sz w:val="20"/>
          <w:szCs w:val="20"/>
        </w:rPr>
        <w:t xml:space="preserve">; and </w:t>
      </w:r>
      <w:r w:rsidRPr="003608C4">
        <w:rPr>
          <w:rFonts w:eastAsiaTheme="minorEastAsia"/>
          <w:sz w:val="20"/>
          <w:szCs w:val="20"/>
        </w:rPr>
        <w:t>(6) Newbold and Marten (2014) introduce</w:t>
      </w:r>
      <w:r w:rsidRPr="00586BF6">
        <w:rPr>
          <w:rFonts w:eastAsiaTheme="minorEastAsia"/>
          <w:sz w:val="20"/>
          <w:szCs w:val="20"/>
        </w:rPr>
        <w:t xml:space="preserve"> a piecewise linear function where </w:t>
      </w:r>
      <m:oMath>
        <m:r>
          <w:rPr>
            <w:rFonts w:ascii="Cambria Math" w:eastAsiaTheme="minorEastAsia" w:hAnsi="Cambria Math"/>
            <w:sz w:val="20"/>
            <w:szCs w:val="20"/>
          </w:rPr>
          <m:t>g</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1,1</m:t>
            </m:r>
          </m:sub>
        </m:sSub>
        <m:r>
          <w:rPr>
            <w:rFonts w:ascii="Cambria Math" w:hAnsi="Cambria Math"/>
            <w:sz w:val="20"/>
            <w:szCs w:val="20"/>
          </w:rPr>
          <m:t>T+</m:t>
        </m:r>
        <m:d>
          <m:dPr>
            <m:begChr m:val="["/>
            <m:endChr m:val="]"/>
            <m:ctrlPr>
              <w:rPr>
                <w:rFonts w:ascii="Cambria Math" w:hAnsi="Cambria Math"/>
                <w:i/>
                <w:sz w:val="20"/>
                <w:szCs w:val="20"/>
              </w:rPr>
            </m:ctrlPr>
          </m:dPr>
          <m:e>
            <m:r>
              <w:rPr>
                <w:rFonts w:ascii="Cambria Math" w:hAnsi="Cambria Math"/>
                <w:sz w:val="20"/>
                <w:szCs w:val="20"/>
              </w:rPr>
              <m:t xml:space="preserve">1 </m:t>
            </m:r>
            <m:r>
              <m:rPr>
                <m:sty m:val="p"/>
              </m:rPr>
              <w:rPr>
                <w:rFonts w:ascii="Cambria Math" w:hAnsi="Cambria Math"/>
                <w:sz w:val="20"/>
                <w:szCs w:val="20"/>
              </w:rPr>
              <m:t xml:space="preserve">if </m:t>
            </m:r>
            <m:r>
              <w:rPr>
                <w:rFonts w:ascii="Cambria Math" w:hAnsi="Cambria Math"/>
                <w:sz w:val="20"/>
                <w:szCs w:val="20"/>
              </w:rPr>
              <m:t>T&gt;b</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1,2</m:t>
            </m:r>
          </m:sub>
        </m:sSub>
        <m:d>
          <m:dPr>
            <m:ctrlPr>
              <w:rPr>
                <w:rFonts w:ascii="Cambria Math" w:hAnsi="Cambria Math"/>
                <w:i/>
                <w:sz w:val="20"/>
                <w:szCs w:val="20"/>
              </w:rPr>
            </m:ctrlPr>
          </m:dPr>
          <m:e>
            <m:r>
              <w:rPr>
                <w:rFonts w:ascii="Cambria Math" w:hAnsi="Cambria Math"/>
                <w:sz w:val="20"/>
                <w:szCs w:val="20"/>
              </w:rPr>
              <m:t>T-b</m:t>
            </m:r>
          </m:e>
        </m:d>
      </m:oMath>
      <w:r w:rsidRPr="00586BF6">
        <w:rPr>
          <w:rFonts w:eastAsiaTheme="minorEastAsia"/>
          <w:sz w:val="20"/>
          <w:szCs w:val="20"/>
        </w:rPr>
        <w:t xml:space="preserve"> and </w:t>
      </w:r>
      <w:r w:rsidRPr="003608C4">
        <w:rPr>
          <w:rFonts w:eastAsiaTheme="minorEastAsia"/>
          <w:i/>
          <w:sz w:val="20"/>
          <w:szCs w:val="20"/>
        </w:rPr>
        <w:t xml:space="preserve">b </w:t>
      </w:r>
      <w:r w:rsidRPr="003608C4">
        <w:rPr>
          <w:rFonts w:eastAsiaTheme="minorEastAsia"/>
          <w:sz w:val="20"/>
          <w:szCs w:val="20"/>
        </w:rPr>
        <w:t xml:space="preserve">is the breaking point above which the slope of the linear damage function switches from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1,1</m:t>
            </m:r>
          </m:sub>
        </m:sSub>
      </m:oMath>
      <w:r w:rsidRPr="00586BF6">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1,2</m:t>
            </m:r>
          </m:sub>
        </m:sSub>
      </m:oMath>
      <w:r w:rsidRPr="00836521">
        <w:rPr>
          <w:rFonts w:eastAsiaTheme="minorEastAsia"/>
          <w:sz w:val="20"/>
          <w:szCs w:val="20"/>
        </w:rPr>
        <w:t xml:space="preserve"> (we cho</w:t>
      </w:r>
      <w:r>
        <w:rPr>
          <w:rFonts w:eastAsiaTheme="minorEastAsia"/>
          <w:sz w:val="20"/>
          <w:szCs w:val="20"/>
        </w:rPr>
        <w:t>o</w:t>
      </w:r>
      <w:r w:rsidRPr="00836521">
        <w:rPr>
          <w:rFonts w:eastAsiaTheme="minorEastAsia"/>
          <w:sz w:val="20"/>
          <w:szCs w:val="20"/>
        </w:rPr>
        <w:t>se the breaking</w:t>
      </w:r>
      <w:r w:rsidRPr="00586BF6">
        <w:rPr>
          <w:rFonts w:eastAsiaTheme="minorEastAsia"/>
          <w:sz w:val="20"/>
          <w:szCs w:val="20"/>
        </w:rPr>
        <w:t xml:space="preserve"> point that maximizes adjusted R-squared and that happens to </w:t>
      </w:r>
      <w:r>
        <w:rPr>
          <w:rFonts w:eastAsiaTheme="minorEastAsia"/>
          <w:sz w:val="20"/>
          <w:szCs w:val="20"/>
        </w:rPr>
        <w:t>maximize</w:t>
      </w:r>
      <w:r w:rsidRPr="00586BF6">
        <w:rPr>
          <w:rFonts w:eastAsiaTheme="minorEastAsia"/>
          <w:sz w:val="20"/>
          <w:szCs w:val="20"/>
        </w:rPr>
        <w:t xml:space="preserve"> the log-li</w:t>
      </w:r>
      <w:r w:rsidRPr="003608C4">
        <w:rPr>
          <w:rFonts w:eastAsiaTheme="minorEastAsia"/>
          <w:sz w:val="20"/>
          <w:szCs w:val="20"/>
        </w:rPr>
        <w:t>kelihood value).</w:t>
      </w:r>
      <w:r w:rsidRPr="009263A5">
        <w:rPr>
          <w:rFonts w:eastAsiaTheme="minorEastAsia"/>
          <w:sz w:val="20"/>
          <w:szCs w:val="20"/>
        </w:rPr>
        <w:t xml:space="preserve"> Given the sensitivity of </w:t>
      </w:r>
      <w:r>
        <w:rPr>
          <w:rFonts w:eastAsiaTheme="minorEastAsia"/>
          <w:sz w:val="20"/>
          <w:szCs w:val="20"/>
        </w:rPr>
        <w:t xml:space="preserve">the </w:t>
      </w:r>
      <w:r w:rsidRPr="009263A5">
        <w:rPr>
          <w:rFonts w:eastAsiaTheme="minorEastAsia"/>
          <w:sz w:val="20"/>
          <w:szCs w:val="20"/>
        </w:rPr>
        <w:t xml:space="preserve">Tol (2014) </w:t>
      </w:r>
      <w:r>
        <w:rPr>
          <w:rFonts w:eastAsiaTheme="minorEastAsia"/>
          <w:sz w:val="20"/>
          <w:szCs w:val="20"/>
        </w:rPr>
        <w:t xml:space="preserve">damage specification </w:t>
      </w:r>
      <w:r w:rsidRPr="009263A5">
        <w:rPr>
          <w:rFonts w:eastAsiaTheme="minorEastAsia"/>
          <w:sz w:val="20"/>
          <w:szCs w:val="20"/>
        </w:rPr>
        <w:t>to high-temperature estimates, we re-</w:t>
      </w:r>
      <w:r w:rsidRPr="00836521">
        <w:rPr>
          <w:rFonts w:eastAsiaTheme="minorEastAsia"/>
          <w:sz w:val="20"/>
          <w:szCs w:val="20"/>
        </w:rPr>
        <w:t xml:space="preserve">estimate the preferred specifications in Table 2 using these variants with and without high-temperature estimates (i.e., &gt;4°C); see Table C4. </w:t>
      </w:r>
      <w:r w:rsidRPr="00836521">
        <w:rPr>
          <w:sz w:val="20"/>
          <w:szCs w:val="20"/>
        </w:rPr>
        <w:t xml:space="preserve">In general, we find that the signs of the coefficients correspond to our </w:t>
      </w:r>
      <w:r w:rsidRPr="00836521">
        <w:rPr>
          <w:i/>
          <w:sz w:val="20"/>
          <w:szCs w:val="20"/>
        </w:rPr>
        <w:t xml:space="preserve">a priori </w:t>
      </w:r>
      <w:r w:rsidRPr="00836521">
        <w:rPr>
          <w:sz w:val="20"/>
          <w:szCs w:val="20"/>
        </w:rPr>
        <w:t>hypothesis regardless of functional form and that many of the similar coefficients are significant.</w:t>
      </w:r>
    </w:p>
    <w:p w:rsidR="00EC2A52" w:rsidRPr="00836521" w:rsidRDefault="00EC2A52" w:rsidP="00EC2A52">
      <w:pPr>
        <w:spacing w:line="480" w:lineRule="auto"/>
        <w:ind w:firstLine="360"/>
        <w:jc w:val="both"/>
        <w:rPr>
          <w:sz w:val="20"/>
          <w:szCs w:val="20"/>
        </w:rPr>
      </w:pPr>
      <w:r w:rsidRPr="00836521">
        <w:rPr>
          <w:rFonts w:eastAsiaTheme="minorEastAsia"/>
          <w:sz w:val="20"/>
          <w:szCs w:val="20"/>
        </w:rPr>
        <w:t xml:space="preserve">The functional forms that best explain the variation in the data depends on whether we include high-temperature damage estimates. When we exclude high-temperature damage estimates, </w:t>
      </w:r>
      <w:r w:rsidRPr="00836521">
        <w:rPr>
          <w:sz w:val="20"/>
          <w:szCs w:val="20"/>
        </w:rPr>
        <w:t xml:space="preserve">we find that the Azar and Lindgren (2003) functional form best fits the data </w:t>
      </w:r>
      <w:r w:rsidRPr="00836521">
        <w:rPr>
          <w:rFonts w:eastAsiaTheme="minorEastAsia"/>
          <w:sz w:val="20"/>
          <w:szCs w:val="20"/>
        </w:rPr>
        <w:t>(as measured by adjusted R-squared)</w:t>
      </w:r>
      <w:r w:rsidRPr="00836521">
        <w:rPr>
          <w:sz w:val="20"/>
          <w:szCs w:val="20"/>
        </w:rPr>
        <w:t>, followed by the</w:t>
      </w:r>
      <w:r>
        <w:rPr>
          <w:sz w:val="20"/>
          <w:szCs w:val="20"/>
        </w:rPr>
        <w:t xml:space="preserve"> damage specifications (in descending order) of</w:t>
      </w:r>
      <w:r w:rsidRPr="00836521">
        <w:rPr>
          <w:sz w:val="20"/>
          <w:szCs w:val="20"/>
        </w:rPr>
        <w:t xml:space="preserve"> Tol (2014), Weitzman (2012), </w:t>
      </w:r>
      <w:r w:rsidRPr="00836521">
        <w:rPr>
          <w:rFonts w:eastAsiaTheme="minorEastAsia"/>
          <w:sz w:val="20"/>
          <w:szCs w:val="20"/>
        </w:rPr>
        <w:t>Newbold and Marten (2014),</w:t>
      </w:r>
      <w:r w:rsidRPr="00836521">
        <w:rPr>
          <w:sz w:val="20"/>
          <w:szCs w:val="20"/>
        </w:rPr>
        <w:t xml:space="preserve"> and Nordhaus (2013) – although the variation in fit is relatively small for the latter four. However, our estimate of the Azar and Lindgren (2003) functional form </w:t>
      </w:r>
      <w:r w:rsidRPr="002D03A9">
        <w:rPr>
          <w:sz w:val="20"/>
          <w:szCs w:val="20"/>
        </w:rPr>
        <w:t>implies</w:t>
      </w:r>
      <w:r w:rsidRPr="00836521">
        <w:rPr>
          <w:sz w:val="20"/>
          <w:szCs w:val="20"/>
        </w:rPr>
        <w:t xml:space="preserve"> unlikely </w:t>
      </w:r>
      <w:r w:rsidRPr="002D03A9">
        <w:rPr>
          <w:sz w:val="20"/>
          <w:szCs w:val="20"/>
        </w:rPr>
        <w:t>high damages</w:t>
      </w:r>
      <w:r w:rsidRPr="00836521">
        <w:rPr>
          <w:sz w:val="20"/>
          <w:szCs w:val="20"/>
        </w:rPr>
        <w:t xml:space="preserve"> for high-temperature increases (particular above 6°C). Furthermore, </w:t>
      </w:r>
      <w:r w:rsidRPr="00836521">
        <w:rPr>
          <w:sz w:val="20"/>
          <w:szCs w:val="20"/>
        </w:rPr>
        <w:lastRenderedPageBreak/>
        <w:t xml:space="preserve">that functional form does not perform well in terms of fit when these higher temperature estimates are included. Instead, the </w:t>
      </w:r>
      <w:r w:rsidRPr="00836521">
        <w:rPr>
          <w:rFonts w:eastAsiaTheme="minorEastAsia"/>
          <w:sz w:val="20"/>
          <w:szCs w:val="20"/>
        </w:rPr>
        <w:t xml:space="preserve">Newbold and Marten (2014) damage specification </w:t>
      </w:r>
      <w:r w:rsidRPr="00836521">
        <w:rPr>
          <w:sz w:val="20"/>
          <w:szCs w:val="20"/>
        </w:rPr>
        <w:t xml:space="preserve">followed by the </w:t>
      </w:r>
      <w:r>
        <w:rPr>
          <w:sz w:val="20"/>
          <w:szCs w:val="20"/>
        </w:rPr>
        <w:t xml:space="preserve">functional forms (in descending order) of </w:t>
      </w:r>
      <w:r w:rsidRPr="00836521">
        <w:rPr>
          <w:sz w:val="20"/>
          <w:szCs w:val="20"/>
        </w:rPr>
        <w:t>Weitzman (2012), Tol (2009), and Nordhaus (2013)</w:t>
      </w:r>
      <w:r>
        <w:rPr>
          <w:sz w:val="20"/>
          <w:szCs w:val="20"/>
        </w:rPr>
        <w:t xml:space="preserve"> </w:t>
      </w:r>
      <w:r w:rsidRPr="00836521">
        <w:rPr>
          <w:sz w:val="20"/>
          <w:szCs w:val="20"/>
        </w:rPr>
        <w:t xml:space="preserve">best fit the data when high-temperature estimates are included; again, however, the variation in fit between these four options is relatively small. If we instead use </w:t>
      </w:r>
      <w:r>
        <w:rPr>
          <w:sz w:val="20"/>
          <w:szCs w:val="20"/>
        </w:rPr>
        <w:t>log</w:t>
      </w:r>
      <w:r w:rsidRPr="00836521">
        <w:rPr>
          <w:sz w:val="20"/>
          <w:szCs w:val="20"/>
        </w:rPr>
        <w:t xml:space="preserve">-likelihood value to rank functional forms instead of adjusted R-squared, the Newbold and Marten (2014) functional form performs best and the Azar and Lindgren (2003) specification no longer performs as well when we exclude high-temperature estimates. The strong performance of the </w:t>
      </w:r>
      <w:r w:rsidRPr="00836521">
        <w:rPr>
          <w:rFonts w:eastAsiaTheme="minorEastAsia"/>
          <w:sz w:val="20"/>
          <w:szCs w:val="20"/>
        </w:rPr>
        <w:t xml:space="preserve">Newbold and Marten (2014), </w:t>
      </w:r>
      <w:r w:rsidRPr="00836521">
        <w:rPr>
          <w:sz w:val="20"/>
          <w:szCs w:val="20"/>
        </w:rPr>
        <w:t>Weitzman (2012), Tol (2014), and Nordhaus (2013) functional forms corresponds to the results of Tol (2015a) and Tol (2015b).</w:t>
      </w:r>
    </w:p>
    <w:p w:rsidR="00EC2A52" w:rsidRPr="009263A5" w:rsidRDefault="00EC2A52" w:rsidP="00EC2A52">
      <w:pPr>
        <w:spacing w:line="480" w:lineRule="auto"/>
        <w:ind w:firstLine="360"/>
        <w:jc w:val="both"/>
        <w:rPr>
          <w:sz w:val="20"/>
          <w:szCs w:val="20"/>
        </w:rPr>
      </w:pPr>
      <w:r w:rsidRPr="00836521">
        <w:rPr>
          <w:sz w:val="20"/>
          <w:szCs w:val="20"/>
        </w:rPr>
        <w:t xml:space="preserve">Although the Nordhaus (2013) functional form is outperformed by the Weitzman (2012), Tol (2014), and Newbold and Marten (2014) functional forms with regard to fit, there are two strong arguments for choosing the Nordhaus (2013) specification. First, the inclusion of two polynomial temperature terms in the Weitzman (2012), Tol (2014), and Newbold and Marten (2014) damage specifications requires a significant increase in the number of regressors given our inclusion of methodological control variables. This is a problem in our study because of the small sample size relative to </w:t>
      </w:r>
      <w:r>
        <w:rPr>
          <w:sz w:val="20"/>
          <w:szCs w:val="20"/>
        </w:rPr>
        <w:t>the</w:t>
      </w:r>
      <w:r w:rsidRPr="00836521">
        <w:rPr>
          <w:sz w:val="20"/>
          <w:szCs w:val="20"/>
        </w:rPr>
        <w:t xml:space="preserve"> large number of control variables, which raises the risk of multicollinearity and overfitting the regression; this is an even greater concern in the case of the piecewise linear functional form because the optimal breaking point also requires determination. Therefore, the Weitzman (2012), Tol (2014), and Newbold and Marten (2014) specifications are less useful for our purposes of prediction. For example, as in the Azar and Lindgren (2003) specification, if we interpret the results as damage functions and make damage predictions for higher temperatures (i.e., above 4°C), our estimate of the Weitzman (2012) specification leads to unlikely high damage predictions. Second, partially as a result of this overfitting, the Weitzman (2012) and Tol (2014) functional forms are more sensitive than the Nordhaus (2013) functional form to the inclusion of high-temperature data,</w:t>
      </w:r>
      <w:r w:rsidRPr="009263A5">
        <w:rPr>
          <w:sz w:val="20"/>
          <w:szCs w:val="20"/>
        </w:rPr>
        <w:t xml:space="preserve"> implying potential instability. Specifically, the shape of the non-catastrophic damage function corresponding to </w:t>
      </w:r>
      <w:r>
        <w:rPr>
          <w:sz w:val="20"/>
          <w:szCs w:val="20"/>
        </w:rPr>
        <w:t>both</w:t>
      </w:r>
      <w:r w:rsidRPr="009263A5">
        <w:rPr>
          <w:sz w:val="20"/>
          <w:szCs w:val="20"/>
        </w:rPr>
        <w:t xml:space="preserve"> specifications significantly shift</w:t>
      </w:r>
      <w:r>
        <w:rPr>
          <w:sz w:val="20"/>
          <w:szCs w:val="20"/>
        </w:rPr>
        <w:t>s</w:t>
      </w:r>
      <w:r w:rsidRPr="009263A5">
        <w:rPr>
          <w:sz w:val="20"/>
          <w:szCs w:val="20"/>
        </w:rPr>
        <w:t xml:space="preserve"> between flat to steep depending on the inclusion of high-temperature estimates; the Azar and Lindgren (2003) functional form suffers a similar shortcoming</w:t>
      </w:r>
      <w:r>
        <w:rPr>
          <w:sz w:val="20"/>
          <w:szCs w:val="20"/>
        </w:rPr>
        <w:t>, though the Newbold and Marten (2014) specification is relatively robust</w:t>
      </w:r>
      <w:r w:rsidRPr="009263A5">
        <w:rPr>
          <w:sz w:val="20"/>
          <w:szCs w:val="20"/>
        </w:rPr>
        <w:t xml:space="preserve">. </w:t>
      </w:r>
      <w:r>
        <w:rPr>
          <w:sz w:val="20"/>
          <w:szCs w:val="20"/>
        </w:rPr>
        <w:t>Because of</w:t>
      </w:r>
      <w:r w:rsidRPr="009263A5">
        <w:rPr>
          <w:sz w:val="20"/>
          <w:szCs w:val="20"/>
        </w:rPr>
        <w:t xml:space="preserve"> </w:t>
      </w:r>
      <w:r>
        <w:rPr>
          <w:sz w:val="20"/>
          <w:szCs w:val="20"/>
        </w:rPr>
        <w:t>the</w:t>
      </w:r>
      <w:r w:rsidRPr="009263A5">
        <w:rPr>
          <w:sz w:val="20"/>
          <w:szCs w:val="20"/>
        </w:rPr>
        <w:t xml:space="preserve"> modest</w:t>
      </w:r>
      <w:r>
        <w:rPr>
          <w:sz w:val="20"/>
          <w:szCs w:val="20"/>
        </w:rPr>
        <w:t xml:space="preserve"> nature of the</w:t>
      </w:r>
      <w:r w:rsidRPr="009263A5">
        <w:rPr>
          <w:sz w:val="20"/>
          <w:szCs w:val="20"/>
        </w:rPr>
        <w:t xml:space="preserve"> improvements </w:t>
      </w:r>
      <w:r>
        <w:rPr>
          <w:sz w:val="20"/>
          <w:szCs w:val="20"/>
        </w:rPr>
        <w:t>in</w:t>
      </w:r>
      <w:r w:rsidRPr="009263A5">
        <w:rPr>
          <w:sz w:val="20"/>
          <w:szCs w:val="20"/>
        </w:rPr>
        <w:t xml:space="preserve"> the fit of the Weitzman (2012)</w:t>
      </w:r>
      <w:r>
        <w:rPr>
          <w:sz w:val="20"/>
          <w:szCs w:val="20"/>
        </w:rPr>
        <w:t>,</w:t>
      </w:r>
      <w:r w:rsidRPr="009263A5">
        <w:rPr>
          <w:sz w:val="20"/>
          <w:szCs w:val="20"/>
        </w:rPr>
        <w:t xml:space="preserve"> Tol (2009)</w:t>
      </w:r>
      <w:r>
        <w:rPr>
          <w:sz w:val="20"/>
          <w:szCs w:val="20"/>
        </w:rPr>
        <w:t>, and Newbold and Marten (2014)</w:t>
      </w:r>
      <w:r w:rsidRPr="009263A5">
        <w:rPr>
          <w:sz w:val="20"/>
          <w:szCs w:val="20"/>
        </w:rPr>
        <w:t xml:space="preserve"> specifications relative to the Nordhaus (2013) specification</w:t>
      </w:r>
      <w:r>
        <w:rPr>
          <w:sz w:val="20"/>
          <w:szCs w:val="20"/>
        </w:rPr>
        <w:t xml:space="preserve"> and the risk of overfitting</w:t>
      </w:r>
      <w:r w:rsidRPr="009263A5">
        <w:rPr>
          <w:sz w:val="20"/>
          <w:szCs w:val="20"/>
        </w:rPr>
        <w:t xml:space="preserve">, we select </w:t>
      </w:r>
      <w:r>
        <w:rPr>
          <w:sz w:val="20"/>
          <w:szCs w:val="20"/>
        </w:rPr>
        <w:t xml:space="preserve">the </w:t>
      </w:r>
      <w:r w:rsidRPr="009263A5">
        <w:rPr>
          <w:sz w:val="20"/>
          <w:szCs w:val="20"/>
        </w:rPr>
        <w:t xml:space="preserve">Nordhaus (2013) </w:t>
      </w:r>
      <w:r>
        <w:rPr>
          <w:sz w:val="20"/>
          <w:szCs w:val="20"/>
        </w:rPr>
        <w:t xml:space="preserve">specification </w:t>
      </w:r>
      <w:r w:rsidRPr="009263A5">
        <w:rPr>
          <w:sz w:val="20"/>
          <w:szCs w:val="20"/>
        </w:rPr>
        <w:t xml:space="preserve">as </w:t>
      </w:r>
      <w:r>
        <w:rPr>
          <w:sz w:val="20"/>
          <w:szCs w:val="20"/>
        </w:rPr>
        <w:t>the</w:t>
      </w:r>
      <w:r w:rsidRPr="009263A5">
        <w:rPr>
          <w:sz w:val="20"/>
          <w:szCs w:val="20"/>
        </w:rPr>
        <w:t xml:space="preserve"> preferred functional form for the purposes of this analysis.</w:t>
      </w:r>
    </w:p>
    <w:p w:rsidR="00EC2A52" w:rsidRPr="009263A5" w:rsidRDefault="00EC2A52" w:rsidP="00EC2A52">
      <w:pPr>
        <w:spacing w:before="200" w:after="200" w:line="480" w:lineRule="auto"/>
        <w:jc w:val="both"/>
        <w:rPr>
          <w:i/>
          <w:sz w:val="20"/>
          <w:szCs w:val="20"/>
        </w:rPr>
      </w:pPr>
      <w:r w:rsidRPr="009263A5">
        <w:rPr>
          <w:i/>
          <w:sz w:val="20"/>
          <w:szCs w:val="20"/>
        </w:rPr>
        <w:lastRenderedPageBreak/>
        <w:t xml:space="preserve">Appendix C3. Alternative </w:t>
      </w:r>
      <w:r>
        <w:rPr>
          <w:i/>
          <w:sz w:val="20"/>
          <w:szCs w:val="20"/>
        </w:rPr>
        <w:t>C</w:t>
      </w:r>
      <w:r w:rsidRPr="009263A5">
        <w:rPr>
          <w:i/>
          <w:sz w:val="20"/>
          <w:szCs w:val="20"/>
        </w:rPr>
        <w:t xml:space="preserve">lustering </w:t>
      </w:r>
      <w:r>
        <w:rPr>
          <w:i/>
          <w:sz w:val="20"/>
          <w:szCs w:val="20"/>
        </w:rPr>
        <w:t>S</w:t>
      </w:r>
      <w:r w:rsidRPr="009263A5">
        <w:rPr>
          <w:i/>
          <w:sz w:val="20"/>
          <w:szCs w:val="20"/>
        </w:rPr>
        <w:t>cales</w:t>
      </w:r>
    </w:p>
    <w:p w:rsidR="00EC2A52" w:rsidRPr="009263A5" w:rsidRDefault="00EC2A52" w:rsidP="00EC2A52">
      <w:pPr>
        <w:spacing w:line="480" w:lineRule="auto"/>
        <w:ind w:firstLine="360"/>
        <w:jc w:val="both"/>
        <w:rPr>
          <w:sz w:val="20"/>
          <w:szCs w:val="20"/>
        </w:rPr>
      </w:pPr>
      <w:r w:rsidRPr="009263A5">
        <w:rPr>
          <w:sz w:val="20"/>
          <w:szCs w:val="20"/>
        </w:rPr>
        <w:t>In the main text of the paper, we hypothesized that the standard errors are potentially clustered at the author, estimation methodology, and model levels. We tested this hypothesis at these alternative levels including and excluding duplicates and high-temperature damage estimates. Note that</w:t>
      </w:r>
      <w:r>
        <w:rPr>
          <w:sz w:val="20"/>
          <w:szCs w:val="20"/>
        </w:rPr>
        <w:t>,</w:t>
      </w:r>
      <w:r w:rsidRPr="009263A5">
        <w:rPr>
          <w:sz w:val="20"/>
          <w:szCs w:val="20"/>
        </w:rPr>
        <w:t xml:space="preserve"> when we excluded data to address duplication, we re-assembled each group (author, method, and model) in order to conduct the Breusch-Pagan LM Test of Independence; these re-assembled groups were used in the tests and </w:t>
      </w:r>
      <w:r>
        <w:rPr>
          <w:sz w:val="20"/>
          <w:szCs w:val="20"/>
        </w:rPr>
        <w:t xml:space="preserve">in </w:t>
      </w:r>
      <w:r w:rsidRPr="009263A5">
        <w:rPr>
          <w:sz w:val="20"/>
          <w:szCs w:val="20"/>
        </w:rPr>
        <w:t xml:space="preserve">our subsequent analyses. </w:t>
      </w:r>
      <w:r>
        <w:rPr>
          <w:sz w:val="20"/>
          <w:szCs w:val="20"/>
        </w:rPr>
        <w:t>W</w:t>
      </w:r>
      <w:r w:rsidRPr="009263A5">
        <w:rPr>
          <w:sz w:val="20"/>
          <w:szCs w:val="20"/>
        </w:rPr>
        <w:t xml:space="preserve">e found strong evidence of clustering at </w:t>
      </w:r>
      <w:r>
        <w:rPr>
          <w:sz w:val="20"/>
          <w:szCs w:val="20"/>
        </w:rPr>
        <w:t>all levels</w:t>
      </w:r>
      <w:r w:rsidRPr="009263A5">
        <w:rPr>
          <w:sz w:val="20"/>
          <w:szCs w:val="20"/>
        </w:rPr>
        <w:t xml:space="preserve">; see Table B2. </w:t>
      </w:r>
    </w:p>
    <w:p w:rsidR="00EC2A52" w:rsidRPr="009263A5" w:rsidRDefault="00EC2A52" w:rsidP="00EC2A52">
      <w:pPr>
        <w:spacing w:line="480" w:lineRule="auto"/>
        <w:ind w:firstLine="360"/>
        <w:jc w:val="both"/>
        <w:rPr>
          <w:sz w:val="20"/>
          <w:szCs w:val="20"/>
        </w:rPr>
      </w:pPr>
      <w:r w:rsidRPr="009263A5">
        <w:rPr>
          <w:sz w:val="20"/>
          <w:szCs w:val="20"/>
        </w:rPr>
        <w:t xml:space="preserve">To test the robustness of our results, we re-estimated </w:t>
      </w:r>
      <w:r>
        <w:rPr>
          <w:sz w:val="20"/>
          <w:szCs w:val="20"/>
        </w:rPr>
        <w:t>the</w:t>
      </w:r>
      <w:r w:rsidRPr="009263A5">
        <w:rPr>
          <w:sz w:val="20"/>
          <w:szCs w:val="20"/>
        </w:rPr>
        <w:t xml:space="preserve"> preferred specifications (</w:t>
      </w:r>
      <w:r>
        <w:rPr>
          <w:sz w:val="20"/>
          <w:szCs w:val="20"/>
        </w:rPr>
        <w:t>S</w:t>
      </w:r>
      <w:r w:rsidRPr="009263A5">
        <w:rPr>
          <w:sz w:val="20"/>
          <w:szCs w:val="20"/>
        </w:rPr>
        <w:t>pecifications 4 and 8 in Table 2) clustered at the author and method levels, as well as two alternative model definitions. In the first alternative model definition (</w:t>
      </w:r>
      <w:r w:rsidRPr="009263A5">
        <w:rPr>
          <w:i/>
          <w:sz w:val="20"/>
          <w:szCs w:val="20"/>
        </w:rPr>
        <w:t>model_2</w:t>
      </w:r>
      <w:r w:rsidRPr="009263A5">
        <w:rPr>
          <w:sz w:val="20"/>
          <w:szCs w:val="20"/>
        </w:rPr>
        <w:t>), we define a model as the interaction of author and method. In the second alternative model definition (</w:t>
      </w:r>
      <w:r w:rsidRPr="009263A5">
        <w:rPr>
          <w:i/>
          <w:sz w:val="20"/>
          <w:szCs w:val="20"/>
        </w:rPr>
        <w:t>Primary_model</w:t>
      </w:r>
      <w:r w:rsidRPr="009263A5">
        <w:rPr>
          <w:sz w:val="20"/>
          <w:szCs w:val="20"/>
        </w:rPr>
        <w:t>), we use the original classification for model before we re-assembled the groups. The results</w:t>
      </w:r>
      <w:r>
        <w:rPr>
          <w:sz w:val="20"/>
          <w:szCs w:val="20"/>
        </w:rPr>
        <w:t xml:space="preserve"> (available from the authors upon request)</w:t>
      </w:r>
      <w:r w:rsidRPr="009263A5">
        <w:rPr>
          <w:sz w:val="20"/>
          <w:szCs w:val="20"/>
        </w:rPr>
        <w:t xml:space="preserve"> are generally robust to alternative levels of clustering</w:t>
      </w:r>
      <w:r>
        <w:rPr>
          <w:sz w:val="20"/>
          <w:szCs w:val="20"/>
        </w:rPr>
        <w:t>.</w:t>
      </w:r>
    </w:p>
    <w:p w:rsidR="00EC2A52" w:rsidRPr="009263A5" w:rsidRDefault="00EC2A52" w:rsidP="00EC2A52">
      <w:pPr>
        <w:spacing w:before="200" w:after="200" w:line="480" w:lineRule="auto"/>
        <w:jc w:val="both"/>
        <w:rPr>
          <w:i/>
          <w:sz w:val="20"/>
          <w:szCs w:val="20"/>
        </w:rPr>
      </w:pPr>
      <w:r w:rsidRPr="009263A5">
        <w:rPr>
          <w:i/>
          <w:sz w:val="20"/>
          <w:szCs w:val="20"/>
        </w:rPr>
        <w:t>Appendix C4. Alternative Definitions</w:t>
      </w:r>
    </w:p>
    <w:p w:rsidR="00EC2A52" w:rsidRPr="009263A5" w:rsidRDefault="00EC2A52" w:rsidP="00EC2A52">
      <w:pPr>
        <w:spacing w:line="480" w:lineRule="auto"/>
        <w:ind w:firstLine="360"/>
        <w:jc w:val="both"/>
        <w:rPr>
          <w:sz w:val="20"/>
          <w:szCs w:val="20"/>
        </w:rPr>
      </w:pPr>
      <w:r w:rsidRPr="009263A5">
        <w:rPr>
          <w:sz w:val="20"/>
          <w:szCs w:val="20"/>
        </w:rPr>
        <w:t xml:space="preserve">We re-run </w:t>
      </w:r>
      <w:r>
        <w:rPr>
          <w:sz w:val="20"/>
          <w:szCs w:val="20"/>
        </w:rPr>
        <w:t>the</w:t>
      </w:r>
      <w:r w:rsidRPr="009263A5">
        <w:rPr>
          <w:sz w:val="20"/>
          <w:szCs w:val="20"/>
        </w:rPr>
        <w:t xml:space="preserve"> preferred specifications under a variety of alternative definitions – variables, temperature cutoffs, and duplication – to test the robustness of our earlier results to alternative assumptions; see Tables C</w:t>
      </w:r>
      <w:r>
        <w:rPr>
          <w:sz w:val="20"/>
          <w:szCs w:val="20"/>
        </w:rPr>
        <w:t>5</w:t>
      </w:r>
      <w:r w:rsidRPr="009263A5">
        <w:rPr>
          <w:sz w:val="20"/>
          <w:szCs w:val="20"/>
        </w:rPr>
        <w:t xml:space="preserve"> and C</w:t>
      </w:r>
      <w:r>
        <w:rPr>
          <w:sz w:val="20"/>
          <w:szCs w:val="20"/>
        </w:rPr>
        <w:t>6</w:t>
      </w:r>
      <w:r w:rsidRPr="009263A5">
        <w:rPr>
          <w:sz w:val="20"/>
          <w:szCs w:val="20"/>
        </w:rPr>
        <w:t xml:space="preserve">. </w:t>
      </w:r>
    </w:p>
    <w:p w:rsidR="00EC2A52" w:rsidRPr="009263A5" w:rsidRDefault="00EC2A52" w:rsidP="00EC2A52">
      <w:pPr>
        <w:spacing w:line="480" w:lineRule="auto"/>
        <w:ind w:firstLine="360"/>
        <w:jc w:val="both"/>
        <w:rPr>
          <w:sz w:val="20"/>
          <w:szCs w:val="20"/>
        </w:rPr>
      </w:pPr>
      <w:r w:rsidRPr="009263A5">
        <w:rPr>
          <w:sz w:val="20"/>
          <w:szCs w:val="20"/>
        </w:rPr>
        <w:t xml:space="preserve">First, analysts may be interested in focusing their impact analyses solely on non-catastrophic impacts. In other words, we redefine our primary variable of interest as the willingness to pay </w:t>
      </w:r>
      <w:r>
        <w:rPr>
          <w:sz w:val="20"/>
          <w:szCs w:val="20"/>
        </w:rPr>
        <w:t>to avoid</w:t>
      </w:r>
      <w:r w:rsidRPr="009263A5">
        <w:rPr>
          <w:sz w:val="20"/>
          <w:szCs w:val="20"/>
        </w:rPr>
        <w:t xml:space="preserve"> non-catastrophic damages. Therefore, we re-run the preferred specifications after removing catastrophic impacts from enumerative estimates and dropping science-based damage estimates, which cannot be adjusted. </w:t>
      </w:r>
    </w:p>
    <w:p w:rsidR="00EC2A52" w:rsidRPr="009263A5" w:rsidRDefault="00EC2A52" w:rsidP="00EC2A52">
      <w:pPr>
        <w:spacing w:line="480" w:lineRule="auto"/>
        <w:ind w:firstLine="360"/>
        <w:jc w:val="both"/>
        <w:rPr>
          <w:sz w:val="20"/>
          <w:szCs w:val="20"/>
        </w:rPr>
      </w:pPr>
      <w:r w:rsidRPr="009263A5">
        <w:rPr>
          <w:sz w:val="20"/>
          <w:szCs w:val="20"/>
        </w:rPr>
        <w:t xml:space="preserve">Second, some CGE models account for the impacts of lost ecosystems services due to climate change. While in the main text we assume that these estimates exclude non-market impacts, some </w:t>
      </w:r>
      <w:r>
        <w:rPr>
          <w:sz w:val="20"/>
          <w:szCs w:val="20"/>
        </w:rPr>
        <w:t>could potentially</w:t>
      </w:r>
      <w:r w:rsidRPr="009263A5">
        <w:rPr>
          <w:sz w:val="20"/>
          <w:szCs w:val="20"/>
        </w:rPr>
        <w:t xml:space="preserve"> disagree. Therefore, we re-run the preferred specifications assuming that CGE models that capture the impacts of ecosystem services on the market account for non-market impacts. </w:t>
      </w:r>
    </w:p>
    <w:p w:rsidR="00EC2A52" w:rsidRPr="009263A5" w:rsidRDefault="00EC2A52" w:rsidP="00EC2A52">
      <w:pPr>
        <w:spacing w:line="480" w:lineRule="auto"/>
        <w:ind w:firstLine="360"/>
        <w:jc w:val="both"/>
        <w:rPr>
          <w:sz w:val="20"/>
          <w:szCs w:val="20"/>
        </w:rPr>
      </w:pPr>
      <w:r w:rsidRPr="009263A5">
        <w:rPr>
          <w:sz w:val="20"/>
          <w:szCs w:val="20"/>
        </w:rPr>
        <w:t xml:space="preserve">Third, as discussed in our main text, our 4°C cutoff for climate damage estimates corresponding to high-temperature increases – i.e., the temperature increase above which damage estimates become increasingly speculative – is not the sole candidate. We re-run </w:t>
      </w:r>
      <w:r>
        <w:rPr>
          <w:sz w:val="20"/>
          <w:szCs w:val="20"/>
        </w:rPr>
        <w:t>S</w:t>
      </w:r>
      <w:r w:rsidRPr="009263A5">
        <w:rPr>
          <w:sz w:val="20"/>
          <w:szCs w:val="20"/>
        </w:rPr>
        <w:t>pecification (4) in Table 2 under two alternative cutoffs: 3°C</w:t>
      </w:r>
      <w:r>
        <w:rPr>
          <w:sz w:val="20"/>
          <w:szCs w:val="20"/>
        </w:rPr>
        <w:t>,</w:t>
      </w:r>
      <w:r w:rsidRPr="009263A5">
        <w:rPr>
          <w:sz w:val="20"/>
          <w:szCs w:val="20"/>
        </w:rPr>
        <w:t xml:space="preserve"> </w:t>
      </w:r>
      <w:r w:rsidRPr="009263A5">
        <w:rPr>
          <w:sz w:val="20"/>
          <w:szCs w:val="20"/>
        </w:rPr>
        <w:lastRenderedPageBreak/>
        <w:t xml:space="preserve">which is the most likely value of the equilibrium climate sensitivity parameter according to IPCC (2007); and 4.5°C which is slightly above the temperature increase predicted by 2100 </w:t>
      </w:r>
      <w:r>
        <w:rPr>
          <w:sz w:val="20"/>
          <w:szCs w:val="20"/>
        </w:rPr>
        <w:t>under</w:t>
      </w:r>
      <w:r w:rsidRPr="009263A5">
        <w:rPr>
          <w:sz w:val="20"/>
          <w:szCs w:val="20"/>
        </w:rPr>
        <w:t xml:space="preserve"> BAU </w:t>
      </w:r>
      <w:r>
        <w:rPr>
          <w:sz w:val="20"/>
          <w:szCs w:val="20"/>
        </w:rPr>
        <w:t>by</w:t>
      </w:r>
      <w:r w:rsidRPr="009263A5">
        <w:rPr>
          <w:sz w:val="20"/>
          <w:szCs w:val="20"/>
        </w:rPr>
        <w:t xml:space="preserve"> IPCC (2013) (Scenario RCP 8.5). </w:t>
      </w:r>
    </w:p>
    <w:p w:rsidR="00EC2A52" w:rsidRPr="009263A5" w:rsidRDefault="00EC2A52" w:rsidP="00EC2A52">
      <w:pPr>
        <w:spacing w:line="480" w:lineRule="auto"/>
        <w:ind w:firstLine="360"/>
        <w:jc w:val="both"/>
        <w:rPr>
          <w:sz w:val="20"/>
          <w:szCs w:val="20"/>
        </w:rPr>
      </w:pPr>
      <w:r w:rsidRPr="009263A5">
        <w:rPr>
          <w:sz w:val="20"/>
          <w:szCs w:val="20"/>
        </w:rPr>
        <w:t>Fourth, we analyze the impact of a more restrictive definition of duplication that further restricts our choice of data (relative to our previous definition) to one estimate per study (even if they are independent according to the author</w:t>
      </w:r>
      <w:r>
        <w:rPr>
          <w:sz w:val="20"/>
          <w:szCs w:val="20"/>
        </w:rPr>
        <w:t>(s)</w:t>
      </w:r>
      <w:r w:rsidRPr="009263A5">
        <w:rPr>
          <w:sz w:val="20"/>
          <w:szCs w:val="20"/>
        </w:rPr>
        <w:t xml:space="preserve">) (Nelson and Kennedy, 2009). Duplication bias is potentially still an issue in </w:t>
      </w:r>
      <w:r>
        <w:rPr>
          <w:sz w:val="20"/>
          <w:szCs w:val="20"/>
        </w:rPr>
        <w:t>the</w:t>
      </w:r>
      <w:r w:rsidRPr="009263A5">
        <w:rPr>
          <w:sz w:val="20"/>
          <w:szCs w:val="20"/>
        </w:rPr>
        <w:t xml:space="preserve"> preferred specifications because most high-temperature damage estimates (i.e., above 4°C) are drawn from studies from which a low</w:t>
      </w:r>
      <w:r>
        <w:rPr>
          <w:sz w:val="20"/>
          <w:szCs w:val="20"/>
        </w:rPr>
        <w:t>-</w:t>
      </w:r>
      <w:r w:rsidRPr="009263A5">
        <w:rPr>
          <w:sz w:val="20"/>
          <w:szCs w:val="20"/>
        </w:rPr>
        <w:t>temperature damage estimate is already drawn (i.e., below 4°C), such that one estimate is potentially an extrapolation of the other. Thus, a stricter definition requires us to choose which damage estimates to drop when two estimates are provided by a study. For CGE, enumerative, and survey based studies, we drop the estimate corresponding to a higher temperature increase</w:t>
      </w:r>
      <w:r>
        <w:rPr>
          <w:sz w:val="20"/>
          <w:szCs w:val="20"/>
        </w:rPr>
        <w:t>,</w:t>
      </w:r>
      <w:r w:rsidRPr="009263A5">
        <w:rPr>
          <w:sz w:val="20"/>
          <w:szCs w:val="20"/>
        </w:rPr>
        <w:t xml:space="preserve"> assuming that they rely on extrapolation. The exception is Howard and Sylvan (2015) </w:t>
      </w:r>
      <w:r>
        <w:rPr>
          <w:sz w:val="20"/>
          <w:szCs w:val="20"/>
        </w:rPr>
        <w:t>because</w:t>
      </w:r>
      <w:r w:rsidRPr="009263A5">
        <w:rPr>
          <w:sz w:val="20"/>
          <w:szCs w:val="20"/>
        </w:rPr>
        <w:t xml:space="preserve"> the</w:t>
      </w:r>
      <w:r>
        <w:rPr>
          <w:sz w:val="20"/>
          <w:szCs w:val="20"/>
        </w:rPr>
        <w:t>ir</w:t>
      </w:r>
      <w:r w:rsidRPr="009263A5">
        <w:rPr>
          <w:sz w:val="20"/>
          <w:szCs w:val="20"/>
        </w:rPr>
        <w:t xml:space="preserve"> </w:t>
      </w:r>
      <w:r>
        <w:rPr>
          <w:sz w:val="20"/>
          <w:szCs w:val="20"/>
        </w:rPr>
        <w:t>damage</w:t>
      </w:r>
      <w:r w:rsidRPr="009263A5">
        <w:rPr>
          <w:sz w:val="20"/>
          <w:szCs w:val="20"/>
        </w:rPr>
        <w:t xml:space="preserve"> estimate</w:t>
      </w:r>
      <w:r>
        <w:rPr>
          <w:sz w:val="20"/>
          <w:szCs w:val="20"/>
        </w:rPr>
        <w:t xml:space="preserve"> at 1</w:t>
      </w:r>
      <w:r w:rsidRPr="009263A5">
        <w:rPr>
          <w:sz w:val="20"/>
          <w:szCs w:val="20"/>
        </w:rPr>
        <w:t>°C is derived in a more indirect manner than the</w:t>
      </w:r>
      <w:r>
        <w:rPr>
          <w:sz w:val="20"/>
          <w:szCs w:val="20"/>
        </w:rPr>
        <w:t>ir</w:t>
      </w:r>
      <w:r w:rsidRPr="009263A5">
        <w:rPr>
          <w:sz w:val="20"/>
          <w:szCs w:val="20"/>
        </w:rPr>
        <w:t xml:space="preserve"> estimate at 3°C; </w:t>
      </w:r>
      <w:r w:rsidRPr="009E5839">
        <w:rPr>
          <w:sz w:val="20"/>
          <w:szCs w:val="20"/>
        </w:rPr>
        <w:t>this latter estimate is derived using a question identical to that used in Nordhaus (1994b).</w:t>
      </w:r>
      <w:r w:rsidRPr="009263A5">
        <w:rPr>
          <w:sz w:val="20"/>
          <w:szCs w:val="20"/>
        </w:rPr>
        <w:t xml:space="preserve"> </w:t>
      </w:r>
      <w:r w:rsidRPr="007261AB">
        <w:rPr>
          <w:sz w:val="20"/>
          <w:szCs w:val="20"/>
        </w:rPr>
        <w:t>For scientific studies, we maintain the estimate that is based more on scientific principles: the 12°C Weitzman (2012) damage estimate is more soundly based on Sherwood and Huber (2010)’s global limit of human adaptability to heat stress than Weitzman’s 6°C estimate; and the Nordhaus (2014) estimate based on a strict 2°C limit is more in the spirit of (and a more literal reading of) the 2</w:t>
      </w:r>
      <w:r w:rsidRPr="007261AB">
        <w:rPr>
          <w:rFonts w:ascii="Cambria Math" w:hAnsi="Cambria Math"/>
          <w:sz w:val="20"/>
          <w:szCs w:val="20"/>
        </w:rPr>
        <w:t>°</w:t>
      </w:r>
      <w:r w:rsidRPr="007261AB">
        <w:rPr>
          <w:sz w:val="20"/>
          <w:szCs w:val="20"/>
        </w:rPr>
        <w:t>C goal than the estimate based on an average increase of 2°C over the 2050 to 2250 period (particularly given the recent strengthen</w:t>
      </w:r>
      <w:r>
        <w:rPr>
          <w:sz w:val="20"/>
          <w:szCs w:val="20"/>
        </w:rPr>
        <w:t>ing</w:t>
      </w:r>
      <w:r w:rsidRPr="007261AB">
        <w:rPr>
          <w:sz w:val="20"/>
          <w:szCs w:val="20"/>
        </w:rPr>
        <w:t xml:space="preserve"> of the goal under the Paris Agreement to well below 2</w:t>
      </w:r>
      <w:r w:rsidRPr="007261AB">
        <w:rPr>
          <w:rFonts w:ascii="Cambria Math" w:hAnsi="Cambria Math"/>
          <w:sz w:val="20"/>
          <w:szCs w:val="20"/>
        </w:rPr>
        <w:t>°</w:t>
      </w:r>
      <w:r w:rsidRPr="007261AB">
        <w:rPr>
          <w:sz w:val="20"/>
          <w:szCs w:val="20"/>
        </w:rPr>
        <w:t>C with the aims of achieving a 1.5°C limit if possible).</w:t>
      </w:r>
      <w:r w:rsidRPr="001F4865">
        <w:rPr>
          <w:sz w:val="20"/>
          <w:szCs w:val="20"/>
        </w:rPr>
        <w:t xml:space="preserve"> </w:t>
      </w:r>
      <w:r w:rsidRPr="001F4865">
        <w:rPr>
          <w:color w:val="000000"/>
          <w:sz w:val="20"/>
          <w:szCs w:val="20"/>
        </w:rPr>
        <w:t xml:space="preserve">This </w:t>
      </w:r>
      <w:r w:rsidRPr="009263A5">
        <w:rPr>
          <w:color w:val="000000"/>
          <w:sz w:val="20"/>
          <w:szCs w:val="20"/>
        </w:rPr>
        <w:t>strict</w:t>
      </w:r>
      <w:r>
        <w:rPr>
          <w:color w:val="000000"/>
          <w:sz w:val="20"/>
          <w:szCs w:val="20"/>
        </w:rPr>
        <w:t>er</w:t>
      </w:r>
      <w:r w:rsidRPr="009263A5">
        <w:rPr>
          <w:color w:val="000000"/>
          <w:sz w:val="20"/>
          <w:szCs w:val="20"/>
        </w:rPr>
        <w:t xml:space="preserve"> definition of duplication reduces our data to 18 and 20 observations, depending on </w:t>
      </w:r>
      <w:r>
        <w:rPr>
          <w:color w:val="000000"/>
          <w:sz w:val="20"/>
          <w:szCs w:val="20"/>
        </w:rPr>
        <w:t>whether</w:t>
      </w:r>
      <w:r w:rsidRPr="009263A5">
        <w:rPr>
          <w:color w:val="000000"/>
          <w:sz w:val="20"/>
          <w:szCs w:val="20"/>
        </w:rPr>
        <w:t xml:space="preserve"> we exclude high-temperature damage estimates.</w:t>
      </w:r>
    </w:p>
    <w:p w:rsidR="00EC2A52" w:rsidRPr="009263A5" w:rsidRDefault="00EC2A52" w:rsidP="00EC2A52">
      <w:pPr>
        <w:spacing w:line="480" w:lineRule="auto"/>
        <w:ind w:firstLine="360"/>
        <w:jc w:val="both"/>
        <w:rPr>
          <w:sz w:val="20"/>
          <w:szCs w:val="20"/>
        </w:rPr>
      </w:pPr>
      <w:r w:rsidRPr="009263A5">
        <w:rPr>
          <w:sz w:val="20"/>
          <w:szCs w:val="20"/>
        </w:rPr>
        <w:t xml:space="preserve">Last, we analyze a stricter definition of citation. Some may be concerned by our decision in the main text to maintain damage estimates in our data that we definite as unique despite using another estimate as a starting point. </w:t>
      </w:r>
      <w:r>
        <w:rPr>
          <w:sz w:val="20"/>
          <w:szCs w:val="20"/>
        </w:rPr>
        <w:t>Therefore, w</w:t>
      </w:r>
      <w:r w:rsidRPr="009263A5">
        <w:rPr>
          <w:sz w:val="20"/>
          <w:szCs w:val="20"/>
        </w:rPr>
        <w:t xml:space="preserve">e re-run </w:t>
      </w:r>
      <w:r>
        <w:rPr>
          <w:sz w:val="20"/>
          <w:szCs w:val="20"/>
        </w:rPr>
        <w:t>the</w:t>
      </w:r>
      <w:r w:rsidRPr="009263A5">
        <w:rPr>
          <w:sz w:val="20"/>
          <w:szCs w:val="20"/>
        </w:rPr>
        <w:t xml:space="preserve"> preferred specifications dropping Meyer </w:t>
      </w:r>
      <w:r>
        <w:rPr>
          <w:sz w:val="20"/>
          <w:szCs w:val="20"/>
        </w:rPr>
        <w:t>and</w:t>
      </w:r>
      <w:r w:rsidRPr="009263A5">
        <w:rPr>
          <w:sz w:val="20"/>
          <w:szCs w:val="20"/>
        </w:rPr>
        <w:t xml:space="preserve"> Cooper (1995) and Hanemann (2008). </w:t>
      </w:r>
      <w:r w:rsidRPr="00D16E84">
        <w:rPr>
          <w:sz w:val="20"/>
          <w:szCs w:val="20"/>
        </w:rPr>
        <w:t>Though not shown, we find that also dropping CGE models that calibrate portions of their model using FUND inputs (Roson and van der Mensbrugghe, 2012; Bosello and Parrado, 2014) has little impact.</w:t>
      </w:r>
      <w:r w:rsidRPr="009263A5">
        <w:rPr>
          <w:sz w:val="20"/>
          <w:szCs w:val="20"/>
        </w:rPr>
        <w:t xml:space="preserve"> </w:t>
      </w:r>
    </w:p>
    <w:p w:rsidR="00EC2A52" w:rsidRPr="009263A5" w:rsidRDefault="00EC2A52" w:rsidP="00EC2A52">
      <w:pPr>
        <w:spacing w:line="480" w:lineRule="auto"/>
        <w:ind w:firstLine="360"/>
        <w:jc w:val="both"/>
        <w:rPr>
          <w:sz w:val="20"/>
          <w:szCs w:val="20"/>
        </w:rPr>
      </w:pPr>
      <w:r w:rsidRPr="009263A5">
        <w:rPr>
          <w:sz w:val="20"/>
          <w:szCs w:val="20"/>
        </w:rPr>
        <w:t xml:space="preserve">We find that our results are fairly robust (particularly the coefficient corresponding to </w:t>
      </w:r>
      <w:r w:rsidRPr="009263A5">
        <w:rPr>
          <w:i/>
          <w:sz w:val="20"/>
          <w:szCs w:val="20"/>
        </w:rPr>
        <w:t>t2</w:t>
      </w:r>
      <w:r w:rsidRPr="009263A5">
        <w:rPr>
          <w:sz w:val="20"/>
          <w:szCs w:val="20"/>
        </w:rPr>
        <w:t xml:space="preserve">) to these alternative specifications. There are </w:t>
      </w:r>
      <w:r>
        <w:rPr>
          <w:sz w:val="20"/>
          <w:szCs w:val="20"/>
        </w:rPr>
        <w:t>four</w:t>
      </w:r>
      <w:r w:rsidRPr="009263A5">
        <w:rPr>
          <w:sz w:val="20"/>
          <w:szCs w:val="20"/>
        </w:rPr>
        <w:t xml:space="preserve"> changes of note</w:t>
      </w:r>
      <w:r>
        <w:rPr>
          <w:sz w:val="20"/>
          <w:szCs w:val="20"/>
        </w:rPr>
        <w:t xml:space="preserve"> when</w:t>
      </w:r>
      <w:r w:rsidRPr="009263A5">
        <w:rPr>
          <w:sz w:val="20"/>
          <w:szCs w:val="20"/>
        </w:rPr>
        <w:t xml:space="preserve"> focusing on instances where we exclude high-temperature estimates. Focusing solely on non-catastrophic impacts (</w:t>
      </w:r>
      <w:r>
        <w:rPr>
          <w:sz w:val="20"/>
          <w:szCs w:val="20"/>
        </w:rPr>
        <w:t>S</w:t>
      </w:r>
      <w:r w:rsidRPr="009263A5">
        <w:rPr>
          <w:sz w:val="20"/>
          <w:szCs w:val="20"/>
        </w:rPr>
        <w:t xml:space="preserve">pecification </w:t>
      </w:r>
      <w:r>
        <w:rPr>
          <w:sz w:val="20"/>
          <w:szCs w:val="20"/>
        </w:rPr>
        <w:t>(2)</w:t>
      </w:r>
      <w:r w:rsidRPr="009263A5">
        <w:rPr>
          <w:sz w:val="20"/>
          <w:szCs w:val="20"/>
        </w:rPr>
        <w:t>) slightly decreases the coefficient corresponding to temperature</w:t>
      </w:r>
      <w:r>
        <w:rPr>
          <w:sz w:val="20"/>
          <w:szCs w:val="20"/>
        </w:rPr>
        <w:t xml:space="preserve"> </w:t>
      </w:r>
      <w:r w:rsidRPr="009263A5">
        <w:rPr>
          <w:sz w:val="20"/>
          <w:szCs w:val="20"/>
        </w:rPr>
        <w:t xml:space="preserve">squared, but </w:t>
      </w:r>
      <w:r>
        <w:rPr>
          <w:sz w:val="20"/>
          <w:szCs w:val="20"/>
        </w:rPr>
        <w:t xml:space="preserve">the result is </w:t>
      </w:r>
      <w:r w:rsidRPr="009263A5">
        <w:rPr>
          <w:sz w:val="20"/>
          <w:szCs w:val="20"/>
        </w:rPr>
        <w:t>well within the range of uncertainty expressed in Table 2.</w:t>
      </w:r>
      <w:r>
        <w:rPr>
          <w:sz w:val="20"/>
          <w:szCs w:val="20"/>
        </w:rPr>
        <w:t xml:space="preserve"> </w:t>
      </w:r>
      <w:r>
        <w:rPr>
          <w:sz w:val="20"/>
          <w:szCs w:val="20"/>
        </w:rPr>
        <w:lastRenderedPageBreak/>
        <w:t xml:space="preserve">Redefining the </w:t>
      </w:r>
      <w:r>
        <w:rPr>
          <w:i/>
          <w:sz w:val="20"/>
          <w:szCs w:val="20"/>
        </w:rPr>
        <w:t xml:space="preserve">market </w:t>
      </w:r>
      <w:r>
        <w:rPr>
          <w:sz w:val="20"/>
          <w:szCs w:val="20"/>
        </w:rPr>
        <w:t xml:space="preserve">indicator to account for loss of ecosystem services as non-market impacts (Specification (3)) slightly shifts non-catastrophic impacts to catastrophic impacts (such that total impacts remain relatively constant), while greatly decreasing the </w:t>
      </w:r>
      <w:r>
        <w:rPr>
          <w:i/>
          <w:sz w:val="20"/>
          <w:szCs w:val="20"/>
        </w:rPr>
        <w:t>market</w:t>
      </w:r>
      <w:r>
        <w:rPr>
          <w:sz w:val="20"/>
          <w:szCs w:val="20"/>
        </w:rPr>
        <w:t xml:space="preserve"> coefficient and its significance; a similar result holds when including high-temperature damage estimates.</w:t>
      </w:r>
      <w:r w:rsidRPr="009263A5">
        <w:rPr>
          <w:sz w:val="20"/>
          <w:szCs w:val="20"/>
        </w:rPr>
        <w:t xml:space="preserve"> Increasing the cutoff for speculative estimates from 4 °C to 4.5 °C (</w:t>
      </w:r>
      <w:r>
        <w:rPr>
          <w:sz w:val="20"/>
          <w:szCs w:val="20"/>
        </w:rPr>
        <w:t>S</w:t>
      </w:r>
      <w:r w:rsidRPr="009263A5">
        <w:rPr>
          <w:sz w:val="20"/>
          <w:szCs w:val="20"/>
        </w:rPr>
        <w:t xml:space="preserve">pecification </w:t>
      </w:r>
      <w:r>
        <w:rPr>
          <w:sz w:val="20"/>
          <w:szCs w:val="20"/>
        </w:rPr>
        <w:t>(</w:t>
      </w:r>
      <w:r w:rsidRPr="009263A5">
        <w:rPr>
          <w:sz w:val="20"/>
          <w:szCs w:val="20"/>
        </w:rPr>
        <w:t>5</w:t>
      </w:r>
      <w:r>
        <w:rPr>
          <w:sz w:val="20"/>
          <w:szCs w:val="20"/>
        </w:rPr>
        <w:t>)</w:t>
      </w:r>
      <w:r w:rsidRPr="009263A5">
        <w:rPr>
          <w:sz w:val="20"/>
          <w:szCs w:val="20"/>
        </w:rPr>
        <w:t>) increases the coefficient corresponding to productivity by including Burke et al. (2015) in the dataset, and it results in its statistical significance. Last, applying our stricter definition of citation (</w:t>
      </w:r>
      <w:r>
        <w:rPr>
          <w:sz w:val="20"/>
          <w:szCs w:val="20"/>
        </w:rPr>
        <w:t>S</w:t>
      </w:r>
      <w:r w:rsidRPr="009263A5">
        <w:rPr>
          <w:sz w:val="20"/>
          <w:szCs w:val="20"/>
        </w:rPr>
        <w:t xml:space="preserve">pecification </w:t>
      </w:r>
      <w:r>
        <w:rPr>
          <w:sz w:val="20"/>
          <w:szCs w:val="20"/>
        </w:rPr>
        <w:t>(</w:t>
      </w:r>
      <w:r w:rsidRPr="009263A5">
        <w:rPr>
          <w:sz w:val="20"/>
          <w:szCs w:val="20"/>
        </w:rPr>
        <w:t>7</w:t>
      </w:r>
      <w:r>
        <w:rPr>
          <w:sz w:val="20"/>
          <w:szCs w:val="20"/>
        </w:rPr>
        <w:t>)</w:t>
      </w:r>
      <w:r w:rsidRPr="009263A5">
        <w:rPr>
          <w:sz w:val="20"/>
          <w:szCs w:val="20"/>
        </w:rPr>
        <w:t>) halves the coefficient corresponding to catastrophic damages (though it still remains insignificant). The</w:t>
      </w:r>
      <w:r>
        <w:rPr>
          <w:sz w:val="20"/>
          <w:szCs w:val="20"/>
        </w:rPr>
        <w:t>re are two</w:t>
      </w:r>
      <w:r w:rsidRPr="009263A5">
        <w:rPr>
          <w:sz w:val="20"/>
          <w:szCs w:val="20"/>
        </w:rPr>
        <w:t xml:space="preserve"> change</w:t>
      </w:r>
      <w:r>
        <w:rPr>
          <w:sz w:val="20"/>
          <w:szCs w:val="20"/>
        </w:rPr>
        <w:t>s</w:t>
      </w:r>
      <w:r w:rsidRPr="009263A5">
        <w:rPr>
          <w:sz w:val="20"/>
          <w:szCs w:val="20"/>
        </w:rPr>
        <w:t xml:space="preserve"> of note when we include high</w:t>
      </w:r>
      <w:r>
        <w:rPr>
          <w:sz w:val="20"/>
          <w:szCs w:val="20"/>
        </w:rPr>
        <w:t>-</w:t>
      </w:r>
      <w:r w:rsidRPr="009263A5">
        <w:rPr>
          <w:sz w:val="20"/>
          <w:szCs w:val="20"/>
        </w:rPr>
        <w:t>temperature estimates</w:t>
      </w:r>
      <w:r>
        <w:rPr>
          <w:sz w:val="20"/>
          <w:szCs w:val="20"/>
        </w:rPr>
        <w:t>. A</w:t>
      </w:r>
      <w:r w:rsidRPr="009263A5">
        <w:rPr>
          <w:sz w:val="20"/>
          <w:szCs w:val="20"/>
        </w:rPr>
        <w:t>pplying a stricter definition of duplication (</w:t>
      </w:r>
      <w:r>
        <w:rPr>
          <w:sz w:val="20"/>
          <w:szCs w:val="20"/>
        </w:rPr>
        <w:t>S</w:t>
      </w:r>
      <w:r w:rsidRPr="009263A5">
        <w:rPr>
          <w:sz w:val="20"/>
          <w:szCs w:val="20"/>
        </w:rPr>
        <w:t xml:space="preserve">pecification </w:t>
      </w:r>
      <w:r>
        <w:rPr>
          <w:sz w:val="20"/>
          <w:szCs w:val="20"/>
        </w:rPr>
        <w:t>(</w:t>
      </w:r>
      <w:r w:rsidRPr="009263A5">
        <w:rPr>
          <w:sz w:val="20"/>
          <w:szCs w:val="20"/>
        </w:rPr>
        <w:t>6</w:t>
      </w:r>
      <w:r>
        <w:rPr>
          <w:sz w:val="20"/>
          <w:szCs w:val="20"/>
        </w:rPr>
        <w:t>)</w:t>
      </w:r>
      <w:r w:rsidRPr="009263A5">
        <w:rPr>
          <w:sz w:val="20"/>
          <w:szCs w:val="20"/>
        </w:rPr>
        <w:t>) shifts catastrophic impacts to non-catastrophic impacts. Because the regression results corresponding to the low</w:t>
      </w:r>
      <w:r>
        <w:rPr>
          <w:sz w:val="20"/>
          <w:szCs w:val="20"/>
        </w:rPr>
        <w:t>-</w:t>
      </w:r>
      <w:r w:rsidRPr="009263A5">
        <w:rPr>
          <w:sz w:val="20"/>
          <w:szCs w:val="20"/>
        </w:rPr>
        <w:t>temperature estimates are robust to this new definition, the coefficient corresponding to temperature</w:t>
      </w:r>
      <w:r>
        <w:rPr>
          <w:sz w:val="20"/>
          <w:szCs w:val="20"/>
        </w:rPr>
        <w:t xml:space="preserve"> </w:t>
      </w:r>
      <w:r w:rsidRPr="009263A5">
        <w:rPr>
          <w:sz w:val="20"/>
          <w:szCs w:val="20"/>
        </w:rPr>
        <w:t>squared is now insensitive to the treatment of high-temperature damage estimat</w:t>
      </w:r>
      <w:r>
        <w:rPr>
          <w:sz w:val="20"/>
          <w:szCs w:val="20"/>
        </w:rPr>
        <w:t>es</w:t>
      </w:r>
      <w:r w:rsidRPr="009263A5">
        <w:rPr>
          <w:sz w:val="20"/>
          <w:szCs w:val="20"/>
        </w:rPr>
        <w:t xml:space="preserve"> (this is unsurprising given that there are only two high-temperature estimates remaining). </w:t>
      </w:r>
      <w:r>
        <w:rPr>
          <w:sz w:val="20"/>
          <w:szCs w:val="20"/>
        </w:rPr>
        <w:t xml:space="preserve">If instead we apply weights of one-half to estimates drawn from studies with multiple damage estimates (regression available from the authors upon request), we find a very small shift of non-catastrophic damages to catastrophic damages relative to the preferred specification (Specification (4) in Table 2). Finally, while a stricter definition of citation (Specification (7)) – dropping </w:t>
      </w:r>
      <w:r w:rsidRPr="009263A5">
        <w:rPr>
          <w:sz w:val="20"/>
          <w:szCs w:val="20"/>
        </w:rPr>
        <w:t xml:space="preserve">Meyer </w:t>
      </w:r>
      <w:r>
        <w:rPr>
          <w:sz w:val="20"/>
          <w:szCs w:val="20"/>
        </w:rPr>
        <w:t>and</w:t>
      </w:r>
      <w:r w:rsidRPr="009263A5">
        <w:rPr>
          <w:sz w:val="20"/>
          <w:szCs w:val="20"/>
        </w:rPr>
        <w:t xml:space="preserve"> Co</w:t>
      </w:r>
      <w:r>
        <w:rPr>
          <w:sz w:val="20"/>
          <w:szCs w:val="20"/>
        </w:rPr>
        <w:t>oper (1995) and Hanemann (2008)</w:t>
      </w:r>
      <w:r w:rsidRPr="009263A5">
        <w:rPr>
          <w:sz w:val="20"/>
          <w:szCs w:val="20"/>
        </w:rPr>
        <w:t xml:space="preserve"> </w:t>
      </w:r>
      <w:r>
        <w:rPr>
          <w:sz w:val="20"/>
          <w:szCs w:val="20"/>
        </w:rPr>
        <w:t xml:space="preserve">– has little impact on our results, also dropping </w:t>
      </w:r>
      <w:r w:rsidRPr="009674AE">
        <w:rPr>
          <w:sz w:val="20"/>
          <w:szCs w:val="20"/>
        </w:rPr>
        <w:t>Roso</w:t>
      </w:r>
      <w:r>
        <w:rPr>
          <w:sz w:val="20"/>
          <w:szCs w:val="20"/>
        </w:rPr>
        <w:t>n and van der Mensbrugghe (2012) and Bosello and Parrado (</w:t>
      </w:r>
      <w:r w:rsidRPr="009674AE">
        <w:rPr>
          <w:sz w:val="20"/>
          <w:szCs w:val="20"/>
        </w:rPr>
        <w:t>2014)</w:t>
      </w:r>
      <w:r>
        <w:rPr>
          <w:sz w:val="20"/>
          <w:szCs w:val="20"/>
        </w:rPr>
        <w:t xml:space="preserve"> (in a regression available from the authors) increases the coefficient and significance of productivity.</w:t>
      </w:r>
    </w:p>
    <w:p w:rsidR="00EC2A52" w:rsidRPr="009263A5" w:rsidRDefault="00EC2A52" w:rsidP="00EC2A52">
      <w:pPr>
        <w:spacing w:before="200" w:after="200" w:line="480" w:lineRule="auto"/>
        <w:jc w:val="both"/>
        <w:rPr>
          <w:sz w:val="20"/>
          <w:szCs w:val="20"/>
        </w:rPr>
      </w:pPr>
      <w:r w:rsidRPr="009263A5">
        <w:rPr>
          <w:i/>
          <w:sz w:val="20"/>
          <w:szCs w:val="20"/>
        </w:rPr>
        <w:t xml:space="preserve">Appendix C5. Alternative </w:t>
      </w:r>
      <w:r>
        <w:rPr>
          <w:i/>
          <w:sz w:val="20"/>
          <w:szCs w:val="20"/>
        </w:rPr>
        <w:t>E</w:t>
      </w:r>
      <w:r w:rsidRPr="009263A5">
        <w:rPr>
          <w:i/>
          <w:sz w:val="20"/>
          <w:szCs w:val="20"/>
        </w:rPr>
        <w:t>stimators</w:t>
      </w:r>
      <w:r w:rsidRPr="009263A5">
        <w:rPr>
          <w:sz w:val="20"/>
          <w:szCs w:val="20"/>
        </w:rPr>
        <w:t xml:space="preserve"> </w:t>
      </w:r>
    </w:p>
    <w:p w:rsidR="00EC2A52" w:rsidRPr="009263A5" w:rsidRDefault="00EC2A52" w:rsidP="00EC2A52">
      <w:pPr>
        <w:spacing w:line="480" w:lineRule="auto"/>
        <w:ind w:firstLine="360"/>
        <w:jc w:val="both"/>
        <w:rPr>
          <w:sz w:val="20"/>
          <w:szCs w:val="20"/>
        </w:rPr>
      </w:pPr>
      <w:r w:rsidRPr="009263A5">
        <w:rPr>
          <w:sz w:val="20"/>
          <w:szCs w:val="20"/>
        </w:rPr>
        <w:t>Despite the literature’s recommendation to use GLS and panel fixed effects, we elected to avoid these methodologies in the main text due to our limited number of observations. With respect to fixed effects at the method level in particular, this limits our ability to compare estimates across different methodologies</w:t>
      </w:r>
      <w:r>
        <w:rPr>
          <w:sz w:val="20"/>
          <w:szCs w:val="20"/>
        </w:rPr>
        <w:t xml:space="preserve"> –</w:t>
      </w:r>
      <w:r w:rsidRPr="009263A5">
        <w:rPr>
          <w:sz w:val="20"/>
          <w:szCs w:val="20"/>
        </w:rPr>
        <w:t xml:space="preserve"> an issue raised by </w:t>
      </w:r>
      <w:r>
        <w:rPr>
          <w:sz w:val="20"/>
          <w:szCs w:val="20"/>
        </w:rPr>
        <w:t>the editors of the Journal of Economic Perspectives (</w:t>
      </w:r>
      <w:r w:rsidRPr="009263A5">
        <w:rPr>
          <w:color w:val="222222"/>
          <w:sz w:val="20"/>
          <w:szCs w:val="20"/>
          <w:shd w:val="clear" w:color="auto" w:fill="FFFFFF"/>
        </w:rPr>
        <w:t>JEP</w:t>
      </w:r>
      <w:r>
        <w:rPr>
          <w:color w:val="222222"/>
          <w:sz w:val="20"/>
          <w:szCs w:val="20"/>
          <w:shd w:val="clear" w:color="auto" w:fill="FFFFFF"/>
        </w:rPr>
        <w:t>)</w:t>
      </w:r>
      <w:r w:rsidRPr="009263A5">
        <w:rPr>
          <w:color w:val="222222"/>
          <w:sz w:val="20"/>
          <w:szCs w:val="20"/>
          <w:shd w:val="clear" w:color="auto" w:fill="FFFFFF"/>
        </w:rPr>
        <w:t xml:space="preserve"> (2015)</w:t>
      </w:r>
      <w:r w:rsidRPr="009263A5">
        <w:rPr>
          <w:sz w:val="20"/>
          <w:szCs w:val="20"/>
        </w:rPr>
        <w:t>. With respect to GLS estimates, it also limits our ability to model heteroskedasticity and dependence simultaneously. To address these shortcomings, we re-estimate the preferred specification using alternative estimators: OLS, GLS, panel fixed effects at the method scale, and a combination of GLS and fixed effects; see Table C</w:t>
      </w:r>
      <w:r>
        <w:rPr>
          <w:sz w:val="20"/>
          <w:szCs w:val="20"/>
        </w:rPr>
        <w:t>7</w:t>
      </w:r>
      <w:r w:rsidRPr="009263A5">
        <w:rPr>
          <w:sz w:val="20"/>
          <w:szCs w:val="20"/>
        </w:rPr>
        <w:t>.</w:t>
      </w:r>
    </w:p>
    <w:p w:rsidR="00EC2A52" w:rsidRPr="009263A5" w:rsidRDefault="00EC2A52" w:rsidP="00EC2A52">
      <w:pPr>
        <w:spacing w:line="480" w:lineRule="auto"/>
        <w:ind w:firstLine="360"/>
        <w:jc w:val="both"/>
        <w:rPr>
          <w:sz w:val="20"/>
          <w:szCs w:val="20"/>
        </w:rPr>
      </w:pPr>
      <w:r w:rsidRPr="009263A5">
        <w:rPr>
          <w:sz w:val="20"/>
          <w:szCs w:val="20"/>
        </w:rPr>
        <w:lastRenderedPageBreak/>
        <w:t xml:space="preserve">When excluding high-temperature estimates, our results are generally robust to these alternative estimators. The non-catastrophic and total climate damages implied by weighted least squares – i.e., </w:t>
      </w:r>
      <w:r>
        <w:rPr>
          <w:sz w:val="20"/>
          <w:szCs w:val="20"/>
        </w:rPr>
        <w:t>the</w:t>
      </w:r>
      <w:r w:rsidRPr="009263A5">
        <w:rPr>
          <w:sz w:val="20"/>
          <w:szCs w:val="20"/>
        </w:rPr>
        <w:t xml:space="preserve"> preferred estimator used in the main text – are, if anything, lower bounds. However, we should be careful in reading too much into these results </w:t>
      </w:r>
      <w:r>
        <w:rPr>
          <w:sz w:val="20"/>
          <w:szCs w:val="20"/>
        </w:rPr>
        <w:t>because of</w:t>
      </w:r>
      <w:r w:rsidRPr="009263A5">
        <w:rPr>
          <w:sz w:val="20"/>
          <w:szCs w:val="20"/>
        </w:rPr>
        <w:t xml:space="preserve"> these estimators’ poor sample size properties.</w:t>
      </w:r>
    </w:p>
    <w:p w:rsidR="00EC2A52" w:rsidRPr="009263A5" w:rsidRDefault="00EC2A52" w:rsidP="00EC2A52">
      <w:pPr>
        <w:spacing w:line="480" w:lineRule="auto"/>
        <w:ind w:firstLine="360"/>
        <w:jc w:val="both"/>
        <w:rPr>
          <w:sz w:val="20"/>
          <w:szCs w:val="20"/>
        </w:rPr>
      </w:pPr>
      <w:r w:rsidRPr="009263A5">
        <w:rPr>
          <w:sz w:val="20"/>
          <w:szCs w:val="20"/>
        </w:rPr>
        <w:t>Using data corresponding to all temperature increases, the WLS coefficient corresponding to temperature squared is above the other estimators, while the WLS coefficients corresponding to productivity and catastrophic impacts are generally below the other estimators (the exception being GLS without fixed effects). As a consequence, total impacts (non-catastrophic plus catastrophic) tend to be comparable across the estimators, regardless of whether we account for productivity impacts.</w:t>
      </w:r>
    </w:p>
    <w:p w:rsidR="00EC2A52" w:rsidRPr="009263A5" w:rsidRDefault="00EC2A52" w:rsidP="00EC2A52">
      <w:pPr>
        <w:spacing w:before="200" w:after="200" w:line="480" w:lineRule="auto"/>
        <w:jc w:val="both"/>
        <w:rPr>
          <w:i/>
          <w:sz w:val="20"/>
          <w:szCs w:val="20"/>
        </w:rPr>
      </w:pPr>
      <w:r w:rsidRPr="009263A5">
        <w:rPr>
          <w:i/>
          <w:sz w:val="20"/>
          <w:szCs w:val="20"/>
        </w:rPr>
        <w:t xml:space="preserve">Appendix C6. Sensitivity </w:t>
      </w:r>
      <w:r>
        <w:rPr>
          <w:i/>
          <w:sz w:val="20"/>
          <w:szCs w:val="20"/>
        </w:rPr>
        <w:t>A</w:t>
      </w:r>
      <w:r w:rsidRPr="009263A5">
        <w:rPr>
          <w:i/>
          <w:sz w:val="20"/>
          <w:szCs w:val="20"/>
        </w:rPr>
        <w:t xml:space="preserve">nalysis with </w:t>
      </w:r>
      <w:r>
        <w:rPr>
          <w:i/>
          <w:sz w:val="20"/>
          <w:szCs w:val="20"/>
        </w:rPr>
        <w:t>R</w:t>
      </w:r>
      <w:r w:rsidRPr="009263A5">
        <w:rPr>
          <w:i/>
          <w:sz w:val="20"/>
          <w:szCs w:val="20"/>
        </w:rPr>
        <w:t xml:space="preserve">espect to </w:t>
      </w:r>
      <w:r>
        <w:rPr>
          <w:i/>
          <w:sz w:val="20"/>
          <w:szCs w:val="20"/>
        </w:rPr>
        <w:t>O</w:t>
      </w:r>
      <w:r w:rsidRPr="009263A5">
        <w:rPr>
          <w:i/>
          <w:sz w:val="20"/>
          <w:szCs w:val="20"/>
        </w:rPr>
        <w:t>utliers</w:t>
      </w:r>
    </w:p>
    <w:p w:rsidR="00EC2A52" w:rsidRPr="009263A5" w:rsidRDefault="00EC2A52" w:rsidP="00EC2A52">
      <w:pPr>
        <w:spacing w:line="480" w:lineRule="auto"/>
        <w:ind w:firstLine="360"/>
        <w:jc w:val="both"/>
        <w:rPr>
          <w:sz w:val="20"/>
          <w:szCs w:val="20"/>
        </w:rPr>
      </w:pPr>
      <w:r w:rsidRPr="009263A5">
        <w:rPr>
          <w:sz w:val="20"/>
          <w:szCs w:val="20"/>
        </w:rPr>
        <w:t>As discussed in the literature on meta-analysis methods, testing the sensitivity of the results to outlier estimates is critical when conducting meta-regression. There are generally three types of outliers. Vertical outliers are data whose absolute residual</w:t>
      </w:r>
      <w:r>
        <w:rPr>
          <w:sz w:val="20"/>
          <w:szCs w:val="20"/>
        </w:rPr>
        <w:t>s</w:t>
      </w:r>
      <w:r w:rsidRPr="009263A5">
        <w:rPr>
          <w:sz w:val="20"/>
          <w:szCs w:val="20"/>
        </w:rPr>
        <w:t xml:space="preserve"> (or residual</w:t>
      </w:r>
      <w:r>
        <w:rPr>
          <w:sz w:val="20"/>
          <w:szCs w:val="20"/>
        </w:rPr>
        <w:t>s</w:t>
      </w:r>
      <w:r w:rsidRPr="009263A5">
        <w:rPr>
          <w:sz w:val="20"/>
          <w:szCs w:val="20"/>
        </w:rPr>
        <w:t xml:space="preserve"> squared) are high, so that they reside far from the regression line. Leverage points are data that are far from the bulk of the other data in the explanatory variable space (i.e., hyperplane); this is traditionally measured using Cook’s distance. Leverage points can be further subdivided into good and bad</w:t>
      </w:r>
      <w:r>
        <w:rPr>
          <w:sz w:val="20"/>
          <w:szCs w:val="20"/>
        </w:rPr>
        <w:t>,</w:t>
      </w:r>
      <w:r w:rsidRPr="009263A5">
        <w:rPr>
          <w:sz w:val="20"/>
          <w:szCs w:val="20"/>
        </w:rPr>
        <w:t xml:space="preserve"> where the latter group are also far from the regression line (</w:t>
      </w:r>
      <w:r w:rsidRPr="006645C3">
        <w:rPr>
          <w:sz w:val="20"/>
          <w:szCs w:val="20"/>
          <w:shd w:val="clear" w:color="auto" w:fill="FFFFFF"/>
        </w:rPr>
        <w:t>Verardi</w:t>
      </w:r>
      <w:r w:rsidRPr="006645C3">
        <w:rPr>
          <w:sz w:val="20"/>
          <w:szCs w:val="20"/>
        </w:rPr>
        <w:t xml:space="preserve"> and Croux, 2009</w:t>
      </w:r>
      <w:r w:rsidRPr="009263A5">
        <w:rPr>
          <w:sz w:val="20"/>
          <w:szCs w:val="20"/>
        </w:rPr>
        <w:t>; Alma, 2011).</w:t>
      </w:r>
    </w:p>
    <w:p w:rsidR="00EC2A52" w:rsidRPr="009263A5" w:rsidRDefault="00EC2A52" w:rsidP="00EC2A52">
      <w:pPr>
        <w:spacing w:line="480" w:lineRule="auto"/>
        <w:ind w:firstLine="360"/>
        <w:jc w:val="both"/>
        <w:rPr>
          <w:sz w:val="20"/>
          <w:szCs w:val="20"/>
        </w:rPr>
      </w:pPr>
      <w:r w:rsidRPr="009263A5">
        <w:rPr>
          <w:sz w:val="20"/>
          <w:szCs w:val="20"/>
        </w:rPr>
        <w:t xml:space="preserve">We address outliers in three ways. First, we re-run the preferred specifications – i.e., </w:t>
      </w:r>
      <w:r>
        <w:rPr>
          <w:sz w:val="20"/>
          <w:szCs w:val="20"/>
        </w:rPr>
        <w:t>S</w:t>
      </w:r>
      <w:r w:rsidRPr="009263A5">
        <w:rPr>
          <w:sz w:val="20"/>
          <w:szCs w:val="20"/>
        </w:rPr>
        <w:t>pecifications (4) and (8) in Table 2 – dropping each of the observations in turn to determine their relative impacts on the coefficients; see Figures C1 and C2. Second, we re-run the preferred specification</w:t>
      </w:r>
      <w:r>
        <w:rPr>
          <w:sz w:val="20"/>
          <w:szCs w:val="20"/>
        </w:rPr>
        <w:t>,</w:t>
      </w:r>
      <w:r w:rsidRPr="009263A5">
        <w:rPr>
          <w:sz w:val="20"/>
          <w:szCs w:val="20"/>
        </w:rPr>
        <w:t xml:space="preserve"> dropping each study in turn to determine their relative impacts; these results are available from the author</w:t>
      </w:r>
      <w:r>
        <w:rPr>
          <w:sz w:val="20"/>
          <w:szCs w:val="20"/>
        </w:rPr>
        <w:t>s</w:t>
      </w:r>
      <w:r w:rsidRPr="009263A5">
        <w:rPr>
          <w:sz w:val="20"/>
          <w:szCs w:val="20"/>
        </w:rPr>
        <w:t xml:space="preserve"> upon request. Third, we re-estimate the model using outlier robust estimators; see Table C</w:t>
      </w:r>
      <w:r>
        <w:rPr>
          <w:sz w:val="20"/>
          <w:szCs w:val="20"/>
        </w:rPr>
        <w:t>8</w:t>
      </w:r>
      <w:r w:rsidRPr="009263A5">
        <w:rPr>
          <w:sz w:val="20"/>
          <w:szCs w:val="20"/>
        </w:rPr>
        <w:t xml:space="preserve"> and Figure C3. Specifically, we employ multiple robust estimators (m-estimators, s-estimators, and mm-estimators). While together all of the robust estimat</w:t>
      </w:r>
      <w:r>
        <w:rPr>
          <w:sz w:val="20"/>
          <w:szCs w:val="20"/>
        </w:rPr>
        <w:t>or</w:t>
      </w:r>
      <w:r w:rsidRPr="009263A5">
        <w:rPr>
          <w:sz w:val="20"/>
          <w:szCs w:val="20"/>
        </w:rPr>
        <w:t xml:space="preserve">s provide us with information about the impact of outliers, we focus primarily on the mm-estimator. The mm-estimator was designed to have a high breaking point (i.e., </w:t>
      </w:r>
      <w:r>
        <w:rPr>
          <w:sz w:val="20"/>
          <w:szCs w:val="20"/>
        </w:rPr>
        <w:t xml:space="preserve">it </w:t>
      </w:r>
      <w:r w:rsidRPr="009263A5">
        <w:rPr>
          <w:sz w:val="20"/>
          <w:szCs w:val="20"/>
        </w:rPr>
        <w:t xml:space="preserve">is relatively robust to a higher percentage of outlier estimates) and </w:t>
      </w:r>
      <w:r>
        <w:rPr>
          <w:sz w:val="20"/>
          <w:szCs w:val="20"/>
        </w:rPr>
        <w:t xml:space="preserve">to </w:t>
      </w:r>
      <w:r w:rsidRPr="009263A5">
        <w:rPr>
          <w:sz w:val="20"/>
          <w:szCs w:val="20"/>
        </w:rPr>
        <w:t>be highly Gaussian efficient (i.e., is efficient if the true distribution is normal) (</w:t>
      </w:r>
      <w:r w:rsidRPr="00823414">
        <w:rPr>
          <w:sz w:val="20"/>
          <w:szCs w:val="20"/>
          <w:shd w:val="clear" w:color="auto" w:fill="FFFFFF"/>
        </w:rPr>
        <w:t>Verardi</w:t>
      </w:r>
      <w:r w:rsidRPr="009263A5">
        <w:rPr>
          <w:sz w:val="20"/>
          <w:szCs w:val="20"/>
        </w:rPr>
        <w:t xml:space="preserve"> and Croux, 2009)</w:t>
      </w:r>
      <w:r>
        <w:rPr>
          <w:sz w:val="20"/>
          <w:szCs w:val="20"/>
        </w:rPr>
        <w:t>. The purpose of this design is</w:t>
      </w:r>
      <w:r w:rsidRPr="009263A5">
        <w:rPr>
          <w:sz w:val="20"/>
          <w:szCs w:val="20"/>
        </w:rPr>
        <w:t xml:space="preserve"> to address the shortcomings of other estimators: the OLS estimator has a 0 breaking point; the m estimator collapse</w:t>
      </w:r>
      <w:r>
        <w:rPr>
          <w:sz w:val="20"/>
          <w:szCs w:val="20"/>
        </w:rPr>
        <w:t>s</w:t>
      </w:r>
      <w:r w:rsidRPr="009263A5">
        <w:rPr>
          <w:sz w:val="20"/>
          <w:szCs w:val="20"/>
        </w:rPr>
        <w:t xml:space="preserve"> in the presence of leverage points (i.e., it has a high breaking point relative to vertical outliers only); </w:t>
      </w:r>
      <w:r>
        <w:rPr>
          <w:sz w:val="20"/>
          <w:szCs w:val="20"/>
        </w:rPr>
        <w:t xml:space="preserve">and </w:t>
      </w:r>
      <w:r w:rsidRPr="009263A5">
        <w:rPr>
          <w:sz w:val="20"/>
          <w:szCs w:val="20"/>
        </w:rPr>
        <w:t xml:space="preserve">the s </w:t>
      </w:r>
      <w:r w:rsidRPr="009263A5">
        <w:rPr>
          <w:sz w:val="20"/>
          <w:szCs w:val="20"/>
        </w:rPr>
        <w:lastRenderedPageBreak/>
        <w:t>estimator is relatively inefficient despite having a high breaking point (</w:t>
      </w:r>
      <w:r w:rsidRPr="00823414">
        <w:rPr>
          <w:sz w:val="20"/>
          <w:szCs w:val="20"/>
          <w:shd w:val="clear" w:color="auto" w:fill="FFFFFF"/>
        </w:rPr>
        <w:t>Verardi</w:t>
      </w:r>
      <w:r w:rsidRPr="009263A5">
        <w:rPr>
          <w:sz w:val="20"/>
          <w:szCs w:val="20"/>
        </w:rPr>
        <w:t xml:space="preserve"> and Croux</w:t>
      </w:r>
      <w:r>
        <w:rPr>
          <w:sz w:val="20"/>
          <w:szCs w:val="20"/>
        </w:rPr>
        <w:t xml:space="preserve">, </w:t>
      </w:r>
      <w:r w:rsidRPr="009263A5">
        <w:rPr>
          <w:sz w:val="20"/>
          <w:szCs w:val="20"/>
        </w:rPr>
        <w:t>2009; Alma, 2011; Jann, 2012).</w:t>
      </w:r>
      <w:r>
        <w:rPr>
          <w:sz w:val="20"/>
          <w:szCs w:val="20"/>
        </w:rPr>
        <w:t xml:space="preserve"> </w:t>
      </w:r>
      <w:r w:rsidRPr="009263A5">
        <w:rPr>
          <w:sz w:val="20"/>
          <w:szCs w:val="20"/>
        </w:rPr>
        <w:t xml:space="preserve">We find that the results are fairly robust to these exercises. </w:t>
      </w:r>
    </w:p>
    <w:p w:rsidR="00EC2A52" w:rsidRPr="009263A5" w:rsidRDefault="00EC2A52" w:rsidP="00EC2A52">
      <w:pPr>
        <w:spacing w:line="480" w:lineRule="auto"/>
        <w:ind w:firstLine="360"/>
        <w:jc w:val="both"/>
        <w:rPr>
          <w:sz w:val="20"/>
          <w:szCs w:val="20"/>
        </w:rPr>
      </w:pPr>
      <w:r w:rsidRPr="009263A5">
        <w:rPr>
          <w:sz w:val="20"/>
          <w:szCs w:val="20"/>
        </w:rPr>
        <w:t>We combine a visual inspection of Figure C3 with a review of</w:t>
      </w:r>
      <w:r>
        <w:rPr>
          <w:sz w:val="20"/>
          <w:szCs w:val="20"/>
        </w:rPr>
        <w:t xml:space="preserve"> the </w:t>
      </w:r>
      <w:r w:rsidRPr="006D0B10">
        <w:rPr>
          <w:i/>
          <w:sz w:val="20"/>
          <w:szCs w:val="20"/>
        </w:rPr>
        <w:t>mm</w:t>
      </w:r>
      <w:r>
        <w:rPr>
          <w:sz w:val="20"/>
          <w:szCs w:val="20"/>
        </w:rPr>
        <w:t xml:space="preserve"> regression</w:t>
      </w:r>
      <w:r w:rsidRPr="009263A5">
        <w:rPr>
          <w:sz w:val="20"/>
          <w:szCs w:val="20"/>
        </w:rPr>
        <w:t xml:space="preserve"> weights (</w:t>
      </w:r>
      <w:r>
        <w:rPr>
          <w:sz w:val="20"/>
          <w:szCs w:val="20"/>
        </w:rPr>
        <w:t xml:space="preserve">generated using the </w:t>
      </w:r>
      <w:r>
        <w:rPr>
          <w:i/>
          <w:sz w:val="20"/>
          <w:szCs w:val="20"/>
        </w:rPr>
        <w:t xml:space="preserve">robreg </w:t>
      </w:r>
      <w:r>
        <w:rPr>
          <w:sz w:val="20"/>
          <w:szCs w:val="20"/>
        </w:rPr>
        <w:t>command</w:t>
      </w:r>
      <w:r w:rsidRPr="009263A5">
        <w:rPr>
          <w:sz w:val="20"/>
          <w:szCs w:val="20"/>
        </w:rPr>
        <w:t>)</w:t>
      </w:r>
      <w:r>
        <w:rPr>
          <w:sz w:val="20"/>
          <w:szCs w:val="20"/>
        </w:rPr>
        <w:t xml:space="preserve"> </w:t>
      </w:r>
      <w:r w:rsidRPr="009263A5">
        <w:rPr>
          <w:sz w:val="20"/>
          <w:szCs w:val="20"/>
        </w:rPr>
        <w:t>to identify outlier estimates, and then analyze Figures C1 and C2 to understand the impacts of these individual outliers on regression results. When we exclude high-temperature damage estimates, we find that the magnitude of the catastrophic impact of climate change (</w:t>
      </w:r>
      <w:r w:rsidRPr="009263A5">
        <w:rPr>
          <w:i/>
          <w:sz w:val="20"/>
          <w:szCs w:val="20"/>
        </w:rPr>
        <w:t>cat_t2</w:t>
      </w:r>
      <w:r w:rsidRPr="009263A5">
        <w:rPr>
          <w:sz w:val="20"/>
          <w:szCs w:val="20"/>
        </w:rPr>
        <w:t xml:space="preserve">) is sensitive to the inclusion of Meyer and Cooper (1995), Nordhaus (2008a), and one of the estimates in Howard and Sylvan (2015), while </w:t>
      </w:r>
      <w:r>
        <w:rPr>
          <w:sz w:val="20"/>
          <w:szCs w:val="20"/>
        </w:rPr>
        <w:t xml:space="preserve">the </w:t>
      </w:r>
      <w:r w:rsidRPr="009263A5">
        <w:rPr>
          <w:sz w:val="20"/>
          <w:szCs w:val="20"/>
        </w:rPr>
        <w:t>non-catastrophic impact of climate change (</w:t>
      </w:r>
      <w:r w:rsidRPr="009263A5">
        <w:rPr>
          <w:i/>
          <w:sz w:val="20"/>
          <w:szCs w:val="20"/>
        </w:rPr>
        <w:t>t2</w:t>
      </w:r>
      <w:r w:rsidRPr="009263A5">
        <w:rPr>
          <w:sz w:val="20"/>
          <w:szCs w:val="20"/>
        </w:rPr>
        <w:t>) is sensitive to the inclusion of the latter point only (in the opposing direction). Schauer (1995), Horowitz (2009), and both Nordhaus (2014) estimates are also</w:t>
      </w:r>
      <w:r>
        <w:rPr>
          <w:sz w:val="20"/>
          <w:szCs w:val="20"/>
        </w:rPr>
        <w:t xml:space="preserve"> potential </w:t>
      </w:r>
      <w:r w:rsidRPr="009263A5">
        <w:rPr>
          <w:sz w:val="20"/>
          <w:szCs w:val="20"/>
        </w:rPr>
        <w:t xml:space="preserve">outliers impacting the coefficient corresponding to </w:t>
      </w:r>
      <w:r w:rsidRPr="009263A5">
        <w:rPr>
          <w:i/>
          <w:sz w:val="20"/>
          <w:szCs w:val="20"/>
        </w:rPr>
        <w:t>t2, cat_</w:t>
      </w:r>
      <w:r w:rsidRPr="009263A5">
        <w:rPr>
          <w:sz w:val="20"/>
          <w:szCs w:val="20"/>
        </w:rPr>
        <w:t>t2, and/or the productivity impact of climate change (</w:t>
      </w:r>
      <w:r w:rsidRPr="009263A5">
        <w:rPr>
          <w:i/>
          <w:sz w:val="20"/>
          <w:szCs w:val="20"/>
        </w:rPr>
        <w:t>prod_t2</w:t>
      </w:r>
      <w:r w:rsidRPr="009263A5">
        <w:rPr>
          <w:sz w:val="20"/>
          <w:szCs w:val="20"/>
        </w:rPr>
        <w:t xml:space="preserve">). When we include high-temperature damage estimates, we find that temperature squared and catastrophic impacts are more unstable relative to when we exclude damage estimates corresponding to temperatures above 4°C. </w:t>
      </w:r>
      <w:r>
        <w:rPr>
          <w:sz w:val="20"/>
          <w:szCs w:val="20"/>
        </w:rPr>
        <w:t>W</w:t>
      </w:r>
      <w:r w:rsidRPr="009263A5">
        <w:rPr>
          <w:sz w:val="20"/>
          <w:szCs w:val="20"/>
        </w:rPr>
        <w:t xml:space="preserve">e find that </w:t>
      </w:r>
      <w:r>
        <w:rPr>
          <w:sz w:val="20"/>
          <w:szCs w:val="20"/>
        </w:rPr>
        <w:t>one point from</w:t>
      </w:r>
      <w:r w:rsidRPr="009263A5">
        <w:rPr>
          <w:sz w:val="20"/>
          <w:szCs w:val="20"/>
        </w:rPr>
        <w:t xml:space="preserve"> Weitzman (2012)</w:t>
      </w:r>
      <w:r>
        <w:rPr>
          <w:sz w:val="20"/>
          <w:szCs w:val="20"/>
        </w:rPr>
        <w:t xml:space="preserve">, </w:t>
      </w:r>
      <w:r w:rsidRPr="009263A5">
        <w:rPr>
          <w:sz w:val="20"/>
          <w:szCs w:val="20"/>
        </w:rPr>
        <w:t>Burke et al. (2015)</w:t>
      </w:r>
      <w:r>
        <w:rPr>
          <w:sz w:val="20"/>
          <w:szCs w:val="20"/>
        </w:rPr>
        <w:t xml:space="preserve">, and </w:t>
      </w:r>
      <w:r w:rsidRPr="009263A5">
        <w:rPr>
          <w:sz w:val="20"/>
          <w:szCs w:val="20"/>
        </w:rPr>
        <w:t xml:space="preserve">one point estimate from </w:t>
      </w:r>
      <w:r w:rsidRPr="00EA3747">
        <w:rPr>
          <w:sz w:val="20"/>
          <w:szCs w:val="20"/>
        </w:rPr>
        <w:t>Howard</w:t>
      </w:r>
      <w:r>
        <w:rPr>
          <w:sz w:val="20"/>
          <w:szCs w:val="20"/>
        </w:rPr>
        <w:t xml:space="preserve"> and Sylvan (2015)</w:t>
      </w:r>
      <w:r w:rsidRPr="009263A5">
        <w:rPr>
          <w:sz w:val="20"/>
          <w:szCs w:val="20"/>
        </w:rPr>
        <w:t xml:space="preserve"> </w:t>
      </w:r>
      <w:r>
        <w:rPr>
          <w:sz w:val="20"/>
          <w:szCs w:val="20"/>
        </w:rPr>
        <w:t>are strong candidates as outliers, while</w:t>
      </w:r>
      <w:r w:rsidRPr="009263A5">
        <w:rPr>
          <w:sz w:val="20"/>
          <w:szCs w:val="20"/>
        </w:rPr>
        <w:t xml:space="preserve"> Meyer and Cooper (1995), Schauer (1995), Nordhaus (2008a), </w:t>
      </w:r>
      <w:r>
        <w:rPr>
          <w:sz w:val="20"/>
          <w:szCs w:val="20"/>
        </w:rPr>
        <w:t xml:space="preserve">and one point from Nordhaus (2014) </w:t>
      </w:r>
      <w:r w:rsidRPr="009263A5">
        <w:rPr>
          <w:sz w:val="20"/>
          <w:szCs w:val="20"/>
        </w:rPr>
        <w:t xml:space="preserve">are </w:t>
      </w:r>
      <w:r>
        <w:rPr>
          <w:sz w:val="20"/>
          <w:szCs w:val="20"/>
        </w:rPr>
        <w:t xml:space="preserve">also </w:t>
      </w:r>
      <w:r w:rsidRPr="009263A5">
        <w:rPr>
          <w:sz w:val="20"/>
          <w:szCs w:val="20"/>
        </w:rPr>
        <w:t>potential outliers.</w:t>
      </w:r>
    </w:p>
    <w:p w:rsidR="00EC2A52" w:rsidRPr="009263A5" w:rsidRDefault="00EC2A52" w:rsidP="00EC2A52">
      <w:pPr>
        <w:spacing w:line="480" w:lineRule="auto"/>
        <w:ind w:firstLine="360"/>
        <w:jc w:val="both"/>
        <w:rPr>
          <w:sz w:val="20"/>
          <w:szCs w:val="20"/>
        </w:rPr>
      </w:pPr>
      <w:r w:rsidRPr="009263A5">
        <w:rPr>
          <w:sz w:val="20"/>
          <w:szCs w:val="20"/>
        </w:rPr>
        <w:t xml:space="preserve">In </w:t>
      </w:r>
      <w:r>
        <w:rPr>
          <w:sz w:val="20"/>
          <w:szCs w:val="20"/>
        </w:rPr>
        <w:t xml:space="preserve">addition to </w:t>
      </w:r>
      <w:r w:rsidRPr="009263A5">
        <w:rPr>
          <w:sz w:val="20"/>
          <w:szCs w:val="20"/>
        </w:rPr>
        <w:t>individual outlier estimates, we may be concerned about outlier studies. Given that the majority of studies in our paper provide only one observation to our dataset, the previous paragraph’s discussion applies to most studies. The exception is when a study provides two estimates. Of the six studies</w:t>
      </w:r>
      <w:r>
        <w:rPr>
          <w:sz w:val="20"/>
          <w:szCs w:val="20"/>
        </w:rPr>
        <w:t xml:space="preserve"> that supply two estimates</w:t>
      </w:r>
      <w:r w:rsidRPr="009263A5">
        <w:rPr>
          <w:sz w:val="20"/>
          <w:szCs w:val="20"/>
        </w:rPr>
        <w:t xml:space="preserve">, half have no impact on the coefficients (Nordhaus, 2014) or </w:t>
      </w:r>
      <w:r>
        <w:rPr>
          <w:sz w:val="20"/>
          <w:szCs w:val="20"/>
        </w:rPr>
        <w:t>a</w:t>
      </w:r>
      <w:r w:rsidRPr="009263A5">
        <w:rPr>
          <w:sz w:val="20"/>
          <w:szCs w:val="20"/>
        </w:rPr>
        <w:t>ffect only the division of total damages between non-catastrophic and catastrophic impacts (Nordhaus, 1994b; Howard and Sylvan, 2015). However, Mendelsohn et al. (2000b) and Roson and van der Mensbrugghe (2012) push up and hold down, respectively, the impact of climate change via productivity, while Weitzman (2012) holds down the coefficient according to catastrophic impacts. Overall, like individual damage estimates, the total (non-catastrophic plus catastrophic) impact estimates are fairly robust to the removal of studies.</w:t>
      </w:r>
    </w:p>
    <w:p w:rsidR="00EC2A52" w:rsidRPr="009263A5" w:rsidRDefault="00EC2A52" w:rsidP="00EC2A52">
      <w:pPr>
        <w:spacing w:line="480" w:lineRule="auto"/>
        <w:ind w:firstLine="360"/>
        <w:jc w:val="both"/>
        <w:rPr>
          <w:sz w:val="20"/>
          <w:szCs w:val="20"/>
        </w:rPr>
      </w:pPr>
      <w:r w:rsidRPr="009263A5">
        <w:rPr>
          <w:sz w:val="20"/>
          <w:szCs w:val="20"/>
        </w:rPr>
        <w:t xml:space="preserve">Finally, we estimate three robust estimators: m regression (using </w:t>
      </w:r>
      <w:r w:rsidRPr="009263A5">
        <w:rPr>
          <w:i/>
          <w:sz w:val="20"/>
          <w:szCs w:val="20"/>
        </w:rPr>
        <w:t>mregress</w:t>
      </w:r>
      <w:r w:rsidRPr="009263A5">
        <w:rPr>
          <w:sz w:val="20"/>
          <w:szCs w:val="20"/>
        </w:rPr>
        <w:t xml:space="preserve">), s regression (using </w:t>
      </w:r>
      <w:r w:rsidRPr="009263A5">
        <w:rPr>
          <w:i/>
          <w:sz w:val="20"/>
          <w:szCs w:val="20"/>
        </w:rPr>
        <w:t>sregress</w:t>
      </w:r>
      <w:r w:rsidRPr="009263A5">
        <w:rPr>
          <w:sz w:val="20"/>
          <w:szCs w:val="20"/>
        </w:rPr>
        <w:t xml:space="preserve">), and mm regression (using </w:t>
      </w:r>
      <w:r w:rsidRPr="009263A5">
        <w:rPr>
          <w:i/>
          <w:sz w:val="20"/>
          <w:szCs w:val="20"/>
        </w:rPr>
        <w:t>mmregress</w:t>
      </w:r>
      <w:r w:rsidRPr="009263A5">
        <w:rPr>
          <w:sz w:val="20"/>
          <w:szCs w:val="20"/>
        </w:rPr>
        <w:t>)</w:t>
      </w:r>
      <w:r>
        <w:rPr>
          <w:sz w:val="20"/>
          <w:szCs w:val="20"/>
        </w:rPr>
        <w:t>. Again,</w:t>
      </w:r>
      <w:r w:rsidRPr="009263A5">
        <w:rPr>
          <w:sz w:val="20"/>
          <w:szCs w:val="20"/>
        </w:rPr>
        <w:t xml:space="preserve"> </w:t>
      </w:r>
      <w:r>
        <w:rPr>
          <w:sz w:val="20"/>
          <w:szCs w:val="20"/>
        </w:rPr>
        <w:t xml:space="preserve">the preferred estimator is </w:t>
      </w:r>
      <w:r>
        <w:rPr>
          <w:i/>
          <w:sz w:val="20"/>
          <w:szCs w:val="20"/>
        </w:rPr>
        <w:t xml:space="preserve">mmregress </w:t>
      </w:r>
      <w:r>
        <w:rPr>
          <w:sz w:val="20"/>
          <w:szCs w:val="20"/>
        </w:rPr>
        <w:t>because it is efficient and robust. We</w:t>
      </w:r>
      <w:r w:rsidRPr="009263A5">
        <w:rPr>
          <w:sz w:val="20"/>
          <w:szCs w:val="20"/>
        </w:rPr>
        <w:t xml:space="preserve"> also re-estimate </w:t>
      </w:r>
      <w:r>
        <w:rPr>
          <w:sz w:val="20"/>
          <w:szCs w:val="20"/>
        </w:rPr>
        <w:t>the</w:t>
      </w:r>
      <w:r w:rsidRPr="009263A5">
        <w:rPr>
          <w:sz w:val="20"/>
          <w:szCs w:val="20"/>
        </w:rPr>
        <w:t xml:space="preserve"> preferred specifications</w:t>
      </w:r>
      <w:r>
        <w:rPr>
          <w:sz w:val="20"/>
          <w:szCs w:val="20"/>
        </w:rPr>
        <w:t>,</w:t>
      </w:r>
      <w:r w:rsidRPr="009263A5">
        <w:rPr>
          <w:sz w:val="20"/>
          <w:szCs w:val="20"/>
        </w:rPr>
        <w:t xml:space="preserve"> dropping </w:t>
      </w:r>
      <w:r>
        <w:rPr>
          <w:sz w:val="20"/>
          <w:szCs w:val="20"/>
        </w:rPr>
        <w:t xml:space="preserve">estimates with </w:t>
      </w:r>
      <w:r>
        <w:rPr>
          <w:i/>
          <w:sz w:val="20"/>
          <w:szCs w:val="20"/>
        </w:rPr>
        <w:t xml:space="preserve">mm </w:t>
      </w:r>
      <w:r w:rsidRPr="002D03A9">
        <w:rPr>
          <w:sz w:val="20"/>
          <w:szCs w:val="20"/>
        </w:rPr>
        <w:t>regressor</w:t>
      </w:r>
      <w:r>
        <w:rPr>
          <w:sz w:val="20"/>
          <w:szCs w:val="20"/>
        </w:rPr>
        <w:t xml:space="preserve"> weights below 0.8 (this is roughly equivalent to </w:t>
      </w:r>
      <w:r w:rsidRPr="00287948">
        <w:rPr>
          <w:sz w:val="20"/>
          <w:szCs w:val="20"/>
        </w:rPr>
        <w:t>the</w:t>
      </w:r>
      <w:r w:rsidRPr="009263A5">
        <w:rPr>
          <w:sz w:val="20"/>
          <w:szCs w:val="20"/>
        </w:rPr>
        <w:t xml:space="preserve"> outlier estimates identified earlier</w:t>
      </w:r>
      <w:r>
        <w:rPr>
          <w:sz w:val="20"/>
          <w:szCs w:val="20"/>
        </w:rPr>
        <w:t xml:space="preserve"> with the exception of Schauer (1995) when we exclude </w:t>
      </w:r>
      <w:r>
        <w:rPr>
          <w:sz w:val="20"/>
          <w:szCs w:val="20"/>
        </w:rPr>
        <w:lastRenderedPageBreak/>
        <w:t xml:space="preserve">high-temperature estimates). </w:t>
      </w:r>
      <w:r w:rsidRPr="009263A5">
        <w:rPr>
          <w:sz w:val="20"/>
          <w:szCs w:val="20"/>
        </w:rPr>
        <w:t>On the one hand, we find a flatter temperature-non-catastrophic damage relationship (i.e., the coefficient</w:t>
      </w:r>
      <w:r>
        <w:rPr>
          <w:sz w:val="20"/>
          <w:szCs w:val="20"/>
        </w:rPr>
        <w:t>s</w:t>
      </w:r>
      <w:r w:rsidRPr="009263A5">
        <w:rPr>
          <w:sz w:val="20"/>
          <w:szCs w:val="20"/>
        </w:rPr>
        <w:t xml:space="preserve"> corresponding to </w:t>
      </w:r>
      <w:r w:rsidRPr="009263A5">
        <w:rPr>
          <w:i/>
          <w:sz w:val="20"/>
          <w:szCs w:val="20"/>
        </w:rPr>
        <w:t xml:space="preserve">t2 </w:t>
      </w:r>
      <w:r w:rsidRPr="009263A5">
        <w:rPr>
          <w:sz w:val="20"/>
          <w:szCs w:val="20"/>
        </w:rPr>
        <w:t xml:space="preserve">and </w:t>
      </w:r>
      <w:r w:rsidRPr="009263A5">
        <w:rPr>
          <w:i/>
          <w:sz w:val="20"/>
          <w:szCs w:val="20"/>
        </w:rPr>
        <w:t xml:space="preserve">prod_t2 </w:t>
      </w:r>
      <w:r w:rsidRPr="009263A5">
        <w:rPr>
          <w:sz w:val="20"/>
          <w:szCs w:val="20"/>
        </w:rPr>
        <w:t xml:space="preserve">are smaller in magnitude), though </w:t>
      </w:r>
      <w:r>
        <w:rPr>
          <w:sz w:val="20"/>
          <w:szCs w:val="20"/>
        </w:rPr>
        <w:t>the relationship</w:t>
      </w:r>
      <w:r w:rsidRPr="009263A5">
        <w:rPr>
          <w:sz w:val="20"/>
          <w:szCs w:val="20"/>
        </w:rPr>
        <w:t xml:space="preserve"> remains well within the 95</w:t>
      </w:r>
      <w:r w:rsidRPr="009263A5">
        <w:rPr>
          <w:sz w:val="20"/>
          <w:szCs w:val="20"/>
          <w:vertAlign w:val="superscript"/>
        </w:rPr>
        <w:t>th</w:t>
      </w:r>
      <w:r w:rsidRPr="009263A5">
        <w:rPr>
          <w:sz w:val="20"/>
          <w:szCs w:val="20"/>
        </w:rPr>
        <w:t xml:space="preserve"> confidence intervals of </w:t>
      </w:r>
      <w:r>
        <w:rPr>
          <w:sz w:val="20"/>
          <w:szCs w:val="20"/>
        </w:rPr>
        <w:t>the</w:t>
      </w:r>
      <w:r w:rsidRPr="009263A5">
        <w:rPr>
          <w:sz w:val="20"/>
          <w:szCs w:val="20"/>
        </w:rPr>
        <w:t xml:space="preserve"> preferred specification. On the other hand, we find a steeper temperature-catastrophic damage relationship</w:t>
      </w:r>
      <w:r>
        <w:rPr>
          <w:sz w:val="20"/>
          <w:szCs w:val="20"/>
        </w:rPr>
        <w:t xml:space="preserve"> –</w:t>
      </w:r>
      <w:r w:rsidRPr="009263A5">
        <w:rPr>
          <w:sz w:val="20"/>
          <w:szCs w:val="20"/>
        </w:rPr>
        <w:t xml:space="preserve"> in </w:t>
      </w:r>
      <w:r>
        <w:rPr>
          <w:sz w:val="20"/>
          <w:szCs w:val="20"/>
        </w:rPr>
        <w:t>some</w:t>
      </w:r>
      <w:r w:rsidRPr="009263A5">
        <w:rPr>
          <w:sz w:val="20"/>
          <w:szCs w:val="20"/>
        </w:rPr>
        <w:t xml:space="preserve"> cases </w:t>
      </w:r>
      <w:r>
        <w:rPr>
          <w:sz w:val="20"/>
          <w:szCs w:val="20"/>
        </w:rPr>
        <w:t>outside</w:t>
      </w:r>
      <w:r w:rsidRPr="009263A5">
        <w:rPr>
          <w:sz w:val="20"/>
          <w:szCs w:val="20"/>
        </w:rPr>
        <w:t xml:space="preserve"> the 95% confidence interval </w:t>
      </w:r>
      <w:r>
        <w:rPr>
          <w:sz w:val="20"/>
          <w:szCs w:val="20"/>
        </w:rPr>
        <w:t>of the</w:t>
      </w:r>
      <w:r w:rsidRPr="009263A5">
        <w:rPr>
          <w:sz w:val="20"/>
          <w:szCs w:val="20"/>
        </w:rPr>
        <w:t xml:space="preserve"> preferred specification</w:t>
      </w:r>
      <w:r>
        <w:rPr>
          <w:sz w:val="20"/>
          <w:szCs w:val="20"/>
        </w:rPr>
        <w:t xml:space="preserve"> – particularly when we exclude high-temperature estimates</w:t>
      </w:r>
      <w:r w:rsidRPr="009263A5">
        <w:rPr>
          <w:sz w:val="20"/>
          <w:szCs w:val="20"/>
        </w:rPr>
        <w:t>. As a consequence, total damages (i.e., non-catastrophic plus catastrophic) are relatively stable</w:t>
      </w:r>
      <w:r>
        <w:rPr>
          <w:sz w:val="20"/>
          <w:szCs w:val="20"/>
        </w:rPr>
        <w:t>,</w:t>
      </w:r>
      <w:r w:rsidRPr="009263A5">
        <w:rPr>
          <w:sz w:val="20"/>
          <w:szCs w:val="20"/>
        </w:rPr>
        <w:t xml:space="preserve"> in that outlier estimates affect how total impacts are divided between non-catastrophic and catastrophic impacts rather than the absolute magnitude of the total impact. Therefore, the temperature-damage relationship implied by the robust regression is still steeper than that found earlier in Nordhaus (2013), though this steeper relationship is dependent on the inclusion of productivity and catastrophic impacts when we include high-temperature damage estimates in our regression analysis.</w:t>
      </w:r>
    </w:p>
    <w:p w:rsidR="00EC2A52" w:rsidRPr="00362A5F" w:rsidRDefault="00EC2A52" w:rsidP="00EC2A52">
      <w:pPr>
        <w:spacing w:line="480" w:lineRule="auto"/>
        <w:ind w:firstLine="360"/>
        <w:jc w:val="both"/>
        <w:rPr>
          <w:sz w:val="20"/>
          <w:szCs w:val="20"/>
        </w:rPr>
      </w:pPr>
      <w:r>
        <w:rPr>
          <w:sz w:val="20"/>
          <w:szCs w:val="20"/>
        </w:rPr>
        <w:t>We conduct two additional sensitivity tests (available upon request from the authors) of our outlier results. First, d</w:t>
      </w:r>
      <w:r w:rsidRPr="009263A5">
        <w:rPr>
          <w:sz w:val="20"/>
          <w:szCs w:val="20"/>
        </w:rPr>
        <w:t xml:space="preserve">ue to a tradeoff between bias and efficiency (Verardi and Croux, 2009), we re-estimate the mm estimator for three efficiency levels: 0.7 (the default of </w:t>
      </w:r>
      <w:r w:rsidRPr="00462FDF">
        <w:rPr>
          <w:i/>
          <w:sz w:val="20"/>
          <w:szCs w:val="20"/>
        </w:rPr>
        <w:t>mregress</w:t>
      </w:r>
      <w:r w:rsidRPr="009263A5">
        <w:rPr>
          <w:sz w:val="20"/>
          <w:szCs w:val="20"/>
        </w:rPr>
        <w:t xml:space="preserve">); 0.85 (the default of </w:t>
      </w:r>
      <w:r w:rsidRPr="00462FDF">
        <w:rPr>
          <w:i/>
          <w:sz w:val="20"/>
          <w:szCs w:val="20"/>
        </w:rPr>
        <w:t>robreg</w:t>
      </w:r>
      <w:r w:rsidRPr="009263A5">
        <w:rPr>
          <w:sz w:val="20"/>
          <w:szCs w:val="20"/>
        </w:rPr>
        <w:t xml:space="preserve">) and 0.95 (the maximum under </w:t>
      </w:r>
      <w:r w:rsidRPr="00462FDF">
        <w:rPr>
          <w:i/>
          <w:sz w:val="20"/>
          <w:szCs w:val="20"/>
        </w:rPr>
        <w:t>robreg</w:t>
      </w:r>
      <w:r w:rsidRPr="009263A5">
        <w:rPr>
          <w:sz w:val="20"/>
          <w:szCs w:val="20"/>
        </w:rPr>
        <w:t>); 0.85 is the suggested value according to Jann (2010). The results are robust to the differing efficiency levels.</w:t>
      </w:r>
      <w:r>
        <w:rPr>
          <w:sz w:val="20"/>
          <w:szCs w:val="20"/>
        </w:rPr>
        <w:t xml:space="preserve"> Second, we also run an alternative Stata command </w:t>
      </w:r>
      <w:r>
        <w:rPr>
          <w:i/>
          <w:sz w:val="20"/>
          <w:szCs w:val="20"/>
        </w:rPr>
        <w:t xml:space="preserve">robreg </w:t>
      </w:r>
      <w:r>
        <w:rPr>
          <w:sz w:val="20"/>
          <w:szCs w:val="20"/>
        </w:rPr>
        <w:t xml:space="preserve">(which requires a constant, so we run robreg and then rerun WLS without a constant using these weights), and find that overall results are robust to the </w:t>
      </w:r>
      <w:r>
        <w:rPr>
          <w:i/>
          <w:sz w:val="20"/>
          <w:szCs w:val="20"/>
        </w:rPr>
        <w:t xml:space="preserve">mm </w:t>
      </w:r>
      <w:r>
        <w:rPr>
          <w:sz w:val="20"/>
          <w:szCs w:val="20"/>
        </w:rPr>
        <w:t xml:space="preserve">regressor chosen. While the general results are robust when we exclude high-temperature estimates, we should note that the coefficient corresponding to temperature squared increases and the coefficient corresponding to catastrophic impacts is approximately halved and slightly less significant as compared to the </w:t>
      </w:r>
      <w:r>
        <w:rPr>
          <w:i/>
          <w:sz w:val="20"/>
          <w:szCs w:val="20"/>
        </w:rPr>
        <w:t xml:space="preserve">mmregress </w:t>
      </w:r>
      <w:r>
        <w:rPr>
          <w:sz w:val="20"/>
          <w:szCs w:val="20"/>
        </w:rPr>
        <w:t>command (though the catastrophic coefficient is still substantially greater than our original WLS results, such that total impact of climate change is equivalent to WLS).</w:t>
      </w:r>
    </w:p>
    <w:p w:rsidR="00EC2A52" w:rsidRPr="009263A5" w:rsidRDefault="00EC2A52" w:rsidP="00EC2A52">
      <w:pPr>
        <w:spacing w:line="480" w:lineRule="auto"/>
        <w:ind w:firstLine="360"/>
        <w:jc w:val="both"/>
        <w:rPr>
          <w:sz w:val="20"/>
          <w:szCs w:val="20"/>
        </w:rPr>
      </w:pPr>
      <w:r w:rsidRPr="009263A5">
        <w:rPr>
          <w:sz w:val="20"/>
          <w:szCs w:val="20"/>
        </w:rPr>
        <w:t>We should carefully interpret these robust regressions, particularly when we include high-temperature damage estimates. Due to our small sample size, many of the asymptotic properties of these regressions – including asymptotic efficiency – may not hold (Alma, 2011; Koller and Stahel, 2011). Furthermore, many of these high-temperature damage estimates are potential extrapolations of low</w:t>
      </w:r>
      <w:r>
        <w:rPr>
          <w:sz w:val="20"/>
          <w:szCs w:val="20"/>
        </w:rPr>
        <w:t xml:space="preserve"> </w:t>
      </w:r>
      <w:r w:rsidRPr="009263A5">
        <w:rPr>
          <w:sz w:val="20"/>
          <w:szCs w:val="20"/>
        </w:rPr>
        <w:t xml:space="preserve">temperature damage estimates – potentially confounding the determination of outliers when they are included in the data. Finally, some of the robust estimator results are unstable in that they vary by the random draw (i.e., the initial seed). </w:t>
      </w:r>
      <w:r>
        <w:rPr>
          <w:sz w:val="20"/>
          <w:szCs w:val="20"/>
        </w:rPr>
        <w:t>For some random draws (approximately 12.8% of the time),</w:t>
      </w:r>
      <w:r w:rsidRPr="009263A5">
        <w:rPr>
          <w:sz w:val="20"/>
          <w:szCs w:val="20"/>
        </w:rPr>
        <w:t xml:space="preserve"> the </w:t>
      </w:r>
      <w:r w:rsidRPr="006645C3">
        <w:rPr>
          <w:i/>
          <w:sz w:val="20"/>
          <w:szCs w:val="20"/>
        </w:rPr>
        <w:t>mmregress</w:t>
      </w:r>
      <w:r>
        <w:rPr>
          <w:sz w:val="20"/>
          <w:szCs w:val="20"/>
        </w:rPr>
        <w:t xml:space="preserve">’s </w:t>
      </w:r>
      <w:r w:rsidRPr="009263A5">
        <w:rPr>
          <w:sz w:val="20"/>
          <w:szCs w:val="20"/>
        </w:rPr>
        <w:t xml:space="preserve">coefficient corresponding to catastrophic impacts declines </w:t>
      </w:r>
      <w:r>
        <w:rPr>
          <w:sz w:val="20"/>
          <w:szCs w:val="20"/>
        </w:rPr>
        <w:t xml:space="preserve">to </w:t>
      </w:r>
      <w:r>
        <w:rPr>
          <w:sz w:val="20"/>
          <w:szCs w:val="20"/>
        </w:rPr>
        <w:lastRenderedPageBreak/>
        <w:t>approximately its OLS value when we exclude high-temperature estimates</w:t>
      </w:r>
      <w:r w:rsidRPr="009263A5">
        <w:rPr>
          <w:sz w:val="20"/>
          <w:szCs w:val="20"/>
        </w:rPr>
        <w:t>. This may partially be due to the potential for multiple solutions when using bi-weights, though the alternative (i.e., Huber weights) has trouble with extreme outliers (</w:t>
      </w:r>
      <w:r w:rsidRPr="00386A54">
        <w:rPr>
          <w:sz w:val="20"/>
          <w:szCs w:val="20"/>
        </w:rPr>
        <w:t>Institute for Digital Research and Education</w:t>
      </w:r>
      <w:r w:rsidRPr="009263A5">
        <w:rPr>
          <w:sz w:val="20"/>
          <w:szCs w:val="20"/>
        </w:rPr>
        <w:t xml:space="preserve">, 2016). </w:t>
      </w:r>
    </w:p>
    <w:p w:rsidR="00EC2A52" w:rsidRPr="009263A5" w:rsidRDefault="00EC2A52" w:rsidP="00EC2A52">
      <w:pPr>
        <w:spacing w:before="200" w:after="200" w:line="480" w:lineRule="auto"/>
        <w:jc w:val="both"/>
        <w:rPr>
          <w:i/>
          <w:sz w:val="20"/>
          <w:szCs w:val="20"/>
        </w:rPr>
      </w:pPr>
      <w:r w:rsidRPr="009263A5">
        <w:rPr>
          <w:sz w:val="20"/>
          <w:szCs w:val="20"/>
        </w:rPr>
        <w:t xml:space="preserve"> </w:t>
      </w:r>
      <w:r w:rsidRPr="009263A5">
        <w:rPr>
          <w:i/>
          <w:sz w:val="20"/>
          <w:szCs w:val="20"/>
        </w:rPr>
        <w:t>Appendix C7. Alternative Error Distribution Assumptions</w:t>
      </w:r>
    </w:p>
    <w:p w:rsidR="00EC2A52" w:rsidRPr="009263A5" w:rsidRDefault="00EC2A52" w:rsidP="00EC2A52">
      <w:pPr>
        <w:spacing w:line="480" w:lineRule="auto"/>
        <w:ind w:firstLine="360"/>
        <w:jc w:val="both"/>
        <w:rPr>
          <w:sz w:val="20"/>
          <w:szCs w:val="20"/>
        </w:rPr>
      </w:pPr>
      <w:r w:rsidRPr="009263A5">
        <w:rPr>
          <w:sz w:val="20"/>
          <w:szCs w:val="20"/>
        </w:rPr>
        <w:t xml:space="preserve">We do not conduct sensitivity analysis to whether the error term is non-normal. Despite expecting more bad surprises than good surprises from climate change (Tol, 2009), we find little evidence of non-normal error terms, particularly for the preferred regression (i.e., excluding duplicate and high-temperature estimates) when the full set of explanatory variables </w:t>
      </w:r>
      <w:r>
        <w:rPr>
          <w:sz w:val="20"/>
          <w:szCs w:val="20"/>
        </w:rPr>
        <w:t>is</w:t>
      </w:r>
      <w:r w:rsidRPr="009263A5">
        <w:rPr>
          <w:sz w:val="20"/>
          <w:szCs w:val="20"/>
        </w:rPr>
        <w:t xml:space="preserve"> included. Even if we did relax this assumption, it is unclear what distribution to choose as an alternative. We leave this for future research.</w:t>
      </w:r>
    </w:p>
    <w:p w:rsidR="00EC2A52" w:rsidRPr="009263A5" w:rsidRDefault="00EC2A52" w:rsidP="00EC2A52">
      <w:pPr>
        <w:spacing w:line="480" w:lineRule="auto"/>
        <w:ind w:firstLine="360"/>
        <w:jc w:val="both"/>
        <w:rPr>
          <w:sz w:val="20"/>
          <w:szCs w:val="20"/>
        </w:rPr>
      </w:pPr>
      <w:r w:rsidRPr="009263A5">
        <w:rPr>
          <w:sz w:val="20"/>
          <w:szCs w:val="20"/>
        </w:rPr>
        <w:t xml:space="preserve">While we do not model non-normal error terms, we re-estimate </w:t>
      </w:r>
      <w:r>
        <w:rPr>
          <w:sz w:val="20"/>
          <w:szCs w:val="20"/>
        </w:rPr>
        <w:t>the</w:t>
      </w:r>
      <w:r w:rsidRPr="009263A5">
        <w:rPr>
          <w:sz w:val="20"/>
          <w:szCs w:val="20"/>
        </w:rPr>
        <w:t xml:space="preserve"> preferred specifications using robust regression techniques</w:t>
      </w:r>
      <w:r>
        <w:rPr>
          <w:sz w:val="20"/>
          <w:szCs w:val="20"/>
        </w:rPr>
        <w:t>,</w:t>
      </w:r>
      <w:r w:rsidRPr="009263A5">
        <w:rPr>
          <w:sz w:val="20"/>
          <w:szCs w:val="20"/>
        </w:rPr>
        <w:t xml:space="preserve"> as discussed in the previous sub-section. The goal of robust regression is to be robust to incorrect specifications of the underlying data</w:t>
      </w:r>
      <w:r>
        <w:rPr>
          <w:sz w:val="20"/>
          <w:szCs w:val="20"/>
        </w:rPr>
        <w:t>-</w:t>
      </w:r>
      <w:r w:rsidRPr="009263A5">
        <w:rPr>
          <w:sz w:val="20"/>
          <w:szCs w:val="20"/>
        </w:rPr>
        <w:t>generating process, so robust outlier regression techniques are (relatively) efficient even when error terms are non-normal (Jann, 2012). Given that our regression results are relatively robust to using these alternative estimators (i.e., moving from WLS to robust estimators) – particularly when we exclude higher temperature damage estimates – we should interpret our results as relatively robust to the potential of a non-normal distribution</w:t>
      </w:r>
      <w:r>
        <w:rPr>
          <w:sz w:val="20"/>
          <w:szCs w:val="20"/>
        </w:rPr>
        <w:t>,</w:t>
      </w:r>
      <w:r w:rsidRPr="009263A5">
        <w:rPr>
          <w:sz w:val="20"/>
          <w:szCs w:val="20"/>
        </w:rPr>
        <w:t xml:space="preserve"> despite assuming a normal error structure. In general, robust regression appears to shift non-catastrophic damages toward catastrophic impacts</w:t>
      </w:r>
      <w:r>
        <w:rPr>
          <w:sz w:val="20"/>
          <w:szCs w:val="20"/>
        </w:rPr>
        <w:t>,</w:t>
      </w:r>
      <w:r w:rsidRPr="009263A5">
        <w:rPr>
          <w:sz w:val="20"/>
          <w:szCs w:val="20"/>
        </w:rPr>
        <w:t xml:space="preserve"> as would be expected under a right</w:t>
      </w:r>
      <w:r>
        <w:rPr>
          <w:sz w:val="20"/>
          <w:szCs w:val="20"/>
        </w:rPr>
        <w:t>-</w:t>
      </w:r>
      <w:r w:rsidRPr="009263A5">
        <w:rPr>
          <w:sz w:val="20"/>
          <w:szCs w:val="20"/>
        </w:rPr>
        <w:t>skewed distribution.</w:t>
      </w:r>
    </w:p>
    <w:p w:rsidR="00EC2A52" w:rsidRPr="009263A5" w:rsidRDefault="00EC2A52" w:rsidP="00EC2A52">
      <w:pPr>
        <w:spacing w:before="200" w:after="200" w:line="480" w:lineRule="auto"/>
        <w:jc w:val="both"/>
        <w:rPr>
          <w:i/>
          <w:sz w:val="20"/>
          <w:szCs w:val="20"/>
        </w:rPr>
      </w:pPr>
      <w:r w:rsidRPr="009263A5">
        <w:rPr>
          <w:i/>
          <w:sz w:val="20"/>
          <w:szCs w:val="20"/>
        </w:rPr>
        <w:t xml:space="preserve">Appendix C8. Sensitivity to </w:t>
      </w:r>
      <w:r>
        <w:rPr>
          <w:i/>
          <w:sz w:val="20"/>
          <w:szCs w:val="20"/>
        </w:rPr>
        <w:t>G</w:t>
      </w:r>
      <w:r w:rsidRPr="009263A5">
        <w:rPr>
          <w:i/>
          <w:sz w:val="20"/>
          <w:szCs w:val="20"/>
        </w:rPr>
        <w:t xml:space="preserve">roups of </w:t>
      </w:r>
      <w:r>
        <w:rPr>
          <w:i/>
          <w:sz w:val="20"/>
          <w:szCs w:val="20"/>
        </w:rPr>
        <w:t>D</w:t>
      </w:r>
      <w:r w:rsidRPr="009263A5">
        <w:rPr>
          <w:i/>
          <w:sz w:val="20"/>
          <w:szCs w:val="20"/>
        </w:rPr>
        <w:t xml:space="preserve">amage </w:t>
      </w:r>
      <w:r>
        <w:rPr>
          <w:i/>
          <w:sz w:val="20"/>
          <w:szCs w:val="20"/>
        </w:rPr>
        <w:t>E</w:t>
      </w:r>
      <w:r w:rsidRPr="009263A5">
        <w:rPr>
          <w:i/>
          <w:sz w:val="20"/>
          <w:szCs w:val="20"/>
        </w:rPr>
        <w:t>stimates</w:t>
      </w:r>
    </w:p>
    <w:p w:rsidR="00EC2A52" w:rsidRPr="009263A5" w:rsidRDefault="00EC2A52" w:rsidP="00EC2A52">
      <w:pPr>
        <w:spacing w:line="480" w:lineRule="auto"/>
        <w:ind w:firstLine="360"/>
        <w:jc w:val="both"/>
        <w:rPr>
          <w:sz w:val="20"/>
          <w:szCs w:val="20"/>
        </w:rPr>
      </w:pPr>
      <w:r w:rsidRPr="009263A5">
        <w:rPr>
          <w:sz w:val="20"/>
          <w:szCs w:val="20"/>
        </w:rPr>
        <w:t xml:space="preserve">The Journal of Economic Perspectives (JEP, 2015) expressed concern that some estimates cannot be compared </w:t>
      </w:r>
      <w:r>
        <w:rPr>
          <w:sz w:val="20"/>
          <w:szCs w:val="20"/>
        </w:rPr>
        <w:t xml:space="preserve">because </w:t>
      </w:r>
      <w:r w:rsidRPr="009263A5">
        <w:rPr>
          <w:sz w:val="20"/>
          <w:szCs w:val="20"/>
        </w:rPr>
        <w:t>each type of estimate captur</w:t>
      </w:r>
      <w:r>
        <w:rPr>
          <w:sz w:val="20"/>
          <w:szCs w:val="20"/>
        </w:rPr>
        <w:t>es</w:t>
      </w:r>
      <w:r w:rsidRPr="009263A5">
        <w:rPr>
          <w:sz w:val="20"/>
          <w:szCs w:val="20"/>
        </w:rPr>
        <w:t xml:space="preserve"> differing </w:t>
      </w:r>
      <w:r w:rsidRPr="00B40676">
        <w:rPr>
          <w:sz w:val="20"/>
          <w:szCs w:val="20"/>
        </w:rPr>
        <w:t xml:space="preserve">– </w:t>
      </w:r>
      <w:r w:rsidRPr="009263A5">
        <w:rPr>
          <w:sz w:val="20"/>
          <w:szCs w:val="20"/>
        </w:rPr>
        <w:t xml:space="preserve">but potentially overlapping – sets of climate impacts. Similarly, the meta-regression standards recommend either studying comparable estimates or controlling for the underlying differences using explanatory variables. To the extent that our methodological controls and our clustering at the model level insufficiently address these shortcomings (and to the extent that our sensitivity analysis with fixed effects in a previous sub-section was insufficiently convincing due to sample size), we explore the impact of specific climate damage estimation methodologies (i.e., enumerative, CGE, statistical (cross-section and panel), survey, </w:t>
      </w:r>
      <w:r w:rsidRPr="009263A5">
        <w:rPr>
          <w:sz w:val="20"/>
          <w:szCs w:val="20"/>
        </w:rPr>
        <w:lastRenderedPageBreak/>
        <w:t xml:space="preserve">science, and compensating surplus) on </w:t>
      </w:r>
      <w:r>
        <w:rPr>
          <w:sz w:val="20"/>
          <w:szCs w:val="20"/>
        </w:rPr>
        <w:t>the</w:t>
      </w:r>
      <w:r w:rsidRPr="009263A5">
        <w:rPr>
          <w:sz w:val="20"/>
          <w:szCs w:val="20"/>
        </w:rPr>
        <w:t xml:space="preserve"> preferred regression results</w:t>
      </w:r>
      <w:r>
        <w:rPr>
          <w:sz w:val="20"/>
          <w:szCs w:val="20"/>
        </w:rPr>
        <w:t>:</w:t>
      </w:r>
      <w:r w:rsidRPr="009263A5">
        <w:rPr>
          <w:sz w:val="20"/>
          <w:szCs w:val="20"/>
        </w:rPr>
        <w:t xml:space="preserve"> </w:t>
      </w:r>
      <w:r>
        <w:rPr>
          <w:sz w:val="20"/>
          <w:szCs w:val="20"/>
        </w:rPr>
        <w:t>S</w:t>
      </w:r>
      <w:r w:rsidRPr="009263A5">
        <w:rPr>
          <w:sz w:val="20"/>
          <w:szCs w:val="20"/>
        </w:rPr>
        <w:t xml:space="preserve">pecifications (4) and (8) in Table 2. This analysis is based on the hypothesis that estimates constructed in similar manner are more likely to be comparable </w:t>
      </w:r>
      <w:r>
        <w:rPr>
          <w:sz w:val="20"/>
          <w:szCs w:val="20"/>
        </w:rPr>
        <w:t>because</w:t>
      </w:r>
      <w:r w:rsidRPr="009263A5">
        <w:rPr>
          <w:sz w:val="20"/>
          <w:szCs w:val="20"/>
        </w:rPr>
        <w:t xml:space="preserve"> they capture comparable impacts. This type of sensitivity analysis also allows us to determine whether estimates derived using a particular methodology impact the final, pooled results. </w:t>
      </w:r>
    </w:p>
    <w:p w:rsidR="00EC2A52" w:rsidRPr="009263A5" w:rsidRDefault="00EC2A52" w:rsidP="00EC2A52">
      <w:pPr>
        <w:pStyle w:val="ListParagraph"/>
        <w:spacing w:after="0" w:line="480" w:lineRule="auto"/>
        <w:ind w:left="0" w:firstLine="360"/>
        <w:jc w:val="both"/>
        <w:rPr>
          <w:rFonts w:ascii="Times New Roman" w:hAnsi="Times New Roman" w:cs="Times New Roman"/>
          <w:sz w:val="20"/>
          <w:szCs w:val="20"/>
        </w:rPr>
      </w:pPr>
      <w:r w:rsidRPr="009263A5">
        <w:rPr>
          <w:rFonts w:ascii="Times New Roman" w:hAnsi="Times New Roman" w:cs="Times New Roman"/>
          <w:sz w:val="20"/>
          <w:szCs w:val="20"/>
        </w:rPr>
        <w:t>We conduct two types of analysis. First, we re-estimate the preferred specifications using only data derived using each methodology discussed in the second section of the main text; see Tables C</w:t>
      </w:r>
      <w:r>
        <w:rPr>
          <w:rFonts w:ascii="Times New Roman" w:hAnsi="Times New Roman" w:cs="Times New Roman"/>
          <w:sz w:val="20"/>
          <w:szCs w:val="20"/>
        </w:rPr>
        <w:t>9</w:t>
      </w:r>
      <w:r w:rsidRPr="009263A5">
        <w:rPr>
          <w:rFonts w:ascii="Times New Roman" w:hAnsi="Times New Roman" w:cs="Times New Roman"/>
          <w:sz w:val="20"/>
          <w:szCs w:val="20"/>
        </w:rPr>
        <w:t xml:space="preserve"> and C1</w:t>
      </w:r>
      <w:r>
        <w:rPr>
          <w:rFonts w:ascii="Times New Roman" w:hAnsi="Times New Roman" w:cs="Times New Roman"/>
          <w:sz w:val="20"/>
          <w:szCs w:val="20"/>
        </w:rPr>
        <w:t>0</w:t>
      </w:r>
      <w:r w:rsidRPr="009263A5">
        <w:rPr>
          <w:rFonts w:ascii="Times New Roman" w:hAnsi="Times New Roman" w:cs="Times New Roman"/>
          <w:sz w:val="20"/>
          <w:szCs w:val="20"/>
        </w:rPr>
        <w:t>. Second, we re-estimate the preferred specification</w:t>
      </w:r>
      <w:r>
        <w:rPr>
          <w:rFonts w:ascii="Times New Roman" w:hAnsi="Times New Roman" w:cs="Times New Roman"/>
          <w:sz w:val="20"/>
          <w:szCs w:val="20"/>
        </w:rPr>
        <w:t>,</w:t>
      </w:r>
      <w:r w:rsidRPr="009263A5">
        <w:rPr>
          <w:rFonts w:ascii="Times New Roman" w:hAnsi="Times New Roman" w:cs="Times New Roman"/>
          <w:sz w:val="20"/>
          <w:szCs w:val="20"/>
        </w:rPr>
        <w:t xml:space="preserve"> removing data deriv</w:t>
      </w:r>
      <w:r>
        <w:rPr>
          <w:rFonts w:ascii="Times New Roman" w:hAnsi="Times New Roman" w:cs="Times New Roman"/>
          <w:sz w:val="20"/>
          <w:szCs w:val="20"/>
        </w:rPr>
        <w:t>ed</w:t>
      </w:r>
      <w:r w:rsidRPr="009263A5">
        <w:rPr>
          <w:rFonts w:ascii="Times New Roman" w:hAnsi="Times New Roman" w:cs="Times New Roman"/>
          <w:sz w:val="20"/>
          <w:szCs w:val="20"/>
        </w:rPr>
        <w:t xml:space="preserve"> using each methodology one by one; see Tables C1</w:t>
      </w:r>
      <w:r>
        <w:rPr>
          <w:rFonts w:ascii="Times New Roman" w:hAnsi="Times New Roman" w:cs="Times New Roman"/>
          <w:sz w:val="20"/>
          <w:szCs w:val="20"/>
        </w:rPr>
        <w:t>1</w:t>
      </w:r>
      <w:r w:rsidRPr="009263A5">
        <w:rPr>
          <w:rFonts w:ascii="Times New Roman" w:hAnsi="Times New Roman" w:cs="Times New Roman"/>
          <w:sz w:val="20"/>
          <w:szCs w:val="20"/>
        </w:rPr>
        <w:t xml:space="preserve"> and C1</w:t>
      </w:r>
      <w:r>
        <w:rPr>
          <w:rFonts w:ascii="Times New Roman" w:hAnsi="Times New Roman" w:cs="Times New Roman"/>
          <w:sz w:val="20"/>
          <w:szCs w:val="20"/>
        </w:rPr>
        <w:t>2</w:t>
      </w:r>
      <w:r w:rsidRPr="009263A5">
        <w:rPr>
          <w:rFonts w:ascii="Times New Roman" w:hAnsi="Times New Roman" w:cs="Times New Roman"/>
          <w:sz w:val="20"/>
          <w:szCs w:val="20"/>
        </w:rPr>
        <w:t xml:space="preserve">. Together, these regressions demonstrate the relative importance of each type of identification strategy on the global impacts of climate change. </w:t>
      </w:r>
    </w:p>
    <w:p w:rsidR="00EC2A52" w:rsidRPr="009263A5" w:rsidRDefault="00EC2A52" w:rsidP="00EC2A52">
      <w:pPr>
        <w:spacing w:line="480" w:lineRule="auto"/>
        <w:ind w:firstLine="360"/>
        <w:jc w:val="both"/>
        <w:rPr>
          <w:sz w:val="20"/>
          <w:szCs w:val="20"/>
        </w:rPr>
      </w:pPr>
      <w:r w:rsidRPr="009263A5">
        <w:rPr>
          <w:sz w:val="20"/>
          <w:szCs w:val="20"/>
        </w:rPr>
        <w:t>We estimate the temperature-damage relationship for each methodology. While the earlier methodologies (enumerative, CGE, and cross-section regressions) predict a flatter temperature-damage relationship, more recent methodologies (panel</w:t>
      </w:r>
      <w:r>
        <w:rPr>
          <w:sz w:val="20"/>
          <w:szCs w:val="20"/>
        </w:rPr>
        <w:t xml:space="preserve"> </w:t>
      </w:r>
      <w:r w:rsidRPr="009263A5">
        <w:rPr>
          <w:sz w:val="20"/>
          <w:szCs w:val="20"/>
        </w:rPr>
        <w:t>regressions and science) and surveys predict a steeper impact of temperature. Some of these relative differences may be due to certain methods’ inability to capture particular types of damages</w:t>
      </w:r>
      <w:r>
        <w:rPr>
          <w:sz w:val="20"/>
          <w:szCs w:val="20"/>
        </w:rPr>
        <w:t>. For instance,</w:t>
      </w:r>
      <w:r w:rsidRPr="009263A5">
        <w:rPr>
          <w:sz w:val="20"/>
          <w:szCs w:val="20"/>
        </w:rPr>
        <w:t xml:space="preserve"> CGE and statistical methods omit impacts to non-market services</w:t>
      </w:r>
      <w:r>
        <w:rPr>
          <w:sz w:val="20"/>
          <w:szCs w:val="20"/>
        </w:rPr>
        <w:t>,</w:t>
      </w:r>
      <w:r w:rsidRPr="009263A5">
        <w:rPr>
          <w:sz w:val="20"/>
          <w:szCs w:val="20"/>
        </w:rPr>
        <w:t xml:space="preserve"> and all but the enumerative and scientific methods omit catastrophic climate impacts. However, many of these estimates do not significantly differ from one another in a statistical sense.</w:t>
      </w:r>
    </w:p>
    <w:p w:rsidR="00EC2A52" w:rsidRPr="009263A5" w:rsidRDefault="00EC2A52" w:rsidP="00EC2A52">
      <w:pPr>
        <w:spacing w:line="480" w:lineRule="auto"/>
        <w:ind w:firstLine="360"/>
        <w:jc w:val="both"/>
        <w:rPr>
          <w:b/>
          <w:sz w:val="20"/>
          <w:szCs w:val="20"/>
        </w:rPr>
      </w:pPr>
      <w:r w:rsidRPr="009263A5">
        <w:rPr>
          <w:sz w:val="20"/>
          <w:szCs w:val="20"/>
        </w:rPr>
        <w:t>We also re-estimate the preferred specifications</w:t>
      </w:r>
      <w:r>
        <w:rPr>
          <w:sz w:val="20"/>
          <w:szCs w:val="20"/>
        </w:rPr>
        <w:t>,</w:t>
      </w:r>
      <w:r w:rsidRPr="009263A5">
        <w:rPr>
          <w:sz w:val="20"/>
          <w:szCs w:val="20"/>
        </w:rPr>
        <w:t xml:space="preserve"> dropping data corresponding to each methodology in turn. With respect to the coefficient corresponding to temperature</w:t>
      </w:r>
      <w:r>
        <w:rPr>
          <w:sz w:val="20"/>
          <w:szCs w:val="20"/>
        </w:rPr>
        <w:t xml:space="preserve"> </w:t>
      </w:r>
      <w:r w:rsidRPr="009263A5">
        <w:rPr>
          <w:sz w:val="20"/>
          <w:szCs w:val="20"/>
        </w:rPr>
        <w:t>squared, the enumerative and survey methodologies respectively</w:t>
      </w:r>
      <w:r w:rsidRPr="009263A5" w:rsidDel="00C43E21">
        <w:rPr>
          <w:sz w:val="20"/>
          <w:szCs w:val="20"/>
        </w:rPr>
        <w:t xml:space="preserve"> </w:t>
      </w:r>
      <w:r w:rsidRPr="009263A5">
        <w:rPr>
          <w:sz w:val="20"/>
          <w:szCs w:val="20"/>
        </w:rPr>
        <w:t>hold down and push up</w:t>
      </w:r>
      <w:r>
        <w:rPr>
          <w:sz w:val="20"/>
          <w:szCs w:val="20"/>
        </w:rPr>
        <w:t xml:space="preserve"> </w:t>
      </w:r>
      <w:r w:rsidRPr="009263A5">
        <w:rPr>
          <w:sz w:val="20"/>
          <w:szCs w:val="20"/>
        </w:rPr>
        <w:t xml:space="preserve">its value. Survey estimates also hold down the catastrophic coefficient, </w:t>
      </w:r>
      <w:r>
        <w:rPr>
          <w:sz w:val="20"/>
          <w:szCs w:val="20"/>
        </w:rPr>
        <w:t>as do</w:t>
      </w:r>
      <w:r w:rsidRPr="009263A5">
        <w:rPr>
          <w:sz w:val="20"/>
          <w:szCs w:val="20"/>
        </w:rPr>
        <w:t xml:space="preserve"> scientific estimates to a lesser extent; enumerative estimates also push up catastrophic impacts to some extent. With respect to the productivity coefficient, CGE studies appear to hold down the coefficient (particularly when high-temperature estimates are included), while statistical studies (cross-section and panel) appear to be key in the coefficient’s insignificance. Total (non-catastrophic plus catastrophic) damages are relatively stable to the removal of these estimation methods</w:t>
      </w:r>
      <w:r>
        <w:rPr>
          <w:sz w:val="20"/>
          <w:szCs w:val="20"/>
        </w:rPr>
        <w:t>,</w:t>
      </w:r>
      <w:r w:rsidRPr="009263A5">
        <w:rPr>
          <w:sz w:val="20"/>
          <w:szCs w:val="20"/>
        </w:rPr>
        <w:t xml:space="preserve"> implying that the removal of most methods appears to shift impacts between non-catastrophic and catastrophic impacts; the exception </w:t>
      </w:r>
      <w:r>
        <w:rPr>
          <w:sz w:val="20"/>
          <w:szCs w:val="20"/>
        </w:rPr>
        <w:t>is</w:t>
      </w:r>
      <w:r w:rsidRPr="009263A5">
        <w:rPr>
          <w:sz w:val="20"/>
          <w:szCs w:val="20"/>
        </w:rPr>
        <w:t xml:space="preserve"> methodologies that impact productivity.</w:t>
      </w:r>
    </w:p>
    <w:p w:rsidR="00EC2A52" w:rsidRPr="009263A5" w:rsidRDefault="00EC2A52" w:rsidP="00EC2A52">
      <w:pPr>
        <w:spacing w:before="200" w:after="200" w:line="480" w:lineRule="auto"/>
        <w:jc w:val="both"/>
        <w:rPr>
          <w:i/>
          <w:sz w:val="20"/>
          <w:szCs w:val="20"/>
        </w:rPr>
      </w:pPr>
      <w:r w:rsidRPr="009263A5">
        <w:rPr>
          <w:i/>
          <w:sz w:val="20"/>
          <w:szCs w:val="20"/>
        </w:rPr>
        <w:t xml:space="preserve">Appendix C9. Sensitivity to </w:t>
      </w:r>
      <w:r>
        <w:rPr>
          <w:i/>
          <w:sz w:val="20"/>
          <w:szCs w:val="20"/>
        </w:rPr>
        <w:t>I</w:t>
      </w:r>
      <w:r w:rsidRPr="009263A5">
        <w:rPr>
          <w:i/>
          <w:sz w:val="20"/>
          <w:szCs w:val="20"/>
        </w:rPr>
        <w:t xml:space="preserve">ncluding </w:t>
      </w:r>
      <w:r>
        <w:rPr>
          <w:i/>
          <w:sz w:val="20"/>
          <w:szCs w:val="20"/>
        </w:rPr>
        <w:t>C</w:t>
      </w:r>
      <w:r w:rsidRPr="009263A5">
        <w:rPr>
          <w:i/>
          <w:sz w:val="20"/>
          <w:szCs w:val="20"/>
        </w:rPr>
        <w:t xml:space="preserve">ompensating </w:t>
      </w:r>
      <w:r>
        <w:rPr>
          <w:i/>
          <w:sz w:val="20"/>
          <w:szCs w:val="20"/>
        </w:rPr>
        <w:t>S</w:t>
      </w:r>
      <w:r w:rsidRPr="009263A5">
        <w:rPr>
          <w:i/>
          <w:sz w:val="20"/>
          <w:szCs w:val="20"/>
        </w:rPr>
        <w:t xml:space="preserve">urplus </w:t>
      </w:r>
      <w:r>
        <w:rPr>
          <w:i/>
          <w:sz w:val="20"/>
          <w:szCs w:val="20"/>
        </w:rPr>
        <w:t>D</w:t>
      </w:r>
      <w:r w:rsidRPr="009263A5">
        <w:rPr>
          <w:i/>
          <w:sz w:val="20"/>
          <w:szCs w:val="20"/>
        </w:rPr>
        <w:t>ata</w:t>
      </w:r>
    </w:p>
    <w:p w:rsidR="00EC2A52" w:rsidRPr="009263A5" w:rsidRDefault="00EC2A52" w:rsidP="00EC2A52">
      <w:pPr>
        <w:pStyle w:val="EndnoteText"/>
        <w:spacing w:line="480" w:lineRule="auto"/>
        <w:ind w:firstLine="360"/>
        <w:jc w:val="both"/>
        <w:rPr>
          <w:rFonts w:ascii="Times New Roman" w:hAnsi="Times New Roman" w:cs="Times New Roman"/>
        </w:rPr>
      </w:pPr>
      <w:r w:rsidRPr="009263A5">
        <w:rPr>
          <w:rFonts w:ascii="Times New Roman" w:hAnsi="Times New Roman" w:cs="Times New Roman"/>
        </w:rPr>
        <w:lastRenderedPageBreak/>
        <w:t>An alternative to dropping compensating surplus</w:t>
      </w:r>
      <w:r>
        <w:rPr>
          <w:rFonts w:ascii="Times New Roman" w:hAnsi="Times New Roman" w:cs="Times New Roman"/>
        </w:rPr>
        <w:t xml:space="preserve"> (CS)</w:t>
      </w:r>
      <w:r w:rsidRPr="009263A5">
        <w:rPr>
          <w:rFonts w:ascii="Times New Roman" w:hAnsi="Times New Roman" w:cs="Times New Roman"/>
        </w:rPr>
        <w:t xml:space="preserve"> data (Maddison, 2003; Rehdanz and Maddison, 2005; Maddison and Rehdanz, 2011) is to include the data</w:t>
      </w:r>
      <w:r>
        <w:rPr>
          <w:rFonts w:ascii="Times New Roman" w:hAnsi="Times New Roman" w:cs="Times New Roman"/>
        </w:rPr>
        <w:t>,</w:t>
      </w:r>
      <w:r w:rsidRPr="009263A5">
        <w:rPr>
          <w:rFonts w:ascii="Times New Roman" w:hAnsi="Times New Roman" w:cs="Times New Roman"/>
        </w:rPr>
        <w:t xml:space="preserve"> along with an indicator variable equal to one if the estimate measures CS interacted with adjusted temperature squared</w:t>
      </w:r>
      <w:r>
        <w:rPr>
          <w:rFonts w:ascii="Times New Roman" w:hAnsi="Times New Roman" w:cs="Times New Roman"/>
        </w:rPr>
        <w:t>,</w:t>
      </w:r>
      <w:r w:rsidRPr="009263A5">
        <w:rPr>
          <w:rFonts w:ascii="Times New Roman" w:hAnsi="Times New Roman" w:cs="Times New Roman"/>
        </w:rPr>
        <w:t xml:space="preserve"> in </w:t>
      </w:r>
      <w:r>
        <w:rPr>
          <w:rFonts w:ascii="Times New Roman" w:hAnsi="Times New Roman" w:cs="Times New Roman"/>
        </w:rPr>
        <w:t>the</w:t>
      </w:r>
      <w:r w:rsidRPr="009263A5">
        <w:rPr>
          <w:rFonts w:ascii="Times New Roman" w:hAnsi="Times New Roman" w:cs="Times New Roman"/>
        </w:rPr>
        <w:t xml:space="preserve"> preferred specifications. However, these CS estimates are also the sole estimates to exclude market impacts</w:t>
      </w:r>
      <w:r>
        <w:rPr>
          <w:rFonts w:ascii="Times New Roman" w:hAnsi="Times New Roman" w:cs="Times New Roman"/>
        </w:rPr>
        <w:t>,</w:t>
      </w:r>
      <w:r w:rsidRPr="009263A5">
        <w:rPr>
          <w:rFonts w:ascii="Times New Roman" w:hAnsi="Times New Roman" w:cs="Times New Roman"/>
        </w:rPr>
        <w:t xml:space="preserve"> providing this indicator with a dual interpretation. We re-estimate Table 2</w:t>
      </w:r>
      <w:r>
        <w:rPr>
          <w:rFonts w:ascii="Times New Roman" w:hAnsi="Times New Roman" w:cs="Times New Roman"/>
        </w:rPr>
        <w:t>,</w:t>
      </w:r>
      <w:r w:rsidRPr="009263A5">
        <w:rPr>
          <w:rFonts w:ascii="Times New Roman" w:hAnsi="Times New Roman" w:cs="Times New Roman"/>
        </w:rPr>
        <w:t xml:space="preserve"> including compensating surplus estimates from Maddison and Rehdanz; see Table C1</w:t>
      </w:r>
      <w:r>
        <w:rPr>
          <w:rFonts w:ascii="Times New Roman" w:hAnsi="Times New Roman" w:cs="Times New Roman"/>
        </w:rPr>
        <w:t>3</w:t>
      </w:r>
      <w:r w:rsidRPr="009263A5">
        <w:rPr>
          <w:rFonts w:ascii="Times New Roman" w:hAnsi="Times New Roman" w:cs="Times New Roman"/>
        </w:rPr>
        <w:t>. The coefficient corresponding to our new variable is in fact positive</w:t>
      </w:r>
      <w:r>
        <w:rPr>
          <w:rFonts w:ascii="Times New Roman" w:hAnsi="Times New Roman" w:cs="Times New Roman"/>
        </w:rPr>
        <w:t xml:space="preserve"> (and frequently statistically significant),</w:t>
      </w:r>
      <w:r w:rsidRPr="009263A5">
        <w:rPr>
          <w:rFonts w:ascii="Times New Roman" w:hAnsi="Times New Roman" w:cs="Times New Roman"/>
        </w:rPr>
        <w:t xml:space="preserve"> indicating that the positive impact of CS on the temperature-damage relationship outweighs the negative impact of excluding market impacts. The coefficients corresponding to temperature</w:t>
      </w:r>
      <w:r>
        <w:rPr>
          <w:rFonts w:ascii="Times New Roman" w:hAnsi="Times New Roman" w:cs="Times New Roman"/>
        </w:rPr>
        <w:t xml:space="preserve"> </w:t>
      </w:r>
      <w:r w:rsidRPr="009263A5">
        <w:rPr>
          <w:rFonts w:ascii="Times New Roman" w:hAnsi="Times New Roman" w:cs="Times New Roman"/>
        </w:rPr>
        <w:t xml:space="preserve">squared and catastrophic impacts remain unchanged. </w:t>
      </w:r>
      <w:r w:rsidRPr="00B519F3">
        <w:rPr>
          <w:rFonts w:ascii="Times New Roman" w:hAnsi="Times New Roman" w:cs="Times New Roman"/>
        </w:rPr>
        <w:t>While there is some limited impact on the coefficient corresponding to productivity, it remains insignificant. The only change of note is that cross-sectional bias appears inconsequential with an increase in the corresponding standard errors.</w:t>
      </w:r>
    </w:p>
    <w:p w:rsidR="00EC2A52" w:rsidRDefault="00EC2A52">
      <w:pPr>
        <w:spacing w:after="200" w:line="276" w:lineRule="auto"/>
      </w:pPr>
      <w:r>
        <w:br w:type="page"/>
      </w:r>
    </w:p>
    <w:p w:rsidR="00EC2A52" w:rsidRPr="009263A5" w:rsidRDefault="00EC2A52" w:rsidP="00EC2A52">
      <w:pPr>
        <w:spacing w:line="480" w:lineRule="auto"/>
        <w:ind w:left="360" w:hanging="360"/>
        <w:rPr>
          <w:i/>
          <w:sz w:val="20"/>
          <w:szCs w:val="20"/>
        </w:rPr>
      </w:pPr>
      <w:r>
        <w:rPr>
          <w:i/>
          <w:sz w:val="20"/>
          <w:szCs w:val="20"/>
        </w:rPr>
        <w:lastRenderedPageBreak/>
        <w:t xml:space="preserve">Additional </w:t>
      </w:r>
      <w:r w:rsidRPr="009263A5">
        <w:rPr>
          <w:i/>
          <w:sz w:val="20"/>
          <w:szCs w:val="20"/>
        </w:rPr>
        <w:t>References</w:t>
      </w:r>
      <w:r>
        <w:rPr>
          <w:i/>
          <w:sz w:val="20"/>
          <w:szCs w:val="20"/>
        </w:rPr>
        <w:t xml:space="preserve"> for Online Supplementary Material</w:t>
      </w:r>
    </w:p>
    <w:p w:rsidR="00EC2A52" w:rsidRDefault="00EC2A52" w:rsidP="00EC2A52">
      <w:pPr>
        <w:pStyle w:val="Standard"/>
        <w:tabs>
          <w:tab w:val="left" w:pos="288"/>
        </w:tabs>
        <w:spacing w:line="480" w:lineRule="auto"/>
        <w:ind w:left="360" w:hanging="360"/>
        <w:jc w:val="both"/>
        <w:rPr>
          <w:rFonts w:ascii="Times New Roman" w:hAnsi="Times New Roman" w:cs="Times New Roman"/>
          <w:color w:val="000000"/>
          <w:sz w:val="20"/>
          <w:szCs w:val="20"/>
        </w:rPr>
      </w:pPr>
      <w:r w:rsidRPr="002D03A9">
        <w:rPr>
          <w:rFonts w:ascii="Times New Roman" w:hAnsi="Times New Roman" w:cs="Times New Roman"/>
          <w:color w:val="000000"/>
          <w:sz w:val="20"/>
          <w:szCs w:val="20"/>
          <w:lang w:val="en-US"/>
        </w:rPr>
        <w:t xml:space="preserve">Azar C, Lindgren K (2003) Catastrophic events and stochastic cost-benefit analysis of climate change. </w:t>
      </w:r>
      <w:r w:rsidRPr="009263A5">
        <w:rPr>
          <w:rFonts w:ascii="Times New Roman" w:hAnsi="Times New Roman" w:cs="Times New Roman"/>
          <w:color w:val="000000"/>
          <w:sz w:val="20"/>
          <w:szCs w:val="20"/>
        </w:rPr>
        <w:t>Climatic Change 56(3):245-255</w:t>
      </w:r>
    </w:p>
    <w:p w:rsidR="00EC2A52" w:rsidRPr="005A3EE5" w:rsidRDefault="00EC2A52" w:rsidP="00EC2A52">
      <w:pPr>
        <w:pStyle w:val="Standard"/>
        <w:tabs>
          <w:tab w:val="left" w:pos="288"/>
        </w:tabs>
        <w:spacing w:line="480" w:lineRule="auto"/>
        <w:ind w:left="360" w:hanging="360"/>
        <w:jc w:val="both"/>
        <w:rPr>
          <w:rFonts w:ascii="Times New Roman" w:hAnsi="Times New Roman" w:cs="Times New Roman"/>
          <w:color w:val="000000"/>
          <w:sz w:val="20"/>
          <w:szCs w:val="20"/>
        </w:rPr>
      </w:pPr>
      <w:r w:rsidRPr="002D03A9">
        <w:rPr>
          <w:rFonts w:ascii="Times New Roman" w:hAnsi="Times New Roman" w:cs="Times New Roman"/>
          <w:color w:val="000000"/>
          <w:sz w:val="20"/>
          <w:szCs w:val="20"/>
          <w:lang w:val="en-US"/>
        </w:rPr>
        <w:t xml:space="preserve">Berz G (2000) Insuring against catastrophe. Our Planet 11(3):19-20. </w:t>
      </w:r>
      <w:hyperlink r:id="rId8" w:history="1">
        <w:r w:rsidRPr="002D03A9">
          <w:rPr>
            <w:rStyle w:val="Hyperlink"/>
            <w:rFonts w:ascii="Times New Roman" w:hAnsi="Times New Roman" w:cs="Times New Roman"/>
            <w:sz w:val="20"/>
            <w:szCs w:val="20"/>
            <w:lang w:val="en-US"/>
          </w:rPr>
          <w:t>http://www.ourplanet.com/imgversn/113/berz.html</w:t>
        </w:r>
      </w:hyperlink>
      <w:r w:rsidRPr="002D03A9">
        <w:rPr>
          <w:rFonts w:ascii="Times New Roman" w:hAnsi="Times New Roman" w:cs="Times New Roman"/>
          <w:sz w:val="20"/>
          <w:szCs w:val="20"/>
          <w:lang w:val="en-US"/>
        </w:rPr>
        <w:t xml:space="preserve">. </w:t>
      </w:r>
      <w:r w:rsidRPr="009263A5">
        <w:rPr>
          <w:rFonts w:ascii="Times New Roman" w:hAnsi="Times New Roman" w:cs="Times New Roman"/>
          <w:color w:val="000000" w:themeColor="text1"/>
          <w:sz w:val="20"/>
          <w:szCs w:val="20"/>
        </w:rPr>
        <w:t xml:space="preserve">Cited </w:t>
      </w:r>
      <w:r>
        <w:rPr>
          <w:rFonts w:ascii="Times New Roman" w:hAnsi="Times New Roman" w:cs="Times New Roman"/>
          <w:iCs/>
          <w:color w:val="000000" w:themeColor="text1"/>
          <w:sz w:val="20"/>
          <w:szCs w:val="20"/>
          <w:shd w:val="clear" w:color="auto" w:fill="FFFFFF"/>
        </w:rPr>
        <w:t xml:space="preserve">07 </w:t>
      </w:r>
      <w:r w:rsidRPr="009263A5">
        <w:rPr>
          <w:rFonts w:ascii="Times New Roman" w:hAnsi="Times New Roman" w:cs="Times New Roman"/>
          <w:color w:val="000000" w:themeColor="text1"/>
          <w:sz w:val="20"/>
          <w:szCs w:val="20"/>
        </w:rPr>
        <w:t>Dec 201</w:t>
      </w:r>
      <w:r>
        <w:rPr>
          <w:rFonts w:ascii="Times New Roman" w:hAnsi="Times New Roman" w:cs="Times New Roman"/>
          <w:color w:val="000000" w:themeColor="text1"/>
          <w:sz w:val="20"/>
          <w:szCs w:val="20"/>
        </w:rPr>
        <w:t>5</w:t>
      </w:r>
    </w:p>
    <w:p w:rsidR="00EC2A52" w:rsidRPr="009263A5" w:rsidRDefault="00EC2A52" w:rsidP="00EC2A52">
      <w:pPr>
        <w:spacing w:line="480" w:lineRule="auto"/>
        <w:ind w:left="360" w:hanging="360"/>
        <w:rPr>
          <w:color w:val="000000" w:themeColor="text1"/>
          <w:sz w:val="20"/>
          <w:szCs w:val="20"/>
          <w:shd w:val="clear" w:color="auto" w:fill="FFFFFF"/>
        </w:rPr>
      </w:pPr>
      <w:r w:rsidRPr="009263A5">
        <w:rPr>
          <w:color w:val="000000" w:themeColor="text1"/>
          <w:sz w:val="20"/>
          <w:szCs w:val="20"/>
          <w:shd w:val="clear" w:color="auto" w:fill="FFFFFF"/>
        </w:rPr>
        <w:t xml:space="preserve">Bluedorn JC, Valentinyi A, Vlassopoulos M (2010) The long-lived effects of historic climate on the wealth of nations. </w:t>
      </w:r>
      <w:r w:rsidRPr="009263A5">
        <w:rPr>
          <w:iCs/>
          <w:color w:val="000000" w:themeColor="text1"/>
          <w:sz w:val="20"/>
          <w:szCs w:val="20"/>
          <w:shd w:val="clear" w:color="auto" w:fill="FFFFFF"/>
        </w:rPr>
        <w:t>2010 Meeting Papers</w:t>
      </w:r>
      <w:r w:rsidRPr="009263A5">
        <w:rPr>
          <w:color w:val="000000" w:themeColor="text1"/>
          <w:sz w:val="20"/>
          <w:szCs w:val="20"/>
          <w:shd w:val="clear" w:color="auto" w:fill="FFFFFF"/>
        </w:rPr>
        <w:t xml:space="preserve"> No. 627. Society for Economic Dynamics</w:t>
      </w:r>
    </w:p>
    <w:p w:rsidR="00EC2A52" w:rsidRPr="009263A5" w:rsidRDefault="00EC2A52" w:rsidP="00EC2A52">
      <w:pPr>
        <w:spacing w:line="480" w:lineRule="auto"/>
        <w:ind w:left="360" w:hanging="360"/>
        <w:rPr>
          <w:color w:val="000000" w:themeColor="text1"/>
          <w:sz w:val="20"/>
          <w:szCs w:val="20"/>
        </w:rPr>
      </w:pPr>
      <w:r w:rsidRPr="009263A5">
        <w:rPr>
          <w:color w:val="000000" w:themeColor="text1"/>
          <w:sz w:val="20"/>
          <w:szCs w:val="20"/>
        </w:rPr>
        <w:t>Bosello F, Roson R, Tol RSJ (2006) Economy-wide estimates of the implications of climate change: Human health. Ecological Economics 58(3):579-591</w:t>
      </w:r>
    </w:p>
    <w:p w:rsidR="00EC2A52" w:rsidRPr="009263A5" w:rsidRDefault="00EC2A52" w:rsidP="00EC2A52">
      <w:pPr>
        <w:spacing w:line="480" w:lineRule="auto"/>
        <w:ind w:left="360" w:hanging="360"/>
        <w:rPr>
          <w:color w:val="000000" w:themeColor="text1"/>
          <w:sz w:val="20"/>
          <w:szCs w:val="20"/>
          <w:shd w:val="clear" w:color="auto" w:fill="FFFFFF"/>
        </w:rPr>
      </w:pPr>
      <w:r w:rsidRPr="009263A5">
        <w:rPr>
          <w:color w:val="000000" w:themeColor="text1"/>
          <w:sz w:val="20"/>
          <w:szCs w:val="20"/>
          <w:shd w:val="clear" w:color="auto" w:fill="FFFFFF"/>
        </w:rPr>
        <w:t>Bosetti V, Massetti E, Tavoni M (2007) The WITCH model: structure, baseline, solutions. FEEM Working Paper No. 10.2007, Fondazione Eni Enrico Mattei, Milano</w:t>
      </w:r>
    </w:p>
    <w:p w:rsidR="00EC2A52" w:rsidRPr="009263A5" w:rsidRDefault="00EC2A52" w:rsidP="00EC2A52">
      <w:pPr>
        <w:spacing w:line="480" w:lineRule="auto"/>
        <w:ind w:left="360" w:hanging="360"/>
        <w:rPr>
          <w:color w:val="000000" w:themeColor="text1"/>
          <w:sz w:val="20"/>
          <w:szCs w:val="20"/>
          <w:shd w:val="clear" w:color="auto" w:fill="FFFFFF"/>
        </w:rPr>
      </w:pPr>
      <w:r w:rsidRPr="009263A5">
        <w:rPr>
          <w:color w:val="000000" w:themeColor="text1"/>
          <w:sz w:val="20"/>
          <w:szCs w:val="20"/>
          <w:shd w:val="clear" w:color="auto" w:fill="FFFFFF"/>
        </w:rPr>
        <w:t xml:space="preserve">Dell M, Jones BF, Olken BA (2008) Climate change and economic growth: evidence from the last half century. NBER Working Paper No. 14132, National Bureau of Economic Research, Cambridge MA. </w:t>
      </w:r>
      <w:r w:rsidRPr="009263A5">
        <w:rPr>
          <w:color w:val="000000"/>
          <w:sz w:val="20"/>
          <w:szCs w:val="20"/>
        </w:rPr>
        <w:t>DOI 10.3386/w14132</w:t>
      </w:r>
    </w:p>
    <w:p w:rsidR="00EC2A52" w:rsidRPr="009263A5" w:rsidRDefault="00EC2A52" w:rsidP="00EC2A52">
      <w:pPr>
        <w:spacing w:line="480" w:lineRule="auto"/>
        <w:ind w:left="360" w:hanging="360"/>
        <w:rPr>
          <w:sz w:val="20"/>
          <w:szCs w:val="20"/>
        </w:rPr>
      </w:pPr>
      <w:r w:rsidRPr="009263A5">
        <w:rPr>
          <w:sz w:val="20"/>
          <w:szCs w:val="20"/>
          <w:shd w:val="clear" w:color="auto" w:fill="FFFFFF"/>
        </w:rPr>
        <w:t xml:space="preserve">Dellink R, Lanzi E, Château J et al (2014) Consequences of Climate Change Damages for Economic Growth. OECD Economics Department Working Papers No. 1135, OECD Publishing, Paris. </w:t>
      </w:r>
      <w:r w:rsidRPr="009263A5">
        <w:rPr>
          <w:sz w:val="20"/>
          <w:szCs w:val="20"/>
        </w:rPr>
        <w:t>DOI 10.1787/5jz2bxb8kmf3-en.</w:t>
      </w:r>
    </w:p>
    <w:p w:rsidR="00EC2A52" w:rsidRPr="00667B2D" w:rsidRDefault="00EC2A52" w:rsidP="00EC2A52">
      <w:pPr>
        <w:spacing w:line="480" w:lineRule="auto"/>
        <w:ind w:left="360" w:hanging="360"/>
        <w:rPr>
          <w:sz w:val="20"/>
          <w:szCs w:val="20"/>
        </w:rPr>
      </w:pPr>
      <w:r w:rsidRPr="00667B2D">
        <w:rPr>
          <w:sz w:val="20"/>
          <w:szCs w:val="20"/>
        </w:rPr>
        <w:t xml:space="preserve">Gaffin SR, Xing X, Yetman G (2002) Country-Level GDP and Downscaled Projections Based on the SRES A1, A2, B1, and B2 Marker Scenarios, 1990-2100. NASA Socioeconomic Data and Applications Center (SEDAC), Palisades NY. </w:t>
      </w:r>
      <w:hyperlink r:id="rId9" w:history="1">
        <w:r w:rsidRPr="00667B2D">
          <w:rPr>
            <w:rStyle w:val="Hyperlink"/>
            <w:sz w:val="20"/>
            <w:szCs w:val="20"/>
          </w:rPr>
          <w:t>http://sedac.ciesin.columbia.edu/data/set/sdp-downscaled-gdp-a1a2b1b2-1990-2100/metadata</w:t>
        </w:r>
      </w:hyperlink>
      <w:r w:rsidRPr="00667B2D">
        <w:rPr>
          <w:rStyle w:val="Hyperlink"/>
          <w:sz w:val="20"/>
          <w:szCs w:val="20"/>
        </w:rPr>
        <w:t xml:space="preserve">. </w:t>
      </w:r>
      <w:r w:rsidRPr="00667B2D">
        <w:rPr>
          <w:sz w:val="20"/>
          <w:szCs w:val="20"/>
        </w:rPr>
        <w:t xml:space="preserve">Cited 21 Nov 2013. DOI </w:t>
      </w:r>
      <w:hyperlink r:id="rId10" w:history="1">
        <w:r w:rsidRPr="00667B2D">
          <w:rPr>
            <w:rStyle w:val="Hyperlink"/>
            <w:sz w:val="20"/>
            <w:szCs w:val="20"/>
          </w:rPr>
          <w:t>http://dx.doi.org/10.7927/H4XW4GQ1</w:t>
        </w:r>
      </w:hyperlink>
    </w:p>
    <w:p w:rsidR="00EC2A52" w:rsidRPr="00667B2D" w:rsidRDefault="00EC2A52" w:rsidP="00EC2A52">
      <w:pPr>
        <w:spacing w:line="480" w:lineRule="auto"/>
        <w:ind w:left="360" w:hanging="360"/>
        <w:rPr>
          <w:sz w:val="20"/>
          <w:szCs w:val="20"/>
          <w:shd w:val="clear" w:color="auto" w:fill="FFFFFF"/>
        </w:rPr>
      </w:pPr>
      <w:r w:rsidRPr="002D03A9">
        <w:rPr>
          <w:sz w:val="20"/>
          <w:szCs w:val="20"/>
          <w:shd w:val="clear" w:color="auto" w:fill="FFFFFF"/>
          <w:lang w:val="sv-SE"/>
        </w:rPr>
        <w:t xml:space="preserve">Gunasekera D, Ford M, Heyhoe E et al (2008). </w:t>
      </w:r>
      <w:r w:rsidRPr="00667B2D">
        <w:rPr>
          <w:sz w:val="20"/>
          <w:szCs w:val="20"/>
          <w:shd w:val="clear" w:color="auto" w:fill="FFFFFF"/>
        </w:rPr>
        <w:t>Global integrated assessment model: a new analytical tool for assessing climate change risks and policies.</w:t>
      </w:r>
      <w:r w:rsidRPr="00667B2D">
        <w:rPr>
          <w:rStyle w:val="apple-converted-space"/>
          <w:sz w:val="20"/>
          <w:szCs w:val="20"/>
          <w:shd w:val="clear" w:color="auto" w:fill="FFFFFF"/>
        </w:rPr>
        <w:t xml:space="preserve"> </w:t>
      </w:r>
      <w:r w:rsidRPr="00667B2D">
        <w:rPr>
          <w:iCs/>
          <w:sz w:val="20"/>
          <w:szCs w:val="20"/>
          <w:shd w:val="clear" w:color="auto" w:fill="FFFFFF"/>
        </w:rPr>
        <w:t>Australian Commodities</w:t>
      </w:r>
      <w:r w:rsidRPr="00667B2D">
        <w:rPr>
          <w:sz w:val="20"/>
          <w:szCs w:val="20"/>
          <w:shd w:val="clear" w:color="auto" w:fill="FFFFFF"/>
        </w:rPr>
        <w:t xml:space="preserve"> </w:t>
      </w:r>
      <w:r w:rsidRPr="00667B2D">
        <w:rPr>
          <w:iCs/>
          <w:sz w:val="20"/>
          <w:szCs w:val="20"/>
          <w:shd w:val="clear" w:color="auto" w:fill="FFFFFF"/>
        </w:rPr>
        <w:t>15</w:t>
      </w:r>
      <w:r w:rsidRPr="00667B2D">
        <w:rPr>
          <w:sz w:val="20"/>
          <w:szCs w:val="20"/>
          <w:shd w:val="clear" w:color="auto" w:fill="FFFFFF"/>
        </w:rPr>
        <w:t>(1):195-216</w:t>
      </w:r>
    </w:p>
    <w:p w:rsidR="00EC2A52" w:rsidRPr="00667B2D" w:rsidRDefault="00EC2A52" w:rsidP="00EC2A52">
      <w:pPr>
        <w:spacing w:line="480" w:lineRule="auto"/>
        <w:ind w:left="360" w:hanging="360"/>
        <w:rPr>
          <w:sz w:val="20"/>
          <w:szCs w:val="20"/>
        </w:rPr>
      </w:pPr>
      <w:r w:rsidRPr="00667B2D">
        <w:rPr>
          <w:sz w:val="20"/>
          <w:szCs w:val="20"/>
          <w:shd w:val="clear" w:color="auto" w:fill="FFFFFF"/>
        </w:rPr>
        <w:t>Hope C (2006) The marginal impact of CO2 from PAGE2002: An integrated assessment model incorporating the IPCC's five reasons for concern.</w:t>
      </w:r>
      <w:r w:rsidRPr="00667B2D">
        <w:rPr>
          <w:rStyle w:val="apple-converted-space"/>
          <w:sz w:val="20"/>
          <w:szCs w:val="20"/>
          <w:shd w:val="clear" w:color="auto" w:fill="FFFFFF"/>
        </w:rPr>
        <w:t xml:space="preserve"> </w:t>
      </w:r>
      <w:r w:rsidRPr="00667B2D">
        <w:rPr>
          <w:iCs/>
          <w:sz w:val="20"/>
          <w:szCs w:val="20"/>
          <w:shd w:val="clear" w:color="auto" w:fill="FFFFFF"/>
        </w:rPr>
        <w:t>Integrated Assessment</w:t>
      </w:r>
      <w:r w:rsidRPr="00667B2D">
        <w:rPr>
          <w:rStyle w:val="apple-converted-space"/>
          <w:sz w:val="20"/>
          <w:szCs w:val="20"/>
          <w:shd w:val="clear" w:color="auto" w:fill="FFFFFF"/>
        </w:rPr>
        <w:t xml:space="preserve"> </w:t>
      </w:r>
      <w:r w:rsidRPr="00667B2D">
        <w:rPr>
          <w:iCs/>
          <w:sz w:val="20"/>
          <w:szCs w:val="20"/>
          <w:shd w:val="clear" w:color="auto" w:fill="FFFFFF"/>
        </w:rPr>
        <w:t>6</w:t>
      </w:r>
      <w:r w:rsidRPr="00667B2D">
        <w:rPr>
          <w:sz w:val="20"/>
          <w:szCs w:val="20"/>
          <w:shd w:val="clear" w:color="auto" w:fill="FFFFFF"/>
        </w:rPr>
        <w:t>(1):19-56</w:t>
      </w:r>
    </w:p>
    <w:p w:rsidR="00EC2A52" w:rsidRPr="00667B2D" w:rsidRDefault="00EC2A52" w:rsidP="00EC2A52">
      <w:pPr>
        <w:spacing w:line="480" w:lineRule="auto"/>
        <w:ind w:left="360" w:hanging="360"/>
        <w:rPr>
          <w:sz w:val="20"/>
          <w:szCs w:val="20"/>
          <w:shd w:val="clear" w:color="auto" w:fill="FFFFFF"/>
        </w:rPr>
      </w:pPr>
      <w:r w:rsidRPr="00667B2D">
        <w:rPr>
          <w:sz w:val="20"/>
          <w:szCs w:val="20"/>
          <w:shd w:val="clear" w:color="auto" w:fill="FFFFFF"/>
        </w:rPr>
        <w:t>Hope CW (2011) The social cost of CO2 from the PAGE09 model. The Open-Access, Open-Assessment E-Journal. Discussion Paper 2011-39</w:t>
      </w:r>
    </w:p>
    <w:p w:rsidR="00EC2A52" w:rsidRDefault="00EC2A52" w:rsidP="00EC2A52">
      <w:pPr>
        <w:spacing w:line="480" w:lineRule="auto"/>
        <w:ind w:left="360" w:hanging="360"/>
        <w:rPr>
          <w:sz w:val="20"/>
          <w:szCs w:val="20"/>
          <w:shd w:val="clear" w:color="auto" w:fill="FFFFFF"/>
        </w:rPr>
      </w:pPr>
      <w:r w:rsidRPr="009263A5">
        <w:rPr>
          <w:sz w:val="20"/>
          <w:szCs w:val="20"/>
          <w:shd w:val="clear" w:color="auto" w:fill="FFFFFF"/>
        </w:rPr>
        <w:lastRenderedPageBreak/>
        <w:t>Horowitz JK (2009) The income–temperature relationship in a cross-section of countries and its implications for predicting the effects of global warming.</w:t>
      </w:r>
      <w:r w:rsidRPr="009263A5">
        <w:rPr>
          <w:rStyle w:val="apple-converted-space"/>
          <w:sz w:val="20"/>
          <w:szCs w:val="20"/>
          <w:shd w:val="clear" w:color="auto" w:fill="FFFFFF"/>
        </w:rPr>
        <w:t xml:space="preserve"> </w:t>
      </w:r>
      <w:r w:rsidRPr="009263A5">
        <w:rPr>
          <w:iCs/>
          <w:sz w:val="20"/>
          <w:szCs w:val="20"/>
          <w:shd w:val="clear" w:color="auto" w:fill="FFFFFF"/>
        </w:rPr>
        <w:t xml:space="preserve">Environmental and Resource </w:t>
      </w:r>
      <w:r>
        <w:rPr>
          <w:iCs/>
          <w:sz w:val="20"/>
          <w:szCs w:val="20"/>
          <w:shd w:val="clear" w:color="auto" w:fill="FFFFFF"/>
        </w:rPr>
        <w:t>E</w:t>
      </w:r>
      <w:r w:rsidRPr="009263A5">
        <w:rPr>
          <w:iCs/>
          <w:sz w:val="20"/>
          <w:szCs w:val="20"/>
          <w:shd w:val="clear" w:color="auto" w:fill="FFFFFF"/>
        </w:rPr>
        <w:t>conomics</w:t>
      </w:r>
      <w:r w:rsidRPr="009263A5">
        <w:rPr>
          <w:rStyle w:val="apple-converted-space"/>
          <w:sz w:val="20"/>
          <w:szCs w:val="20"/>
          <w:shd w:val="clear" w:color="auto" w:fill="FFFFFF"/>
        </w:rPr>
        <w:t xml:space="preserve"> </w:t>
      </w:r>
      <w:r w:rsidRPr="009263A5">
        <w:rPr>
          <w:iCs/>
          <w:sz w:val="20"/>
          <w:szCs w:val="20"/>
          <w:shd w:val="clear" w:color="auto" w:fill="FFFFFF"/>
        </w:rPr>
        <w:t>44</w:t>
      </w:r>
      <w:r w:rsidRPr="009263A5">
        <w:rPr>
          <w:sz w:val="20"/>
          <w:szCs w:val="20"/>
          <w:shd w:val="clear" w:color="auto" w:fill="FFFFFF"/>
        </w:rPr>
        <w:t xml:space="preserve">(4):475-493 </w:t>
      </w:r>
    </w:p>
    <w:p w:rsidR="00EC2A52" w:rsidRPr="009263A5" w:rsidRDefault="00EC2A52" w:rsidP="00EC2A52">
      <w:pPr>
        <w:spacing w:line="480" w:lineRule="auto"/>
        <w:ind w:left="360" w:hanging="360"/>
        <w:rPr>
          <w:sz w:val="20"/>
          <w:szCs w:val="20"/>
        </w:rPr>
      </w:pPr>
      <w:r w:rsidRPr="009263A5">
        <w:rPr>
          <w:color w:val="000000"/>
          <w:sz w:val="20"/>
          <w:szCs w:val="20"/>
          <w:shd w:val="clear" w:color="auto" w:fill="FFFFFF"/>
        </w:rPr>
        <w:t>Institute for Digital Research and Education (IDRE)</w:t>
      </w:r>
      <w:r w:rsidRPr="009263A5">
        <w:rPr>
          <w:sz w:val="20"/>
          <w:szCs w:val="20"/>
        </w:rPr>
        <w:t xml:space="preserve"> (2016) Stata Data Analysis Examples: Robust Regression. </w:t>
      </w:r>
      <w:hyperlink r:id="rId11" w:history="1">
        <w:r w:rsidRPr="009263A5">
          <w:rPr>
            <w:rStyle w:val="Hyperlink"/>
            <w:sz w:val="20"/>
            <w:szCs w:val="20"/>
          </w:rPr>
          <w:t>http://www.ats.ucla.edu/stat/stata/dae/rreg.htm</w:t>
        </w:r>
      </w:hyperlink>
      <w:r w:rsidRPr="009263A5">
        <w:rPr>
          <w:sz w:val="20"/>
          <w:szCs w:val="20"/>
        </w:rPr>
        <w:t xml:space="preserve">. </w:t>
      </w:r>
      <w:r w:rsidRPr="009263A5">
        <w:rPr>
          <w:iCs/>
          <w:color w:val="000000" w:themeColor="text1"/>
          <w:sz w:val="20"/>
          <w:szCs w:val="20"/>
          <w:shd w:val="clear" w:color="auto" w:fill="FFFFFF"/>
        </w:rPr>
        <w:t>Cited 21 Dec 2016</w:t>
      </w:r>
    </w:p>
    <w:p w:rsidR="00EC2A52" w:rsidRPr="009263A5" w:rsidRDefault="00EC2A52" w:rsidP="00EC2A52">
      <w:pPr>
        <w:spacing w:line="480" w:lineRule="auto"/>
        <w:ind w:left="360" w:hanging="360"/>
        <w:rPr>
          <w:color w:val="000000" w:themeColor="text1"/>
          <w:sz w:val="20"/>
          <w:szCs w:val="20"/>
        </w:rPr>
      </w:pPr>
      <w:r w:rsidRPr="009263A5">
        <w:rPr>
          <w:color w:val="000000" w:themeColor="text1"/>
          <w:sz w:val="20"/>
          <w:szCs w:val="20"/>
        </w:rPr>
        <w:t xml:space="preserve">Jann B (2010) ROBREG: Stata module providing robust regression estimators. Statistical Software Components, Boston College Department of Economics. </w:t>
      </w:r>
      <w:hyperlink r:id="rId12" w:history="1">
        <w:r w:rsidRPr="009263A5">
          <w:rPr>
            <w:rStyle w:val="Hyperlink"/>
            <w:sz w:val="20"/>
            <w:szCs w:val="20"/>
          </w:rPr>
          <w:t>http://econpapers.repec.org/software/bocbocode/s457114.htm</w:t>
        </w:r>
      </w:hyperlink>
      <w:r w:rsidRPr="009263A5">
        <w:rPr>
          <w:color w:val="000000" w:themeColor="text1"/>
          <w:sz w:val="20"/>
          <w:szCs w:val="20"/>
        </w:rPr>
        <w:t xml:space="preserve">. Cited </w:t>
      </w:r>
      <w:r w:rsidRPr="009263A5">
        <w:rPr>
          <w:iCs/>
          <w:color w:val="000000" w:themeColor="text1"/>
          <w:sz w:val="20"/>
          <w:szCs w:val="20"/>
          <w:shd w:val="clear" w:color="auto" w:fill="FFFFFF"/>
        </w:rPr>
        <w:t>21</w:t>
      </w:r>
      <w:r w:rsidRPr="009263A5">
        <w:rPr>
          <w:color w:val="000000" w:themeColor="text1"/>
          <w:sz w:val="20"/>
          <w:szCs w:val="20"/>
        </w:rPr>
        <w:t>Dec 2016</w:t>
      </w:r>
    </w:p>
    <w:p w:rsidR="00EC2A52" w:rsidRPr="009263A5" w:rsidRDefault="00EC2A52" w:rsidP="00EC2A52">
      <w:pPr>
        <w:spacing w:line="480" w:lineRule="auto"/>
        <w:ind w:left="360" w:hanging="360"/>
        <w:rPr>
          <w:color w:val="000000" w:themeColor="text1"/>
          <w:sz w:val="20"/>
          <w:szCs w:val="20"/>
        </w:rPr>
      </w:pPr>
      <w:r w:rsidRPr="009263A5">
        <w:rPr>
          <w:color w:val="000000" w:themeColor="text1"/>
          <w:sz w:val="20"/>
          <w:szCs w:val="20"/>
        </w:rPr>
        <w:t>Jann B (2012) Robust regression in Stata. 10</w:t>
      </w:r>
      <w:r w:rsidRPr="009263A5">
        <w:rPr>
          <w:color w:val="000000" w:themeColor="text1"/>
          <w:sz w:val="20"/>
          <w:szCs w:val="20"/>
          <w:vertAlign w:val="superscript"/>
        </w:rPr>
        <w:t>th</w:t>
      </w:r>
      <w:r w:rsidRPr="009263A5">
        <w:rPr>
          <w:color w:val="000000" w:themeColor="text1"/>
          <w:sz w:val="20"/>
          <w:szCs w:val="20"/>
        </w:rPr>
        <w:t xml:space="preserve"> German Stata Users’ Group Meetings, Berlin, 1 June 2012. </w:t>
      </w:r>
      <w:hyperlink r:id="rId13" w:history="1">
        <w:r w:rsidRPr="009263A5">
          <w:rPr>
            <w:rStyle w:val="Hyperlink"/>
            <w:sz w:val="20"/>
            <w:szCs w:val="20"/>
          </w:rPr>
          <w:t>http://fmwww.bc.edu/RePEc/dsug2012/desug12_jann.pdf</w:t>
        </w:r>
      </w:hyperlink>
      <w:r w:rsidRPr="009263A5">
        <w:rPr>
          <w:color w:val="000000" w:themeColor="text1"/>
          <w:sz w:val="20"/>
          <w:szCs w:val="20"/>
        </w:rPr>
        <w:t>. Cited 21 Dec 2016</w:t>
      </w:r>
    </w:p>
    <w:p w:rsidR="00EC2A52" w:rsidRPr="009263A5" w:rsidRDefault="00EC2A52" w:rsidP="00EC2A52">
      <w:pPr>
        <w:spacing w:line="480" w:lineRule="auto"/>
        <w:ind w:left="360" w:hanging="360"/>
        <w:rPr>
          <w:sz w:val="20"/>
          <w:szCs w:val="20"/>
        </w:rPr>
      </w:pPr>
      <w:r w:rsidRPr="009263A5">
        <w:rPr>
          <w:sz w:val="20"/>
          <w:szCs w:val="20"/>
        </w:rPr>
        <w:t xml:space="preserve">Koller M, Stahel WA (2011) Sharpening </w:t>
      </w:r>
      <w:r>
        <w:rPr>
          <w:sz w:val="20"/>
          <w:szCs w:val="20"/>
        </w:rPr>
        <w:t>W</w:t>
      </w:r>
      <w:r w:rsidRPr="009263A5">
        <w:rPr>
          <w:sz w:val="20"/>
          <w:szCs w:val="20"/>
        </w:rPr>
        <w:t xml:space="preserve">ald-type inference in robust regression for small samples. Computational Statistics </w:t>
      </w:r>
      <w:r>
        <w:rPr>
          <w:sz w:val="20"/>
          <w:szCs w:val="20"/>
        </w:rPr>
        <w:t>and</w:t>
      </w:r>
      <w:r w:rsidRPr="009263A5">
        <w:rPr>
          <w:sz w:val="20"/>
          <w:szCs w:val="20"/>
        </w:rPr>
        <w:t xml:space="preserve"> Data Analysis 55(8):2504-2515</w:t>
      </w:r>
    </w:p>
    <w:p w:rsidR="00EC2A52" w:rsidRPr="009263A5" w:rsidRDefault="00EC2A52" w:rsidP="00EC2A52">
      <w:pPr>
        <w:spacing w:line="480" w:lineRule="auto"/>
        <w:ind w:left="360" w:hanging="360"/>
        <w:rPr>
          <w:sz w:val="20"/>
          <w:szCs w:val="20"/>
        </w:rPr>
      </w:pPr>
      <w:r w:rsidRPr="009263A5">
        <w:rPr>
          <w:sz w:val="20"/>
          <w:szCs w:val="20"/>
          <w:shd w:val="clear" w:color="auto" w:fill="FFFFFF"/>
        </w:rPr>
        <w:t xml:space="preserve">Kopp RE, Golub A, Keohane NO et al (2012) The influence of the specification of climate change damages on the </w:t>
      </w:r>
      <w:r>
        <w:rPr>
          <w:sz w:val="20"/>
          <w:szCs w:val="20"/>
          <w:shd w:val="clear" w:color="auto" w:fill="FFFFFF"/>
        </w:rPr>
        <w:t>S</w:t>
      </w:r>
      <w:r w:rsidRPr="009263A5">
        <w:rPr>
          <w:sz w:val="20"/>
          <w:szCs w:val="20"/>
          <w:shd w:val="clear" w:color="auto" w:fill="FFFFFF"/>
        </w:rPr>
        <w:t xml:space="preserve">ocial </w:t>
      </w:r>
      <w:r>
        <w:rPr>
          <w:sz w:val="20"/>
          <w:szCs w:val="20"/>
          <w:shd w:val="clear" w:color="auto" w:fill="FFFFFF"/>
        </w:rPr>
        <w:t>C</w:t>
      </w:r>
      <w:r w:rsidRPr="009263A5">
        <w:rPr>
          <w:sz w:val="20"/>
          <w:szCs w:val="20"/>
          <w:shd w:val="clear" w:color="auto" w:fill="FFFFFF"/>
        </w:rPr>
        <w:t xml:space="preserve">ost of </w:t>
      </w:r>
      <w:r>
        <w:rPr>
          <w:sz w:val="20"/>
          <w:szCs w:val="20"/>
          <w:shd w:val="clear" w:color="auto" w:fill="FFFFFF"/>
        </w:rPr>
        <w:t>C</w:t>
      </w:r>
      <w:r w:rsidRPr="009263A5">
        <w:rPr>
          <w:sz w:val="20"/>
          <w:szCs w:val="20"/>
          <w:shd w:val="clear" w:color="auto" w:fill="FFFFFF"/>
        </w:rPr>
        <w:t>arbon. Economics: The Open-Access, Open-Assessment E-Journal 6(13):1-40.</w:t>
      </w:r>
    </w:p>
    <w:p w:rsidR="00EC2A52" w:rsidRPr="009263A5" w:rsidRDefault="00EC2A52" w:rsidP="00EC2A52">
      <w:pPr>
        <w:spacing w:line="480" w:lineRule="auto"/>
        <w:ind w:left="360" w:hanging="360"/>
        <w:rPr>
          <w:sz w:val="20"/>
          <w:szCs w:val="20"/>
          <w:shd w:val="clear" w:color="auto" w:fill="FFFFFF"/>
        </w:rPr>
      </w:pPr>
      <w:r w:rsidRPr="009263A5">
        <w:rPr>
          <w:sz w:val="20"/>
          <w:szCs w:val="20"/>
          <w:shd w:val="clear" w:color="auto" w:fill="FFFFFF"/>
        </w:rPr>
        <w:t>Manne A, Mendelsohn R, Richels R (1995) MERGE: A model for evaluating regional and global effects of GHG reduction policies.</w:t>
      </w:r>
      <w:r w:rsidRPr="009263A5">
        <w:rPr>
          <w:rStyle w:val="apple-converted-space"/>
          <w:sz w:val="20"/>
          <w:szCs w:val="20"/>
          <w:shd w:val="clear" w:color="auto" w:fill="FFFFFF"/>
        </w:rPr>
        <w:t xml:space="preserve"> </w:t>
      </w:r>
      <w:r w:rsidRPr="009263A5">
        <w:rPr>
          <w:iCs/>
          <w:sz w:val="20"/>
          <w:szCs w:val="20"/>
          <w:shd w:val="clear" w:color="auto" w:fill="FFFFFF"/>
        </w:rPr>
        <w:t xml:space="preserve">Energy </w:t>
      </w:r>
      <w:r>
        <w:rPr>
          <w:iCs/>
          <w:sz w:val="20"/>
          <w:szCs w:val="20"/>
          <w:shd w:val="clear" w:color="auto" w:fill="FFFFFF"/>
        </w:rPr>
        <w:t>P</w:t>
      </w:r>
      <w:r w:rsidRPr="009263A5">
        <w:rPr>
          <w:iCs/>
          <w:sz w:val="20"/>
          <w:szCs w:val="20"/>
          <w:shd w:val="clear" w:color="auto" w:fill="FFFFFF"/>
        </w:rPr>
        <w:t>olicy 23</w:t>
      </w:r>
      <w:r w:rsidRPr="009263A5">
        <w:rPr>
          <w:sz w:val="20"/>
          <w:szCs w:val="20"/>
          <w:shd w:val="clear" w:color="auto" w:fill="FFFFFF"/>
        </w:rPr>
        <w:t>(1):17-34.</w:t>
      </w:r>
    </w:p>
    <w:p w:rsidR="00EC2A52" w:rsidRPr="009263A5" w:rsidRDefault="00EC2A52" w:rsidP="00EC2A52">
      <w:pPr>
        <w:spacing w:line="480" w:lineRule="auto"/>
        <w:ind w:left="360" w:hanging="360"/>
        <w:rPr>
          <w:iCs/>
          <w:sz w:val="20"/>
          <w:szCs w:val="20"/>
          <w:shd w:val="clear" w:color="auto" w:fill="FFFFFF"/>
        </w:rPr>
      </w:pPr>
      <w:r w:rsidRPr="009263A5">
        <w:rPr>
          <w:sz w:val="20"/>
          <w:szCs w:val="20"/>
          <w:shd w:val="clear" w:color="auto" w:fill="FFFFFF"/>
        </w:rPr>
        <w:t xml:space="preserve">Manne AS, Richels RG (2005) </w:t>
      </w:r>
      <w:r>
        <w:rPr>
          <w:sz w:val="20"/>
          <w:szCs w:val="20"/>
          <w:shd w:val="clear" w:color="auto" w:fill="FFFFFF"/>
        </w:rPr>
        <w:t>MERGE</w:t>
      </w:r>
      <w:r w:rsidRPr="009263A5">
        <w:rPr>
          <w:sz w:val="20"/>
          <w:szCs w:val="20"/>
          <w:shd w:val="clear" w:color="auto" w:fill="FFFFFF"/>
        </w:rPr>
        <w:t xml:space="preserve">: an integrated assessment model for global climate change. In: Loulou R, Waaub J-P, Zaccour G (eds) </w:t>
      </w:r>
      <w:r w:rsidRPr="009263A5">
        <w:rPr>
          <w:iCs/>
          <w:sz w:val="20"/>
          <w:szCs w:val="20"/>
          <w:shd w:val="clear" w:color="auto" w:fill="FFFFFF"/>
        </w:rPr>
        <w:t xml:space="preserve">Energy and Environment. Springer, New York </w:t>
      </w:r>
    </w:p>
    <w:p w:rsidR="00EC2A52" w:rsidRPr="009263A5" w:rsidRDefault="00EC2A52" w:rsidP="00EC2A52">
      <w:pPr>
        <w:spacing w:line="480" w:lineRule="auto"/>
        <w:ind w:left="360" w:hanging="360"/>
        <w:rPr>
          <w:color w:val="000000" w:themeColor="text1"/>
          <w:sz w:val="20"/>
          <w:szCs w:val="20"/>
        </w:rPr>
      </w:pPr>
      <w:r w:rsidRPr="009263A5">
        <w:rPr>
          <w:color w:val="000000" w:themeColor="text1"/>
          <w:sz w:val="20"/>
          <w:szCs w:val="20"/>
          <w:shd w:val="clear" w:color="auto" w:fill="FFFFFF"/>
        </w:rPr>
        <w:t>McCallum S, Dworak T, Prutsch A et al (2013) Support to the development of the EU Strategy for Adaptation to Climate Change: Background report to the Impact Assessment, Part I - Problem definition, policy context and assessment of policy options. Environment Agency Austria, Vienna</w:t>
      </w:r>
    </w:p>
    <w:p w:rsidR="00EC2A52" w:rsidRDefault="00EC2A52" w:rsidP="00EC2A52">
      <w:pPr>
        <w:spacing w:line="480" w:lineRule="auto"/>
        <w:ind w:left="360" w:hanging="360"/>
        <w:rPr>
          <w:sz w:val="20"/>
          <w:szCs w:val="20"/>
          <w:shd w:val="clear" w:color="auto" w:fill="FFFFFF"/>
        </w:rPr>
      </w:pPr>
      <w:r w:rsidRPr="009263A5">
        <w:rPr>
          <w:sz w:val="20"/>
          <w:szCs w:val="20"/>
          <w:shd w:val="clear" w:color="auto" w:fill="FFFFFF"/>
        </w:rPr>
        <w:t xml:space="preserve">Ng P, Zhao X (2011) No matter how it is measured, income declines with global warming. </w:t>
      </w:r>
      <w:r w:rsidRPr="009263A5">
        <w:rPr>
          <w:iCs/>
          <w:sz w:val="20"/>
          <w:szCs w:val="20"/>
          <w:shd w:val="clear" w:color="auto" w:fill="FFFFFF"/>
        </w:rPr>
        <w:t>Ecological Economics</w:t>
      </w:r>
      <w:r w:rsidRPr="009263A5">
        <w:rPr>
          <w:sz w:val="20"/>
          <w:szCs w:val="20"/>
          <w:shd w:val="clear" w:color="auto" w:fill="FFFFFF"/>
        </w:rPr>
        <w:t>,</w:t>
      </w:r>
      <w:r w:rsidRPr="009263A5">
        <w:rPr>
          <w:rStyle w:val="apple-converted-space"/>
          <w:sz w:val="20"/>
          <w:szCs w:val="20"/>
          <w:shd w:val="clear" w:color="auto" w:fill="FFFFFF"/>
        </w:rPr>
        <w:t xml:space="preserve"> </w:t>
      </w:r>
      <w:r w:rsidRPr="009263A5">
        <w:rPr>
          <w:iCs/>
          <w:sz w:val="20"/>
          <w:szCs w:val="20"/>
          <w:shd w:val="clear" w:color="auto" w:fill="FFFFFF"/>
        </w:rPr>
        <w:t>70</w:t>
      </w:r>
      <w:r w:rsidRPr="009263A5">
        <w:rPr>
          <w:sz w:val="20"/>
          <w:szCs w:val="20"/>
          <w:shd w:val="clear" w:color="auto" w:fill="FFFFFF"/>
        </w:rPr>
        <w:t>(5):963-970</w:t>
      </w:r>
    </w:p>
    <w:p w:rsidR="00EC2A52" w:rsidRPr="009263A5" w:rsidRDefault="00EC2A52" w:rsidP="00EC2A52">
      <w:pPr>
        <w:spacing w:line="480" w:lineRule="auto"/>
        <w:ind w:left="360" w:hanging="360"/>
        <w:rPr>
          <w:sz w:val="20"/>
          <w:szCs w:val="20"/>
          <w:shd w:val="clear" w:color="auto" w:fill="FFFFFF"/>
        </w:rPr>
      </w:pPr>
      <w:r w:rsidRPr="00667B2D">
        <w:rPr>
          <w:sz w:val="20"/>
          <w:szCs w:val="20"/>
          <w:shd w:val="clear" w:color="auto" w:fill="FFFFFF"/>
        </w:rPr>
        <w:t>Nordhaus WD (2008b) New metrics for environmental economics: Gridded economic data.</w:t>
      </w:r>
      <w:r w:rsidRPr="00667B2D">
        <w:rPr>
          <w:rStyle w:val="apple-converted-space"/>
          <w:sz w:val="20"/>
          <w:szCs w:val="20"/>
          <w:shd w:val="clear" w:color="auto" w:fill="FFFFFF"/>
        </w:rPr>
        <w:t xml:space="preserve"> </w:t>
      </w:r>
      <w:r w:rsidRPr="00667B2D">
        <w:rPr>
          <w:iCs/>
          <w:sz w:val="20"/>
          <w:szCs w:val="20"/>
          <w:shd w:val="clear" w:color="auto" w:fill="FFFFFF"/>
        </w:rPr>
        <w:t>Integrated Assessment</w:t>
      </w:r>
      <w:r w:rsidRPr="00667B2D">
        <w:rPr>
          <w:sz w:val="20"/>
          <w:szCs w:val="20"/>
          <w:shd w:val="clear" w:color="auto" w:fill="FFFFFF"/>
        </w:rPr>
        <w:t>,</w:t>
      </w:r>
      <w:r w:rsidRPr="00667B2D">
        <w:rPr>
          <w:rStyle w:val="apple-converted-space"/>
          <w:sz w:val="20"/>
          <w:szCs w:val="20"/>
          <w:shd w:val="clear" w:color="auto" w:fill="FFFFFF"/>
        </w:rPr>
        <w:t xml:space="preserve"> </w:t>
      </w:r>
      <w:r w:rsidRPr="00667B2D">
        <w:rPr>
          <w:iCs/>
          <w:sz w:val="20"/>
          <w:szCs w:val="20"/>
          <w:shd w:val="clear" w:color="auto" w:fill="FFFFFF"/>
        </w:rPr>
        <w:t>8</w:t>
      </w:r>
      <w:r w:rsidRPr="00667B2D">
        <w:rPr>
          <w:sz w:val="20"/>
          <w:szCs w:val="20"/>
          <w:shd w:val="clear" w:color="auto" w:fill="FFFFFF"/>
        </w:rPr>
        <w:t>(1):73-84</w:t>
      </w:r>
    </w:p>
    <w:p w:rsidR="00EC2A52" w:rsidRPr="009263A5" w:rsidRDefault="00EC2A52" w:rsidP="00EC2A52">
      <w:pPr>
        <w:spacing w:line="480" w:lineRule="auto"/>
        <w:ind w:left="360" w:hanging="360"/>
        <w:rPr>
          <w:sz w:val="20"/>
          <w:szCs w:val="20"/>
        </w:rPr>
      </w:pPr>
      <w:r w:rsidRPr="009263A5">
        <w:rPr>
          <w:sz w:val="20"/>
          <w:szCs w:val="20"/>
        </w:rPr>
        <w:t xml:space="preserve">Socioeconomic Data and Applications Center (2002) Country-level </w:t>
      </w:r>
      <w:r>
        <w:rPr>
          <w:sz w:val="20"/>
          <w:szCs w:val="20"/>
        </w:rPr>
        <w:t>GDP</w:t>
      </w:r>
      <w:r w:rsidRPr="009263A5">
        <w:rPr>
          <w:sz w:val="20"/>
          <w:szCs w:val="20"/>
        </w:rPr>
        <w:t xml:space="preserve"> and downscaled projections based on the </w:t>
      </w:r>
      <w:r>
        <w:rPr>
          <w:sz w:val="20"/>
          <w:szCs w:val="20"/>
        </w:rPr>
        <w:t>A</w:t>
      </w:r>
      <w:r w:rsidRPr="009263A5">
        <w:rPr>
          <w:sz w:val="20"/>
          <w:szCs w:val="20"/>
        </w:rPr>
        <w:t xml:space="preserve">1, </w:t>
      </w:r>
      <w:r>
        <w:rPr>
          <w:sz w:val="20"/>
          <w:szCs w:val="20"/>
        </w:rPr>
        <w:t>A</w:t>
      </w:r>
      <w:r w:rsidRPr="009263A5">
        <w:rPr>
          <w:sz w:val="20"/>
          <w:szCs w:val="20"/>
        </w:rPr>
        <w:t xml:space="preserve">2, </w:t>
      </w:r>
      <w:r>
        <w:rPr>
          <w:sz w:val="20"/>
          <w:szCs w:val="20"/>
        </w:rPr>
        <w:t>B</w:t>
      </w:r>
      <w:r w:rsidRPr="009263A5">
        <w:rPr>
          <w:sz w:val="20"/>
          <w:szCs w:val="20"/>
        </w:rPr>
        <w:t xml:space="preserve">1, and </w:t>
      </w:r>
      <w:r>
        <w:rPr>
          <w:sz w:val="20"/>
          <w:szCs w:val="20"/>
        </w:rPr>
        <w:t>B</w:t>
      </w:r>
      <w:r w:rsidRPr="009263A5">
        <w:rPr>
          <w:sz w:val="20"/>
          <w:szCs w:val="20"/>
        </w:rPr>
        <w:t xml:space="preserve">2 marker scenarios, 1990-2100. NASA's Earth Observing System Data and Information System. </w:t>
      </w:r>
      <w:hyperlink r:id="rId14" w:history="1">
        <w:r w:rsidRPr="009263A5">
          <w:rPr>
            <w:rStyle w:val="Hyperlink"/>
            <w:sz w:val="20"/>
            <w:szCs w:val="20"/>
          </w:rPr>
          <w:t>http://sedac.ciesin.columbia.edu/data/set/sdp-downscaled-gdp-a1a2b1b2-1990-2100</w:t>
        </w:r>
      </w:hyperlink>
      <w:r w:rsidRPr="009263A5">
        <w:rPr>
          <w:sz w:val="20"/>
          <w:szCs w:val="20"/>
        </w:rPr>
        <w:t>. Cited 21 Nov 2013</w:t>
      </w:r>
    </w:p>
    <w:p w:rsidR="00EC2A52" w:rsidRPr="009263A5" w:rsidRDefault="00EC2A52" w:rsidP="00EC2A52">
      <w:pPr>
        <w:spacing w:line="480" w:lineRule="auto"/>
        <w:ind w:left="360" w:hanging="360"/>
        <w:rPr>
          <w:color w:val="222222"/>
          <w:sz w:val="20"/>
          <w:szCs w:val="20"/>
          <w:shd w:val="clear" w:color="auto" w:fill="FFFFFF"/>
        </w:rPr>
      </w:pPr>
      <w:r w:rsidRPr="009263A5">
        <w:rPr>
          <w:sz w:val="20"/>
          <w:szCs w:val="20"/>
          <w:shd w:val="clear" w:color="auto" w:fill="FFFFFF"/>
        </w:rPr>
        <w:lastRenderedPageBreak/>
        <w:t xml:space="preserve">Tol RSJ (2013) The economic impact of climate change in the 20th and 21st centuries. </w:t>
      </w:r>
      <w:r w:rsidRPr="009263A5">
        <w:rPr>
          <w:iCs/>
          <w:sz w:val="20"/>
          <w:szCs w:val="20"/>
          <w:shd w:val="clear" w:color="auto" w:fill="FFFFFF"/>
        </w:rPr>
        <w:t xml:space="preserve">Climatic </w:t>
      </w:r>
      <w:r>
        <w:rPr>
          <w:iCs/>
          <w:sz w:val="20"/>
          <w:szCs w:val="20"/>
          <w:shd w:val="clear" w:color="auto" w:fill="FFFFFF"/>
        </w:rPr>
        <w:t>C</w:t>
      </w:r>
      <w:r w:rsidRPr="009263A5">
        <w:rPr>
          <w:iCs/>
          <w:sz w:val="20"/>
          <w:szCs w:val="20"/>
          <w:shd w:val="clear" w:color="auto" w:fill="FFFFFF"/>
        </w:rPr>
        <w:t>hange</w:t>
      </w:r>
      <w:r w:rsidRPr="009263A5">
        <w:rPr>
          <w:rStyle w:val="apple-converted-space"/>
          <w:sz w:val="20"/>
          <w:szCs w:val="20"/>
          <w:shd w:val="clear" w:color="auto" w:fill="FFFFFF"/>
        </w:rPr>
        <w:t xml:space="preserve"> </w:t>
      </w:r>
      <w:r w:rsidRPr="009263A5">
        <w:rPr>
          <w:iCs/>
          <w:sz w:val="20"/>
          <w:szCs w:val="20"/>
          <w:shd w:val="clear" w:color="auto" w:fill="FFFFFF"/>
        </w:rPr>
        <w:t>117</w:t>
      </w:r>
      <w:r w:rsidRPr="009263A5">
        <w:rPr>
          <w:sz w:val="20"/>
          <w:szCs w:val="20"/>
          <w:shd w:val="clear" w:color="auto" w:fill="FFFFFF"/>
        </w:rPr>
        <w:t>(4):795-808</w:t>
      </w:r>
    </w:p>
    <w:p w:rsidR="00EC2A52" w:rsidRDefault="00EC2A52">
      <w:pPr>
        <w:spacing w:after="200" w:line="276" w:lineRule="auto"/>
      </w:pPr>
      <w:r>
        <w:br w:type="page"/>
      </w:r>
    </w:p>
    <w:p w:rsidR="00EC2A52" w:rsidRPr="000A1374" w:rsidRDefault="00EC2A52" w:rsidP="00EC2A52">
      <w:pPr>
        <w:spacing w:after="200" w:line="276" w:lineRule="auto"/>
        <w:rPr>
          <w:b/>
          <w:i/>
          <w:sz w:val="20"/>
          <w:szCs w:val="20"/>
        </w:rPr>
      </w:pPr>
      <w:r w:rsidRPr="009263A5">
        <w:rPr>
          <w:b/>
          <w:i/>
          <w:sz w:val="20"/>
          <w:szCs w:val="20"/>
        </w:rPr>
        <w:lastRenderedPageBreak/>
        <w:t>Figure A1. Data, by Whether Deleted or Duplicated</w:t>
      </w:r>
      <w:r w:rsidRPr="009263A5" w:rsidDel="00A542BE">
        <w:rPr>
          <w:b/>
          <w:i/>
          <w:sz w:val="20"/>
          <w:szCs w:val="20"/>
        </w:rPr>
        <w:t xml:space="preserve"> </w:t>
      </w:r>
    </w:p>
    <w:p w:rsidR="00EC2A52" w:rsidRDefault="00EC2A52" w:rsidP="00EC2A52">
      <w:pPr>
        <w:rPr>
          <w:sz w:val="20"/>
          <w:szCs w:val="20"/>
        </w:rPr>
      </w:pPr>
      <w:r w:rsidRPr="006155AF">
        <w:rPr>
          <w:noProof/>
        </w:rPr>
        <w:t xml:space="preserve"> </w:t>
      </w:r>
      <w:r w:rsidRPr="009263A5">
        <w:rPr>
          <w:sz w:val="20"/>
          <w:szCs w:val="20"/>
        </w:rPr>
        <w:t xml:space="preserve"> </w:t>
      </w:r>
    </w:p>
    <w:p w:rsidR="00EC2A52" w:rsidRPr="009263A5" w:rsidRDefault="00EC2A52" w:rsidP="00EC2A52">
      <w:pPr>
        <w:rPr>
          <w:sz w:val="20"/>
          <w:szCs w:val="20"/>
        </w:rPr>
      </w:pPr>
    </w:p>
    <w:p w:rsidR="00EC2A52" w:rsidRDefault="00EC2A52" w:rsidP="00EC2A52">
      <w:pPr>
        <w:rPr>
          <w:i/>
          <w:sz w:val="20"/>
          <w:szCs w:val="20"/>
        </w:rPr>
      </w:pPr>
      <w:r w:rsidRPr="009263A5">
        <w:rPr>
          <w:i/>
          <w:sz w:val="20"/>
          <w:szCs w:val="20"/>
        </w:rPr>
        <w:t>Figure A1 displays our paper’s data points</w:t>
      </w:r>
      <w:r>
        <w:rPr>
          <w:i/>
          <w:sz w:val="20"/>
          <w:szCs w:val="20"/>
        </w:rPr>
        <w:t>,</w:t>
      </w:r>
      <w:r w:rsidRPr="009263A5">
        <w:rPr>
          <w:i/>
          <w:sz w:val="20"/>
          <w:szCs w:val="20"/>
        </w:rPr>
        <w:t xml:space="preserve"> where X are data points deleted based on a priori conditions, light grey circles are duplicate data points, and dark circles are non-duplicate data points</w:t>
      </w:r>
      <w:r>
        <w:rPr>
          <w:i/>
          <w:sz w:val="20"/>
          <w:szCs w:val="20"/>
        </w:rPr>
        <w:t>.</w:t>
      </w:r>
    </w:p>
    <w:p w:rsidR="00EC2A52" w:rsidRDefault="00EC2A52" w:rsidP="00EC2A52">
      <w:pPr>
        <w:rPr>
          <w:i/>
          <w:sz w:val="20"/>
          <w:szCs w:val="20"/>
        </w:rPr>
      </w:pPr>
    </w:p>
    <w:p w:rsidR="00EC2A52" w:rsidRDefault="00EC2A52" w:rsidP="00EC2A52">
      <w:pPr>
        <w:rPr>
          <w:i/>
          <w:sz w:val="20"/>
          <w:szCs w:val="20"/>
        </w:rPr>
      </w:pPr>
    </w:p>
    <w:p w:rsidR="00EC2A52" w:rsidRPr="000A1374" w:rsidRDefault="00EC2A52" w:rsidP="00EC2A52">
      <w:pPr>
        <w:spacing w:after="200" w:line="276" w:lineRule="auto"/>
        <w:rPr>
          <w:b/>
          <w:i/>
          <w:sz w:val="20"/>
          <w:szCs w:val="20"/>
        </w:rPr>
      </w:pPr>
      <w:r w:rsidRPr="009263A5">
        <w:rPr>
          <w:b/>
          <w:i/>
          <w:sz w:val="20"/>
          <w:szCs w:val="20"/>
        </w:rPr>
        <w:t>Figure A2. Kernel Weighted Local Polynomial Smoothing of Climate Damage as a Function of Temperature Change</w:t>
      </w:r>
      <w:r>
        <w:rPr>
          <w:b/>
          <w:i/>
          <w:sz w:val="20"/>
          <w:szCs w:val="20"/>
        </w:rPr>
        <w:t>, by Dataset</w:t>
      </w:r>
    </w:p>
    <w:p w:rsidR="00EC2A52" w:rsidRPr="000A1374" w:rsidRDefault="00EC2A52" w:rsidP="00EC2A52">
      <w:pPr>
        <w:pStyle w:val="ListParagraph"/>
        <w:numPr>
          <w:ilvl w:val="0"/>
          <w:numId w:val="1"/>
        </w:numPr>
        <w:rPr>
          <w:i/>
          <w:sz w:val="20"/>
          <w:szCs w:val="20"/>
        </w:rPr>
      </w:pPr>
      <w:r>
        <w:rPr>
          <w:i/>
          <w:sz w:val="20"/>
          <w:szCs w:val="20"/>
        </w:rPr>
        <w:t xml:space="preserve">                                                                                               </w:t>
      </w:r>
      <w:r w:rsidRPr="005D23BA">
        <w:rPr>
          <w:i/>
          <w:sz w:val="20"/>
          <w:szCs w:val="20"/>
        </w:rPr>
        <w:t>(b)</w:t>
      </w:r>
    </w:p>
    <w:p w:rsidR="00EC2A52" w:rsidRDefault="00EC2A52" w:rsidP="00EC2A52">
      <w:pPr>
        <w:rPr>
          <w:i/>
          <w:sz w:val="20"/>
          <w:szCs w:val="20"/>
        </w:rPr>
      </w:pPr>
    </w:p>
    <w:p w:rsidR="00EC2A52" w:rsidRDefault="00EC2A52" w:rsidP="00EC2A52">
      <w:pPr>
        <w:rPr>
          <w:i/>
          <w:sz w:val="20"/>
          <w:szCs w:val="20"/>
        </w:rPr>
      </w:pPr>
      <w:r w:rsidRPr="009263A5">
        <w:rPr>
          <w:i/>
          <w:sz w:val="20"/>
          <w:szCs w:val="20"/>
        </w:rPr>
        <w:t xml:space="preserve">Figure A2 displays kernel-weighted local polynomial smoothing of climate damage as a function of temperature. In </w:t>
      </w:r>
      <w:r>
        <w:rPr>
          <w:i/>
          <w:sz w:val="20"/>
          <w:szCs w:val="20"/>
        </w:rPr>
        <w:t>P</w:t>
      </w:r>
      <w:r w:rsidRPr="009263A5">
        <w:rPr>
          <w:i/>
          <w:sz w:val="20"/>
          <w:szCs w:val="20"/>
        </w:rPr>
        <w:t xml:space="preserve">anel </w:t>
      </w:r>
      <w:r>
        <w:rPr>
          <w:i/>
          <w:sz w:val="20"/>
          <w:szCs w:val="20"/>
        </w:rPr>
        <w:t>(</w:t>
      </w:r>
      <w:r w:rsidRPr="009263A5">
        <w:rPr>
          <w:i/>
          <w:sz w:val="20"/>
          <w:szCs w:val="20"/>
        </w:rPr>
        <w:t>a</w:t>
      </w:r>
      <w:r>
        <w:rPr>
          <w:i/>
          <w:sz w:val="20"/>
          <w:szCs w:val="20"/>
        </w:rPr>
        <w:t>)</w:t>
      </w:r>
      <w:r w:rsidRPr="009263A5">
        <w:rPr>
          <w:i/>
          <w:sz w:val="20"/>
          <w:szCs w:val="20"/>
        </w:rPr>
        <w:t xml:space="preserve">, all temperature data are included. In </w:t>
      </w:r>
      <w:r>
        <w:rPr>
          <w:i/>
          <w:sz w:val="20"/>
          <w:szCs w:val="20"/>
        </w:rPr>
        <w:t>P</w:t>
      </w:r>
      <w:r w:rsidRPr="009263A5">
        <w:rPr>
          <w:i/>
          <w:sz w:val="20"/>
          <w:szCs w:val="20"/>
        </w:rPr>
        <w:t xml:space="preserve">anel </w:t>
      </w:r>
      <w:r>
        <w:rPr>
          <w:i/>
          <w:sz w:val="20"/>
          <w:szCs w:val="20"/>
        </w:rPr>
        <w:t>(</w:t>
      </w:r>
      <w:r w:rsidRPr="009263A5">
        <w:rPr>
          <w:i/>
          <w:sz w:val="20"/>
          <w:szCs w:val="20"/>
        </w:rPr>
        <w:t>b</w:t>
      </w:r>
      <w:r>
        <w:rPr>
          <w:i/>
          <w:sz w:val="20"/>
          <w:szCs w:val="20"/>
        </w:rPr>
        <w:t>)</w:t>
      </w:r>
      <w:r w:rsidRPr="009263A5">
        <w:rPr>
          <w:i/>
          <w:sz w:val="20"/>
          <w:szCs w:val="20"/>
        </w:rPr>
        <w:t xml:space="preserve">, only temperature data equal </w:t>
      </w:r>
      <w:r>
        <w:rPr>
          <w:i/>
          <w:sz w:val="20"/>
          <w:szCs w:val="20"/>
        </w:rPr>
        <w:t xml:space="preserve">to </w:t>
      </w:r>
      <w:r w:rsidRPr="009263A5">
        <w:rPr>
          <w:i/>
          <w:sz w:val="20"/>
          <w:szCs w:val="20"/>
        </w:rPr>
        <w:t>or below 4°C are included. In each sub-figure, the black line corresponds to data including duplicate estimates and the grey line corresponds to data excluding duplicate estimates.</w:t>
      </w:r>
    </w:p>
    <w:p w:rsidR="00EC2A52" w:rsidRDefault="00EC2A52" w:rsidP="00EC2A52">
      <w:pPr>
        <w:rPr>
          <w:i/>
          <w:sz w:val="20"/>
          <w:szCs w:val="20"/>
        </w:rPr>
      </w:pPr>
    </w:p>
    <w:p w:rsidR="00EC2A52" w:rsidRDefault="00EC2A52" w:rsidP="00EC2A52">
      <w:pPr>
        <w:rPr>
          <w:i/>
          <w:sz w:val="20"/>
          <w:szCs w:val="20"/>
        </w:rPr>
      </w:pPr>
    </w:p>
    <w:p w:rsidR="00EC2A52" w:rsidRDefault="00EC2A52" w:rsidP="00EC2A52">
      <w:pPr>
        <w:spacing w:after="120"/>
        <w:rPr>
          <w:b/>
          <w:i/>
          <w:sz w:val="20"/>
          <w:szCs w:val="20"/>
        </w:rPr>
      </w:pPr>
    </w:p>
    <w:p w:rsidR="00EC2A52" w:rsidRDefault="00EC2A52" w:rsidP="00EC2A52">
      <w:pPr>
        <w:spacing w:after="200" w:line="276" w:lineRule="auto"/>
        <w:rPr>
          <w:b/>
          <w:i/>
          <w:sz w:val="20"/>
          <w:szCs w:val="20"/>
        </w:rPr>
      </w:pPr>
      <w:r>
        <w:rPr>
          <w:b/>
          <w:i/>
          <w:sz w:val="20"/>
          <w:szCs w:val="20"/>
        </w:rPr>
        <w:br w:type="page"/>
      </w:r>
    </w:p>
    <w:p w:rsidR="00EC2A52" w:rsidRPr="009263A5" w:rsidRDefault="00EC2A52" w:rsidP="00EC2A52">
      <w:pPr>
        <w:spacing w:after="120"/>
        <w:rPr>
          <w:b/>
          <w:noProof/>
          <w:sz w:val="20"/>
          <w:szCs w:val="20"/>
        </w:rPr>
      </w:pPr>
      <w:r w:rsidRPr="009263A5">
        <w:rPr>
          <w:b/>
          <w:i/>
          <w:sz w:val="20"/>
          <w:szCs w:val="20"/>
        </w:rPr>
        <w:lastRenderedPageBreak/>
        <w:t>Figure C1. Effect of Each Observation on Parameter Estimates in Preferred Specification for Low</w:t>
      </w:r>
      <w:r>
        <w:rPr>
          <w:b/>
          <w:i/>
          <w:sz w:val="20"/>
          <w:szCs w:val="20"/>
        </w:rPr>
        <w:t>-</w:t>
      </w:r>
      <w:r w:rsidRPr="009263A5">
        <w:rPr>
          <w:b/>
          <w:i/>
          <w:sz w:val="20"/>
          <w:szCs w:val="20"/>
        </w:rPr>
        <w:t>Temperatures</w:t>
      </w:r>
      <w:r w:rsidRPr="009263A5">
        <w:rPr>
          <w:b/>
          <w:sz w:val="20"/>
          <w:szCs w:val="20"/>
        </w:rPr>
        <w:t xml:space="preserve"> </w:t>
      </w:r>
      <w:r>
        <w:rPr>
          <w:b/>
          <w:i/>
          <w:sz w:val="20"/>
          <w:szCs w:val="20"/>
        </w:rPr>
        <w:t>(Regression (4) in Table 2)</w:t>
      </w:r>
    </w:p>
    <w:p w:rsidR="00EC2A52" w:rsidRPr="009263A5" w:rsidRDefault="00EC2A52" w:rsidP="00EC2A52">
      <w:pPr>
        <w:spacing w:after="120"/>
        <w:rPr>
          <w:i/>
          <w:sz w:val="20"/>
          <w:szCs w:val="20"/>
        </w:rPr>
      </w:pPr>
      <w:r w:rsidRPr="009263A5">
        <w:rPr>
          <w:sz w:val="20"/>
          <w:szCs w:val="20"/>
        </w:rPr>
        <w:t xml:space="preserve">    </w:t>
      </w:r>
    </w:p>
    <w:p w:rsidR="00EC2A52" w:rsidRDefault="00EC2A52" w:rsidP="00EC2A52">
      <w:pPr>
        <w:spacing w:after="120"/>
        <w:rPr>
          <w:i/>
          <w:sz w:val="20"/>
          <w:szCs w:val="20"/>
        </w:rPr>
      </w:pPr>
      <w:r w:rsidRPr="00462FDF">
        <w:rPr>
          <w:i/>
          <w:sz w:val="20"/>
          <w:szCs w:val="20"/>
        </w:rPr>
        <w:t>Figure C1 displays the coefficients corresponding to temperature</w:t>
      </w:r>
      <w:r>
        <w:rPr>
          <w:i/>
          <w:sz w:val="20"/>
          <w:szCs w:val="20"/>
        </w:rPr>
        <w:t xml:space="preserve"> </w:t>
      </w:r>
      <w:r w:rsidRPr="00462FDF">
        <w:rPr>
          <w:i/>
          <w:sz w:val="20"/>
          <w:szCs w:val="20"/>
        </w:rPr>
        <w:t>squared and its interaction with indicator variables for catastrophic impacts and productivity impacts</w:t>
      </w:r>
      <w:r>
        <w:rPr>
          <w:i/>
          <w:sz w:val="20"/>
          <w:szCs w:val="20"/>
        </w:rPr>
        <w:t>,</w:t>
      </w:r>
      <w:r w:rsidRPr="00462FDF">
        <w:rPr>
          <w:i/>
          <w:sz w:val="20"/>
          <w:szCs w:val="20"/>
        </w:rPr>
        <w:t xml:space="preserve"> corresponding to the preferred specification for low</w:t>
      </w:r>
      <w:r>
        <w:rPr>
          <w:i/>
          <w:sz w:val="20"/>
          <w:szCs w:val="20"/>
        </w:rPr>
        <w:t>-</w:t>
      </w:r>
      <w:r w:rsidRPr="00462FDF">
        <w:rPr>
          <w:i/>
          <w:sz w:val="20"/>
          <w:szCs w:val="20"/>
        </w:rPr>
        <w:t>temperature</w:t>
      </w:r>
      <w:r>
        <w:rPr>
          <w:i/>
          <w:sz w:val="20"/>
          <w:szCs w:val="20"/>
        </w:rPr>
        <w:t>,</w:t>
      </w:r>
      <w:r w:rsidRPr="00462FDF">
        <w:rPr>
          <w:i/>
          <w:sz w:val="20"/>
          <w:szCs w:val="20"/>
        </w:rPr>
        <w:t xml:space="preserve"> estimated removing one observation at a time. Observation 0 is no observations dropped. The remaining numbers on the x-axis correspond to the following estimates: (1) Nordhaus (1994b); (2) Meyer and Cooper (1995); (3) Fankhauser (1995); (4) Schauer (1995); (5) Mendelsohn et al. (2000b)</w:t>
      </w:r>
      <w:r>
        <w:rPr>
          <w:i/>
          <w:sz w:val="20"/>
          <w:szCs w:val="20"/>
        </w:rPr>
        <w:t>’s statistical estimate</w:t>
      </w:r>
      <w:r w:rsidRPr="00462FDF">
        <w:rPr>
          <w:i/>
          <w:sz w:val="20"/>
          <w:szCs w:val="20"/>
        </w:rPr>
        <w:t>; (6) Mendelsohn et al. (2000b)</w:t>
      </w:r>
      <w:r>
        <w:rPr>
          <w:i/>
          <w:sz w:val="20"/>
          <w:szCs w:val="20"/>
        </w:rPr>
        <w:t>’s experimental estimate</w:t>
      </w:r>
      <w:r w:rsidRPr="00462FDF">
        <w:rPr>
          <w:i/>
          <w:sz w:val="20"/>
          <w:szCs w:val="20"/>
        </w:rPr>
        <w:t>; (7) Manne and Richels</w:t>
      </w:r>
      <w:r>
        <w:rPr>
          <w:i/>
          <w:sz w:val="20"/>
          <w:szCs w:val="20"/>
        </w:rPr>
        <w:t xml:space="preserve"> </w:t>
      </w:r>
      <w:r w:rsidRPr="00462FDF">
        <w:rPr>
          <w:i/>
          <w:sz w:val="20"/>
          <w:szCs w:val="20"/>
        </w:rPr>
        <w:t xml:space="preserve">(2005); (8) Dell et al. (2008); (9) Nordhaus (2008a); (10) Nordhaus (2008b); (11) Horowitz (2009); (12) Bluedorn et al. (2010); (13) Ng and Zhao (2011); (14) Ackerman </w:t>
      </w:r>
      <w:r>
        <w:rPr>
          <w:i/>
          <w:sz w:val="20"/>
          <w:szCs w:val="20"/>
        </w:rPr>
        <w:t>et al.</w:t>
      </w:r>
      <w:r w:rsidRPr="00462FDF">
        <w:rPr>
          <w:i/>
          <w:sz w:val="20"/>
          <w:szCs w:val="20"/>
        </w:rPr>
        <w:t xml:space="preserve"> (2012)</w:t>
      </w:r>
      <w:r>
        <w:rPr>
          <w:i/>
          <w:sz w:val="20"/>
          <w:szCs w:val="20"/>
        </w:rPr>
        <w:t>,</w:t>
      </w:r>
      <w:r w:rsidRPr="00462FDF">
        <w:rPr>
          <w:i/>
          <w:sz w:val="20"/>
          <w:szCs w:val="20"/>
        </w:rPr>
        <w:t xml:space="preserve"> adjusting Hanemann (2008); (15) Roson and van der Mensbrugghe (2012); (16) Tol (2013); (17) Bosello and Parrado (2014); (18) Nordhaus (2014)</w:t>
      </w:r>
      <w:r>
        <w:rPr>
          <w:i/>
          <w:sz w:val="20"/>
          <w:szCs w:val="20"/>
        </w:rPr>
        <w:t xml:space="preserve">’s estimate for an </w:t>
      </w:r>
      <w:r w:rsidRPr="00F434E4">
        <w:rPr>
          <w:i/>
          <w:sz w:val="20"/>
          <w:szCs w:val="20"/>
        </w:rPr>
        <w:t>average increase of 2°C over the 2050 to 2250 period</w:t>
      </w:r>
      <w:r w:rsidRPr="00462FDF">
        <w:rPr>
          <w:i/>
          <w:sz w:val="20"/>
          <w:szCs w:val="20"/>
        </w:rPr>
        <w:t>; (19) Nordhaus (2014)</w:t>
      </w:r>
      <w:r>
        <w:rPr>
          <w:i/>
          <w:sz w:val="20"/>
          <w:szCs w:val="20"/>
        </w:rPr>
        <w:t>’s strict 2</w:t>
      </w:r>
      <w:r>
        <w:rPr>
          <w:rFonts w:ascii="Cambria Math" w:hAnsi="Cambria Math"/>
          <w:i/>
          <w:sz w:val="20"/>
          <w:szCs w:val="20"/>
        </w:rPr>
        <w:t>°</w:t>
      </w:r>
      <w:r>
        <w:rPr>
          <w:i/>
          <w:sz w:val="20"/>
          <w:szCs w:val="20"/>
        </w:rPr>
        <w:t>C limit estimate</w:t>
      </w:r>
      <w:r w:rsidRPr="00462FDF">
        <w:rPr>
          <w:i/>
          <w:sz w:val="20"/>
          <w:szCs w:val="20"/>
        </w:rPr>
        <w:t>; (20) Howard and Sylvan (2015)</w:t>
      </w:r>
      <w:r>
        <w:rPr>
          <w:i/>
          <w:sz w:val="20"/>
          <w:szCs w:val="20"/>
        </w:rPr>
        <w:t>’s 1</w:t>
      </w:r>
      <w:r>
        <w:rPr>
          <w:rFonts w:ascii="Cambria Math" w:hAnsi="Cambria Math"/>
          <w:i/>
          <w:sz w:val="20"/>
          <w:szCs w:val="20"/>
        </w:rPr>
        <w:t>°C</w:t>
      </w:r>
      <w:r>
        <w:rPr>
          <w:i/>
          <w:sz w:val="20"/>
          <w:szCs w:val="20"/>
        </w:rPr>
        <w:t xml:space="preserve"> damage estimate</w:t>
      </w:r>
      <w:r w:rsidRPr="00462FDF">
        <w:rPr>
          <w:i/>
          <w:sz w:val="20"/>
          <w:szCs w:val="20"/>
        </w:rPr>
        <w:t>; (21) Howard and Sylvan (2015)</w:t>
      </w:r>
      <w:r>
        <w:rPr>
          <w:i/>
          <w:sz w:val="20"/>
          <w:szCs w:val="20"/>
        </w:rPr>
        <w:t>’s 3</w:t>
      </w:r>
      <w:r>
        <w:rPr>
          <w:rFonts w:ascii="Cambria Math" w:hAnsi="Cambria Math"/>
          <w:i/>
          <w:sz w:val="20"/>
          <w:szCs w:val="20"/>
        </w:rPr>
        <w:t>°C</w:t>
      </w:r>
      <w:r>
        <w:rPr>
          <w:i/>
          <w:sz w:val="20"/>
          <w:szCs w:val="20"/>
        </w:rPr>
        <w:t xml:space="preserve"> damage estimate</w:t>
      </w:r>
      <w:r w:rsidRPr="00462FDF">
        <w:rPr>
          <w:i/>
          <w:sz w:val="20"/>
          <w:szCs w:val="20"/>
        </w:rPr>
        <w:t>.</w:t>
      </w:r>
      <w:r w:rsidRPr="009263A5">
        <w:rPr>
          <w:i/>
          <w:sz w:val="20"/>
          <w:szCs w:val="20"/>
        </w:rPr>
        <w:t xml:space="preserve"> </w:t>
      </w:r>
    </w:p>
    <w:p w:rsidR="00EC2A52" w:rsidRPr="009263A5" w:rsidRDefault="00EC2A52" w:rsidP="00EC2A52">
      <w:pPr>
        <w:spacing w:after="120"/>
        <w:rPr>
          <w:i/>
          <w:sz w:val="20"/>
          <w:szCs w:val="20"/>
        </w:rPr>
      </w:pPr>
    </w:p>
    <w:p w:rsidR="00EC2A52" w:rsidRPr="000A1374" w:rsidRDefault="00EC2A52" w:rsidP="00EC2A52">
      <w:pPr>
        <w:spacing w:after="200" w:line="276" w:lineRule="auto"/>
        <w:rPr>
          <w:b/>
          <w:i/>
          <w:sz w:val="20"/>
          <w:szCs w:val="20"/>
        </w:rPr>
      </w:pPr>
      <w:r w:rsidRPr="009263A5">
        <w:rPr>
          <w:b/>
          <w:i/>
          <w:sz w:val="20"/>
          <w:szCs w:val="20"/>
        </w:rPr>
        <w:t>Figure C2. Effect of Each Observation on Parameter Estimates in Preferred Specification for All Data</w:t>
      </w:r>
      <w:r>
        <w:rPr>
          <w:b/>
          <w:i/>
          <w:sz w:val="20"/>
          <w:szCs w:val="20"/>
        </w:rPr>
        <w:t xml:space="preserve"> (Regression (8) in Table 2)</w:t>
      </w:r>
    </w:p>
    <w:p w:rsidR="00EC2A52" w:rsidRDefault="00EC2A52" w:rsidP="00EC2A52">
      <w:pPr>
        <w:spacing w:after="120"/>
        <w:rPr>
          <w:i/>
          <w:sz w:val="20"/>
          <w:szCs w:val="20"/>
        </w:rPr>
      </w:pPr>
      <w:r w:rsidRPr="00902DE3">
        <w:rPr>
          <w:i/>
          <w:sz w:val="20"/>
          <w:szCs w:val="20"/>
        </w:rPr>
        <w:t>Figure C</w:t>
      </w:r>
      <w:r>
        <w:rPr>
          <w:i/>
          <w:sz w:val="20"/>
          <w:szCs w:val="20"/>
        </w:rPr>
        <w:t>2</w:t>
      </w:r>
      <w:r w:rsidRPr="00902DE3">
        <w:rPr>
          <w:i/>
          <w:sz w:val="20"/>
          <w:szCs w:val="20"/>
        </w:rPr>
        <w:t xml:space="preserve"> displays the coefficients corresponding to temperature</w:t>
      </w:r>
      <w:r>
        <w:rPr>
          <w:i/>
          <w:sz w:val="20"/>
          <w:szCs w:val="20"/>
        </w:rPr>
        <w:t xml:space="preserve"> </w:t>
      </w:r>
      <w:r w:rsidRPr="00902DE3">
        <w:rPr>
          <w:i/>
          <w:sz w:val="20"/>
          <w:szCs w:val="20"/>
        </w:rPr>
        <w:t>squared and its interaction with indicator variables for catastrophic impacts and productivity impacts</w:t>
      </w:r>
      <w:r>
        <w:rPr>
          <w:i/>
          <w:sz w:val="20"/>
          <w:szCs w:val="20"/>
        </w:rPr>
        <w:t>,</w:t>
      </w:r>
      <w:r w:rsidRPr="00902DE3">
        <w:rPr>
          <w:i/>
          <w:sz w:val="20"/>
          <w:szCs w:val="20"/>
        </w:rPr>
        <w:t xml:space="preserve"> corresponding to the preferred specification for </w:t>
      </w:r>
      <w:r>
        <w:rPr>
          <w:i/>
          <w:sz w:val="20"/>
          <w:szCs w:val="20"/>
        </w:rPr>
        <w:t>all data,</w:t>
      </w:r>
      <w:r w:rsidRPr="00902DE3">
        <w:rPr>
          <w:i/>
          <w:sz w:val="20"/>
          <w:szCs w:val="20"/>
        </w:rPr>
        <w:t xml:space="preserve"> estimated removing one observation at a time. Observation 0 is no observations dropped. The remaining numbers on the x-axis correspond to the following estimates</w:t>
      </w:r>
      <w:r>
        <w:rPr>
          <w:i/>
          <w:sz w:val="20"/>
          <w:szCs w:val="20"/>
        </w:rPr>
        <w:t>:</w:t>
      </w:r>
      <w:r w:rsidRPr="009263A5">
        <w:rPr>
          <w:sz w:val="20"/>
          <w:szCs w:val="20"/>
        </w:rPr>
        <w:t xml:space="preserve"> </w:t>
      </w:r>
      <w:r w:rsidRPr="00462FDF">
        <w:rPr>
          <w:i/>
          <w:sz w:val="20"/>
          <w:szCs w:val="20"/>
        </w:rPr>
        <w:t>(1) Nordhaus (1994b)</w:t>
      </w:r>
      <w:r>
        <w:rPr>
          <w:i/>
          <w:sz w:val="20"/>
          <w:szCs w:val="20"/>
        </w:rPr>
        <w:t>’s 3</w:t>
      </w:r>
      <w:r>
        <w:rPr>
          <w:rFonts w:ascii="Cambria Math" w:hAnsi="Cambria Math"/>
          <w:i/>
          <w:sz w:val="20"/>
          <w:szCs w:val="20"/>
        </w:rPr>
        <w:t>°</w:t>
      </w:r>
      <w:r>
        <w:rPr>
          <w:i/>
          <w:sz w:val="20"/>
          <w:szCs w:val="20"/>
        </w:rPr>
        <w:t>C damage estimate</w:t>
      </w:r>
      <w:r w:rsidRPr="00462FDF">
        <w:rPr>
          <w:i/>
          <w:sz w:val="20"/>
          <w:szCs w:val="20"/>
        </w:rPr>
        <w:t>; (2) Nordhaus (1994b)</w:t>
      </w:r>
      <w:r>
        <w:rPr>
          <w:i/>
          <w:sz w:val="20"/>
          <w:szCs w:val="20"/>
        </w:rPr>
        <w:t>’s 6</w:t>
      </w:r>
      <w:r>
        <w:rPr>
          <w:rFonts w:ascii="Cambria Math" w:hAnsi="Cambria Math"/>
          <w:i/>
          <w:sz w:val="20"/>
          <w:szCs w:val="20"/>
        </w:rPr>
        <w:t>°</w:t>
      </w:r>
      <w:r>
        <w:rPr>
          <w:i/>
          <w:sz w:val="20"/>
          <w:szCs w:val="20"/>
        </w:rPr>
        <w:t>C damage estimate</w:t>
      </w:r>
      <w:r w:rsidRPr="00462FDF">
        <w:rPr>
          <w:i/>
          <w:sz w:val="20"/>
          <w:szCs w:val="20"/>
        </w:rPr>
        <w:t>; (3) Meyer and Cooper (1995); (4) Fankhauser (1995); (5) Schauer (1995); (6) Mendelsohn et al. (2000b)</w:t>
      </w:r>
      <w:r>
        <w:rPr>
          <w:i/>
          <w:sz w:val="20"/>
          <w:szCs w:val="20"/>
        </w:rPr>
        <w:t>’s statistical estimate; (7</w:t>
      </w:r>
      <w:r w:rsidRPr="00462FDF">
        <w:rPr>
          <w:i/>
          <w:sz w:val="20"/>
          <w:szCs w:val="20"/>
        </w:rPr>
        <w:t>) Mendelsohn et al. (2000b)</w:t>
      </w:r>
      <w:r>
        <w:rPr>
          <w:i/>
          <w:sz w:val="20"/>
          <w:szCs w:val="20"/>
        </w:rPr>
        <w:t>’s experimental estimate</w:t>
      </w:r>
      <w:r w:rsidRPr="00462FDF" w:rsidDel="00F434E4">
        <w:rPr>
          <w:i/>
          <w:sz w:val="20"/>
          <w:szCs w:val="20"/>
        </w:rPr>
        <w:t xml:space="preserve"> </w:t>
      </w:r>
      <w:r w:rsidRPr="00462FDF">
        <w:rPr>
          <w:i/>
          <w:sz w:val="20"/>
          <w:szCs w:val="20"/>
        </w:rPr>
        <w:t>(8) Manne and Richels</w:t>
      </w:r>
      <w:r>
        <w:rPr>
          <w:i/>
          <w:sz w:val="20"/>
          <w:szCs w:val="20"/>
        </w:rPr>
        <w:t xml:space="preserve"> </w:t>
      </w:r>
      <w:r w:rsidRPr="00462FDF">
        <w:rPr>
          <w:i/>
          <w:sz w:val="20"/>
          <w:szCs w:val="20"/>
        </w:rPr>
        <w:t xml:space="preserve">(2005); (9) Dell et al. (2008); (10) Nordhaus (2008a); (11) Nordhaus (2008b); (12) Horowitz (2009); (13) Bluedorn et al. (2010); (14) Ng and Zhao (2011); (15) Ackerman </w:t>
      </w:r>
      <w:r>
        <w:rPr>
          <w:i/>
          <w:sz w:val="20"/>
          <w:szCs w:val="20"/>
        </w:rPr>
        <w:t>et al.</w:t>
      </w:r>
      <w:r w:rsidRPr="00462FDF">
        <w:rPr>
          <w:i/>
          <w:sz w:val="20"/>
          <w:szCs w:val="20"/>
        </w:rPr>
        <w:t xml:space="preserve"> (2012)</w:t>
      </w:r>
      <w:r>
        <w:rPr>
          <w:i/>
          <w:sz w:val="20"/>
          <w:szCs w:val="20"/>
        </w:rPr>
        <w:t>,</w:t>
      </w:r>
      <w:r w:rsidRPr="00462FDF">
        <w:rPr>
          <w:i/>
          <w:sz w:val="20"/>
          <w:szCs w:val="20"/>
        </w:rPr>
        <w:t xml:space="preserve"> adjusting Hanemann (2008); (16) Roson and van der Mensbrugghe (2012)</w:t>
      </w:r>
      <w:r>
        <w:rPr>
          <w:i/>
          <w:sz w:val="20"/>
          <w:szCs w:val="20"/>
        </w:rPr>
        <w:t>’s 2.3</w:t>
      </w:r>
      <w:r>
        <w:rPr>
          <w:rFonts w:ascii="Cambria Math" w:hAnsi="Cambria Math"/>
          <w:i/>
          <w:sz w:val="20"/>
          <w:szCs w:val="20"/>
        </w:rPr>
        <w:t>°</w:t>
      </w:r>
      <w:r>
        <w:rPr>
          <w:i/>
          <w:sz w:val="20"/>
          <w:szCs w:val="20"/>
        </w:rPr>
        <w:t>C damage estimate</w:t>
      </w:r>
      <w:r w:rsidRPr="00462FDF">
        <w:rPr>
          <w:i/>
          <w:sz w:val="20"/>
          <w:szCs w:val="20"/>
        </w:rPr>
        <w:t>; (17) Roson and van der Mensbrugghe (2012)</w:t>
      </w:r>
      <w:r>
        <w:rPr>
          <w:i/>
          <w:sz w:val="20"/>
          <w:szCs w:val="20"/>
        </w:rPr>
        <w:t>’s 4.8</w:t>
      </w:r>
      <w:r>
        <w:rPr>
          <w:rFonts w:ascii="Cambria Math" w:hAnsi="Cambria Math"/>
          <w:i/>
          <w:sz w:val="20"/>
          <w:szCs w:val="20"/>
        </w:rPr>
        <w:t>°</w:t>
      </w:r>
      <w:r>
        <w:rPr>
          <w:i/>
          <w:sz w:val="20"/>
          <w:szCs w:val="20"/>
        </w:rPr>
        <w:t>C damage estimate</w:t>
      </w:r>
      <w:r w:rsidRPr="00462FDF">
        <w:rPr>
          <w:i/>
          <w:sz w:val="20"/>
          <w:szCs w:val="20"/>
        </w:rPr>
        <w:t>; (18) Weitzman (2012)</w:t>
      </w:r>
      <w:r>
        <w:rPr>
          <w:i/>
          <w:sz w:val="20"/>
          <w:szCs w:val="20"/>
        </w:rPr>
        <w:t>’s 6</w:t>
      </w:r>
      <w:r>
        <w:rPr>
          <w:rFonts w:ascii="Cambria Math" w:hAnsi="Cambria Math"/>
          <w:i/>
          <w:sz w:val="20"/>
          <w:szCs w:val="20"/>
        </w:rPr>
        <w:t>°</w:t>
      </w:r>
      <w:r>
        <w:rPr>
          <w:i/>
          <w:sz w:val="20"/>
          <w:szCs w:val="20"/>
        </w:rPr>
        <w:t>C damage estimate,</w:t>
      </w:r>
      <w:r w:rsidRPr="00462FDF">
        <w:rPr>
          <w:i/>
          <w:sz w:val="20"/>
          <w:szCs w:val="20"/>
        </w:rPr>
        <w:t xml:space="preserve"> via Ackerman </w:t>
      </w:r>
      <w:r>
        <w:rPr>
          <w:i/>
          <w:sz w:val="20"/>
          <w:szCs w:val="20"/>
        </w:rPr>
        <w:t>et al.</w:t>
      </w:r>
      <w:r w:rsidRPr="00462FDF">
        <w:rPr>
          <w:i/>
          <w:sz w:val="20"/>
          <w:szCs w:val="20"/>
        </w:rPr>
        <w:t xml:space="preserve"> (2012); (19) Weitzman (2012)</w:t>
      </w:r>
      <w:r>
        <w:rPr>
          <w:i/>
          <w:sz w:val="20"/>
          <w:szCs w:val="20"/>
        </w:rPr>
        <w:t>’s 12</w:t>
      </w:r>
      <w:r>
        <w:rPr>
          <w:rFonts w:ascii="Cambria Math" w:hAnsi="Cambria Math"/>
          <w:i/>
          <w:sz w:val="20"/>
          <w:szCs w:val="20"/>
        </w:rPr>
        <w:t>°</w:t>
      </w:r>
      <w:r>
        <w:rPr>
          <w:i/>
          <w:sz w:val="20"/>
          <w:szCs w:val="20"/>
        </w:rPr>
        <w:t>C damage estimate,</w:t>
      </w:r>
      <w:r w:rsidRPr="00462FDF">
        <w:rPr>
          <w:i/>
          <w:sz w:val="20"/>
          <w:szCs w:val="20"/>
        </w:rPr>
        <w:t xml:space="preserve"> via Ackerman </w:t>
      </w:r>
      <w:r>
        <w:rPr>
          <w:i/>
          <w:sz w:val="20"/>
          <w:szCs w:val="20"/>
        </w:rPr>
        <w:t>et al.</w:t>
      </w:r>
      <w:r w:rsidRPr="00462FDF">
        <w:rPr>
          <w:i/>
          <w:sz w:val="20"/>
          <w:szCs w:val="20"/>
        </w:rPr>
        <w:t>(2012); (20) Tol (2013); (21) Bosello and Parrado (2014); (22) Nordhaus (2014)</w:t>
      </w:r>
      <w:r>
        <w:rPr>
          <w:i/>
          <w:sz w:val="20"/>
          <w:szCs w:val="20"/>
        </w:rPr>
        <w:t xml:space="preserve">’s estimate for an </w:t>
      </w:r>
      <w:r w:rsidRPr="00F434E4">
        <w:rPr>
          <w:i/>
          <w:sz w:val="20"/>
          <w:szCs w:val="20"/>
        </w:rPr>
        <w:t>average increase of 2°C over the 2050 to 2250 period</w:t>
      </w:r>
      <w:r>
        <w:rPr>
          <w:i/>
          <w:sz w:val="20"/>
          <w:szCs w:val="20"/>
        </w:rPr>
        <w:t>; (23</w:t>
      </w:r>
      <w:r w:rsidRPr="00462FDF">
        <w:rPr>
          <w:i/>
          <w:sz w:val="20"/>
          <w:szCs w:val="20"/>
        </w:rPr>
        <w:t>) Nordhaus (2014)</w:t>
      </w:r>
      <w:r>
        <w:rPr>
          <w:i/>
          <w:sz w:val="20"/>
          <w:szCs w:val="20"/>
        </w:rPr>
        <w:t>’s strict 2</w:t>
      </w:r>
      <w:r>
        <w:rPr>
          <w:rFonts w:ascii="Cambria Math" w:hAnsi="Cambria Math"/>
          <w:i/>
          <w:sz w:val="20"/>
          <w:szCs w:val="20"/>
        </w:rPr>
        <w:t>°</w:t>
      </w:r>
      <w:r>
        <w:rPr>
          <w:i/>
          <w:sz w:val="20"/>
          <w:szCs w:val="20"/>
        </w:rPr>
        <w:t>C limit estimate</w:t>
      </w:r>
      <w:r w:rsidRPr="00462FDF">
        <w:rPr>
          <w:i/>
          <w:sz w:val="20"/>
          <w:szCs w:val="20"/>
        </w:rPr>
        <w:t>;</w:t>
      </w:r>
      <w:r w:rsidRPr="00462FDF" w:rsidDel="005A6726">
        <w:rPr>
          <w:i/>
          <w:sz w:val="20"/>
          <w:szCs w:val="20"/>
        </w:rPr>
        <w:t xml:space="preserve"> </w:t>
      </w:r>
      <w:r w:rsidRPr="00462FDF">
        <w:rPr>
          <w:i/>
          <w:sz w:val="20"/>
          <w:szCs w:val="20"/>
        </w:rPr>
        <w:t>(24) Burke</w:t>
      </w:r>
      <w:r>
        <w:rPr>
          <w:i/>
          <w:sz w:val="20"/>
          <w:szCs w:val="20"/>
        </w:rPr>
        <w:t xml:space="preserve"> et al. (2015)</w:t>
      </w:r>
      <w:r w:rsidRPr="00462FDF">
        <w:rPr>
          <w:i/>
          <w:sz w:val="20"/>
          <w:szCs w:val="20"/>
        </w:rPr>
        <w:t>; (25) Howard and Sylvan (2015)</w:t>
      </w:r>
      <w:r>
        <w:rPr>
          <w:i/>
          <w:sz w:val="20"/>
          <w:szCs w:val="20"/>
        </w:rPr>
        <w:t>’s 1</w:t>
      </w:r>
      <w:r>
        <w:rPr>
          <w:rFonts w:ascii="Cambria Math" w:hAnsi="Cambria Math"/>
          <w:i/>
          <w:sz w:val="20"/>
          <w:szCs w:val="20"/>
        </w:rPr>
        <w:t>°C</w:t>
      </w:r>
      <w:r>
        <w:rPr>
          <w:i/>
          <w:sz w:val="20"/>
          <w:szCs w:val="20"/>
        </w:rPr>
        <w:t xml:space="preserve"> damage estimate; (26</w:t>
      </w:r>
      <w:r w:rsidRPr="00462FDF">
        <w:rPr>
          <w:i/>
          <w:sz w:val="20"/>
          <w:szCs w:val="20"/>
        </w:rPr>
        <w:t>) Howard and Sylvan (2015)</w:t>
      </w:r>
      <w:r>
        <w:rPr>
          <w:i/>
          <w:sz w:val="20"/>
          <w:szCs w:val="20"/>
        </w:rPr>
        <w:t>’s 3</w:t>
      </w:r>
      <w:r>
        <w:rPr>
          <w:rFonts w:ascii="Cambria Math" w:hAnsi="Cambria Math"/>
          <w:i/>
          <w:sz w:val="20"/>
          <w:szCs w:val="20"/>
        </w:rPr>
        <w:t>°C</w:t>
      </w:r>
      <w:r>
        <w:rPr>
          <w:i/>
          <w:sz w:val="20"/>
          <w:szCs w:val="20"/>
        </w:rPr>
        <w:t xml:space="preserve"> damage estimate</w:t>
      </w:r>
      <w:r w:rsidRPr="00462FDF">
        <w:rPr>
          <w:i/>
          <w:sz w:val="20"/>
          <w:szCs w:val="20"/>
        </w:rPr>
        <w:t>.</w:t>
      </w:r>
    </w:p>
    <w:p w:rsidR="00EC2A52" w:rsidRDefault="00EC2A52" w:rsidP="00EC2A52">
      <w:pPr>
        <w:spacing w:after="120"/>
        <w:rPr>
          <w:b/>
          <w:i/>
          <w:sz w:val="20"/>
          <w:szCs w:val="20"/>
        </w:rPr>
      </w:pPr>
      <w:r w:rsidRPr="009263A5">
        <w:rPr>
          <w:b/>
          <w:i/>
          <w:sz w:val="20"/>
          <w:szCs w:val="20"/>
        </w:rPr>
        <w:t xml:space="preserve"> </w:t>
      </w:r>
    </w:p>
    <w:p w:rsidR="00EC2A52" w:rsidRPr="009263A5" w:rsidRDefault="00EC2A52" w:rsidP="00EC2A52">
      <w:pPr>
        <w:spacing w:after="200" w:line="276" w:lineRule="auto"/>
        <w:rPr>
          <w:b/>
          <w:i/>
          <w:sz w:val="20"/>
          <w:szCs w:val="20"/>
        </w:rPr>
      </w:pPr>
      <w:r w:rsidRPr="009263A5">
        <w:rPr>
          <w:b/>
          <w:i/>
          <w:sz w:val="20"/>
          <w:szCs w:val="20"/>
        </w:rPr>
        <w:t>Figure C3. Graphical Representations of Outliers</w:t>
      </w:r>
      <w:r>
        <w:rPr>
          <w:b/>
          <w:i/>
          <w:sz w:val="20"/>
          <w:szCs w:val="20"/>
        </w:rPr>
        <w:t>, by Dataset</w:t>
      </w:r>
    </w:p>
    <w:p w:rsidR="00EC2A52" w:rsidRDefault="00EC2A52" w:rsidP="00EC2A52">
      <w:pPr>
        <w:spacing w:before="120"/>
        <w:rPr>
          <w:i/>
          <w:sz w:val="20"/>
          <w:szCs w:val="20"/>
        </w:rPr>
      </w:pPr>
      <w:r w:rsidRPr="009263A5">
        <w:rPr>
          <w:b/>
          <w:i/>
          <w:sz w:val="20"/>
          <w:szCs w:val="20"/>
        </w:rPr>
        <w:t xml:space="preserve">                                             </w:t>
      </w:r>
      <w:r w:rsidRPr="009263A5">
        <w:rPr>
          <w:i/>
          <w:sz w:val="20"/>
          <w:szCs w:val="20"/>
        </w:rPr>
        <w:t xml:space="preserve">(a-i)                                                               </w:t>
      </w:r>
      <w:r>
        <w:rPr>
          <w:i/>
          <w:sz w:val="20"/>
          <w:szCs w:val="20"/>
        </w:rPr>
        <w:t xml:space="preserve"> </w:t>
      </w:r>
      <w:r w:rsidRPr="009263A5">
        <w:rPr>
          <w:i/>
          <w:sz w:val="20"/>
          <w:szCs w:val="20"/>
        </w:rPr>
        <w:t xml:space="preserve">     </w:t>
      </w:r>
      <w:r>
        <w:rPr>
          <w:i/>
          <w:sz w:val="20"/>
          <w:szCs w:val="20"/>
        </w:rPr>
        <w:t xml:space="preserve">           </w:t>
      </w:r>
      <w:r w:rsidRPr="009263A5">
        <w:rPr>
          <w:i/>
          <w:sz w:val="20"/>
          <w:szCs w:val="20"/>
        </w:rPr>
        <w:t xml:space="preserve">       (a-ii)</w:t>
      </w:r>
    </w:p>
    <w:p w:rsidR="00EC2A52" w:rsidRDefault="00EC2A52" w:rsidP="00EC2A52">
      <w:pPr>
        <w:rPr>
          <w:sz w:val="20"/>
          <w:szCs w:val="20"/>
        </w:rPr>
      </w:pPr>
    </w:p>
    <w:p w:rsidR="00EC2A52" w:rsidRPr="009263A5" w:rsidRDefault="00EC2A52" w:rsidP="00EC2A52">
      <w:pPr>
        <w:rPr>
          <w:sz w:val="20"/>
          <w:szCs w:val="20"/>
        </w:rPr>
      </w:pPr>
    </w:p>
    <w:p w:rsidR="00EC2A52" w:rsidRPr="009263A5" w:rsidRDefault="00EC2A52" w:rsidP="00EC2A52">
      <w:pPr>
        <w:spacing w:before="120"/>
        <w:rPr>
          <w:i/>
          <w:sz w:val="20"/>
          <w:szCs w:val="20"/>
        </w:rPr>
      </w:pPr>
      <w:r w:rsidRPr="009263A5">
        <w:rPr>
          <w:b/>
          <w:i/>
          <w:sz w:val="20"/>
          <w:szCs w:val="20"/>
        </w:rPr>
        <w:t xml:space="preserve">                                             </w:t>
      </w:r>
      <w:r w:rsidRPr="009263A5">
        <w:rPr>
          <w:i/>
          <w:sz w:val="20"/>
          <w:szCs w:val="20"/>
        </w:rPr>
        <w:t xml:space="preserve">(b-i)                                                                      </w:t>
      </w:r>
      <w:r>
        <w:rPr>
          <w:i/>
          <w:sz w:val="20"/>
          <w:szCs w:val="20"/>
        </w:rPr>
        <w:t xml:space="preserve">        </w:t>
      </w:r>
      <w:r w:rsidRPr="009263A5">
        <w:rPr>
          <w:i/>
          <w:sz w:val="20"/>
          <w:szCs w:val="20"/>
        </w:rPr>
        <w:t xml:space="preserve">   </w:t>
      </w:r>
      <w:r>
        <w:rPr>
          <w:i/>
          <w:sz w:val="20"/>
          <w:szCs w:val="20"/>
        </w:rPr>
        <w:t xml:space="preserve">   </w:t>
      </w:r>
      <w:r w:rsidRPr="009263A5">
        <w:rPr>
          <w:i/>
          <w:sz w:val="20"/>
          <w:szCs w:val="20"/>
        </w:rPr>
        <w:t xml:space="preserve">  (b-ii)</w:t>
      </w:r>
    </w:p>
    <w:p w:rsidR="00EC2A52" w:rsidRDefault="00EC2A52" w:rsidP="00EC2A52">
      <w:pPr>
        <w:rPr>
          <w:sz w:val="20"/>
          <w:szCs w:val="20"/>
        </w:rPr>
      </w:pPr>
    </w:p>
    <w:p w:rsidR="00EC2A52" w:rsidRPr="009263A5" w:rsidRDefault="00EC2A52" w:rsidP="00EC2A52">
      <w:pPr>
        <w:rPr>
          <w:sz w:val="20"/>
          <w:szCs w:val="20"/>
        </w:rPr>
      </w:pPr>
      <w:r w:rsidRPr="0095421C">
        <w:rPr>
          <w:noProof/>
        </w:rPr>
        <w:t xml:space="preserve"> </w:t>
      </w:r>
      <w:r>
        <w:rPr>
          <w:sz w:val="20"/>
          <w:szCs w:val="20"/>
        </w:rPr>
        <w:t xml:space="preserve"> </w:t>
      </w:r>
    </w:p>
    <w:p w:rsidR="00EC2A52" w:rsidRPr="009263A5" w:rsidRDefault="00EC2A52" w:rsidP="00EC2A52">
      <w:pPr>
        <w:jc w:val="both"/>
        <w:rPr>
          <w:i/>
          <w:sz w:val="20"/>
          <w:szCs w:val="20"/>
        </w:rPr>
      </w:pPr>
    </w:p>
    <w:p w:rsidR="00EC2A52" w:rsidRPr="009263A5" w:rsidRDefault="00EC2A52" w:rsidP="00EC2A52">
      <w:pPr>
        <w:jc w:val="both"/>
        <w:rPr>
          <w:i/>
          <w:sz w:val="20"/>
          <w:szCs w:val="20"/>
        </w:rPr>
      </w:pPr>
      <w:r w:rsidRPr="009263A5">
        <w:rPr>
          <w:i/>
          <w:sz w:val="20"/>
          <w:szCs w:val="20"/>
        </w:rPr>
        <w:t xml:space="preserve">Each panel graphically represents the data in a </w:t>
      </w:r>
      <w:r>
        <w:rPr>
          <w:i/>
          <w:sz w:val="20"/>
          <w:szCs w:val="20"/>
        </w:rPr>
        <w:t>manner that</w:t>
      </w:r>
      <w:r w:rsidRPr="009263A5">
        <w:rPr>
          <w:i/>
          <w:sz w:val="20"/>
          <w:szCs w:val="20"/>
        </w:rPr>
        <w:t xml:space="preserve"> determine</w:t>
      </w:r>
      <w:r>
        <w:rPr>
          <w:i/>
          <w:sz w:val="20"/>
          <w:szCs w:val="20"/>
        </w:rPr>
        <w:t>s</w:t>
      </w:r>
      <w:r w:rsidRPr="009263A5">
        <w:rPr>
          <w:i/>
          <w:sz w:val="20"/>
          <w:szCs w:val="20"/>
        </w:rPr>
        <w:t xml:space="preserve"> outliers for </w:t>
      </w:r>
      <w:r>
        <w:rPr>
          <w:i/>
          <w:sz w:val="20"/>
          <w:szCs w:val="20"/>
        </w:rPr>
        <w:t>the Preferred S</w:t>
      </w:r>
      <w:r w:rsidRPr="009263A5">
        <w:rPr>
          <w:i/>
          <w:sz w:val="20"/>
          <w:szCs w:val="20"/>
        </w:rPr>
        <w:t>pecification</w:t>
      </w:r>
      <w:r>
        <w:rPr>
          <w:i/>
          <w:sz w:val="20"/>
          <w:szCs w:val="20"/>
        </w:rPr>
        <w:t>s</w:t>
      </w:r>
      <w:r w:rsidRPr="009263A5">
        <w:rPr>
          <w:i/>
          <w:sz w:val="20"/>
          <w:szCs w:val="20"/>
        </w:rPr>
        <w:t xml:space="preserve"> (4) </w:t>
      </w:r>
      <w:r>
        <w:rPr>
          <w:i/>
          <w:sz w:val="20"/>
          <w:szCs w:val="20"/>
        </w:rPr>
        <w:t xml:space="preserve">and (8) </w:t>
      </w:r>
      <w:r w:rsidRPr="009263A5">
        <w:rPr>
          <w:i/>
          <w:sz w:val="20"/>
          <w:szCs w:val="20"/>
        </w:rPr>
        <w:t xml:space="preserve">in Table 2 in the main text of the paper. The </w:t>
      </w:r>
      <w:r>
        <w:rPr>
          <w:i/>
          <w:sz w:val="20"/>
          <w:szCs w:val="20"/>
        </w:rPr>
        <w:t>(</w:t>
      </w:r>
      <w:r w:rsidRPr="009263A5">
        <w:rPr>
          <w:i/>
          <w:sz w:val="20"/>
          <w:szCs w:val="20"/>
        </w:rPr>
        <w:t>a</w:t>
      </w:r>
      <w:r>
        <w:rPr>
          <w:i/>
          <w:sz w:val="20"/>
          <w:szCs w:val="20"/>
        </w:rPr>
        <w:t>)</w:t>
      </w:r>
      <w:r w:rsidRPr="009263A5">
        <w:rPr>
          <w:i/>
          <w:sz w:val="20"/>
          <w:szCs w:val="20"/>
        </w:rPr>
        <w:t xml:space="preserve"> panels display scatter plots of the normalized residual squared versus leverage for a WLS regression</w:t>
      </w:r>
      <w:r>
        <w:rPr>
          <w:i/>
          <w:sz w:val="20"/>
          <w:szCs w:val="20"/>
        </w:rPr>
        <w:t>,</w:t>
      </w:r>
      <w:r w:rsidRPr="009263A5">
        <w:rPr>
          <w:i/>
          <w:sz w:val="20"/>
          <w:szCs w:val="20"/>
        </w:rPr>
        <w:t xml:space="preserve"> </w:t>
      </w:r>
      <w:r>
        <w:rPr>
          <w:i/>
          <w:sz w:val="20"/>
          <w:szCs w:val="20"/>
        </w:rPr>
        <w:t xml:space="preserve">including </w:t>
      </w:r>
      <w:r w:rsidRPr="009263A5">
        <w:rPr>
          <w:i/>
          <w:sz w:val="20"/>
          <w:szCs w:val="20"/>
        </w:rPr>
        <w:t xml:space="preserve">a constant. The </w:t>
      </w:r>
      <w:r>
        <w:rPr>
          <w:i/>
          <w:sz w:val="20"/>
          <w:szCs w:val="20"/>
        </w:rPr>
        <w:t>(</w:t>
      </w:r>
      <w:r w:rsidRPr="009263A5">
        <w:rPr>
          <w:i/>
          <w:sz w:val="20"/>
          <w:szCs w:val="20"/>
        </w:rPr>
        <w:t>b</w:t>
      </w:r>
      <w:r>
        <w:rPr>
          <w:i/>
          <w:sz w:val="20"/>
          <w:szCs w:val="20"/>
        </w:rPr>
        <w:t>)</w:t>
      </w:r>
      <w:r w:rsidRPr="009263A5">
        <w:rPr>
          <w:i/>
          <w:sz w:val="20"/>
          <w:szCs w:val="20"/>
        </w:rPr>
        <w:t xml:space="preserve"> panels are scatter plots of Mahalanobis distance versus robust residuals squared for an mm regression (using mmregress)</w:t>
      </w:r>
      <w:r>
        <w:rPr>
          <w:i/>
          <w:sz w:val="20"/>
          <w:szCs w:val="20"/>
        </w:rPr>
        <w:t>,</w:t>
      </w:r>
      <w:r w:rsidRPr="009263A5">
        <w:rPr>
          <w:i/>
          <w:sz w:val="20"/>
          <w:szCs w:val="20"/>
        </w:rPr>
        <w:t xml:space="preserve"> where the hollow points are outliers. The </w:t>
      </w:r>
      <w:r>
        <w:rPr>
          <w:i/>
          <w:sz w:val="20"/>
          <w:szCs w:val="20"/>
        </w:rPr>
        <w:t>(</w:t>
      </w:r>
      <w:r w:rsidRPr="009263A5">
        <w:rPr>
          <w:i/>
          <w:sz w:val="20"/>
          <w:szCs w:val="20"/>
        </w:rPr>
        <w:t>i</w:t>
      </w:r>
      <w:r>
        <w:rPr>
          <w:i/>
          <w:sz w:val="20"/>
          <w:szCs w:val="20"/>
        </w:rPr>
        <w:t>)</w:t>
      </w:r>
      <w:r w:rsidRPr="009263A5">
        <w:rPr>
          <w:i/>
          <w:sz w:val="20"/>
          <w:szCs w:val="20"/>
        </w:rPr>
        <w:t xml:space="preserve"> panels exclude damage estimates corresponding to high-temperatures</w:t>
      </w:r>
      <w:r>
        <w:rPr>
          <w:i/>
          <w:sz w:val="20"/>
          <w:szCs w:val="20"/>
        </w:rPr>
        <w:t xml:space="preserve"> (&gt;4</w:t>
      </w:r>
      <w:r>
        <w:rPr>
          <w:rFonts w:ascii="Cambria Math" w:hAnsi="Cambria Math"/>
          <w:i/>
          <w:sz w:val="20"/>
          <w:szCs w:val="20"/>
        </w:rPr>
        <w:t>°</w:t>
      </w:r>
      <w:r>
        <w:rPr>
          <w:i/>
          <w:sz w:val="20"/>
          <w:szCs w:val="20"/>
        </w:rPr>
        <w:t>C)</w:t>
      </w:r>
      <w:r w:rsidRPr="009263A5">
        <w:rPr>
          <w:i/>
          <w:sz w:val="20"/>
          <w:szCs w:val="20"/>
        </w:rPr>
        <w:t xml:space="preserve"> and the data labels correspond to Figure C1</w:t>
      </w:r>
      <w:r>
        <w:rPr>
          <w:i/>
          <w:sz w:val="20"/>
          <w:szCs w:val="20"/>
        </w:rPr>
        <w:t>. T</w:t>
      </w:r>
      <w:r w:rsidRPr="009263A5">
        <w:rPr>
          <w:i/>
          <w:sz w:val="20"/>
          <w:szCs w:val="20"/>
        </w:rPr>
        <w:t xml:space="preserve">he </w:t>
      </w:r>
      <w:r>
        <w:rPr>
          <w:i/>
          <w:sz w:val="20"/>
          <w:szCs w:val="20"/>
        </w:rPr>
        <w:t>(</w:t>
      </w:r>
      <w:r w:rsidRPr="009263A5">
        <w:rPr>
          <w:i/>
          <w:sz w:val="20"/>
          <w:szCs w:val="20"/>
        </w:rPr>
        <w:t>ii</w:t>
      </w:r>
      <w:r>
        <w:rPr>
          <w:i/>
          <w:sz w:val="20"/>
          <w:szCs w:val="20"/>
        </w:rPr>
        <w:t>)</w:t>
      </w:r>
      <w:r w:rsidRPr="009263A5">
        <w:rPr>
          <w:i/>
          <w:sz w:val="20"/>
          <w:szCs w:val="20"/>
        </w:rPr>
        <w:t xml:space="preserve"> panels include </w:t>
      </w:r>
      <w:r>
        <w:rPr>
          <w:i/>
          <w:sz w:val="20"/>
          <w:szCs w:val="20"/>
        </w:rPr>
        <w:t>high-temperature estimates</w:t>
      </w:r>
      <w:r w:rsidRPr="009263A5">
        <w:rPr>
          <w:i/>
          <w:sz w:val="20"/>
          <w:szCs w:val="20"/>
        </w:rPr>
        <w:t xml:space="preserve"> and the data labels correspond to Figure C2.</w:t>
      </w:r>
    </w:p>
    <w:p w:rsidR="00EC2A52" w:rsidRDefault="00EC2A52">
      <w:pPr>
        <w:spacing w:after="200" w:line="276" w:lineRule="auto"/>
      </w:pPr>
      <w:r>
        <w:br w:type="page"/>
      </w:r>
    </w:p>
    <w:p w:rsidR="00EC2A52" w:rsidRPr="009263A5" w:rsidRDefault="00EC2A52" w:rsidP="00EC2A52">
      <w:pPr>
        <w:spacing w:after="120"/>
        <w:rPr>
          <w:sz w:val="20"/>
          <w:szCs w:val="20"/>
        </w:rPr>
      </w:pPr>
      <w:r>
        <w:rPr>
          <w:b/>
          <w:sz w:val="20"/>
          <w:szCs w:val="20"/>
        </w:rPr>
        <w:lastRenderedPageBreak/>
        <w:t>T</w:t>
      </w:r>
      <w:r w:rsidRPr="009263A5">
        <w:rPr>
          <w:b/>
          <w:sz w:val="20"/>
          <w:szCs w:val="20"/>
        </w:rPr>
        <w:t>able A1.</w:t>
      </w:r>
      <w:r w:rsidRPr="009263A5">
        <w:rPr>
          <w:sz w:val="20"/>
          <w:szCs w:val="20"/>
        </w:rPr>
        <w:t xml:space="preserve"> Damage Studies Cited in Nordhaus (2013),</w:t>
      </w:r>
      <w:r>
        <w:rPr>
          <w:sz w:val="20"/>
          <w:szCs w:val="20"/>
        </w:rPr>
        <w:t xml:space="preserve"> Tol (2014),</w:t>
      </w:r>
      <w:r w:rsidRPr="009263A5">
        <w:rPr>
          <w:sz w:val="20"/>
          <w:szCs w:val="20"/>
        </w:rPr>
        <w:t xml:space="preserve"> and Our Paper</w:t>
      </w:r>
    </w:p>
    <w:tbl>
      <w:tblPr>
        <w:tblW w:w="10082" w:type="dxa"/>
        <w:tblInd w:w="93" w:type="dxa"/>
        <w:tblLook w:val="04A0"/>
      </w:tblPr>
      <w:tblGrid>
        <w:gridCol w:w="3220"/>
        <w:gridCol w:w="1349"/>
        <w:gridCol w:w="916"/>
        <w:gridCol w:w="1061"/>
        <w:gridCol w:w="1414"/>
        <w:gridCol w:w="1083"/>
        <w:gridCol w:w="1039"/>
      </w:tblGrid>
      <w:tr w:rsidR="00EC2A52" w:rsidRPr="009263A5" w:rsidTr="00EC2A52">
        <w:trPr>
          <w:trHeight w:val="1905"/>
        </w:trPr>
        <w:tc>
          <w:tcPr>
            <w:tcW w:w="322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EC2A52" w:rsidRPr="009263A5" w:rsidRDefault="00EC2A52" w:rsidP="00EC2A52">
            <w:pPr>
              <w:rPr>
                <w:b/>
                <w:bCs/>
                <w:color w:val="000000"/>
                <w:sz w:val="20"/>
                <w:szCs w:val="20"/>
              </w:rPr>
            </w:pPr>
            <w:r w:rsidRPr="009263A5">
              <w:rPr>
                <w:b/>
                <w:bCs/>
                <w:color w:val="000000"/>
                <w:sz w:val="20"/>
                <w:szCs w:val="20"/>
              </w:rPr>
              <w:t>Study</w:t>
            </w:r>
          </w:p>
        </w:tc>
        <w:tc>
          <w:tcPr>
            <w:tcW w:w="1349" w:type="dxa"/>
            <w:tcBorders>
              <w:top w:val="single" w:sz="8" w:space="0" w:color="auto"/>
              <w:left w:val="nil"/>
              <w:bottom w:val="double" w:sz="4" w:space="0" w:color="auto"/>
              <w:right w:val="single" w:sz="4" w:space="0" w:color="auto"/>
            </w:tcBorders>
            <w:shd w:val="clear" w:color="auto" w:fill="auto"/>
            <w:vAlign w:val="center"/>
            <w:hideMark/>
          </w:tcPr>
          <w:p w:rsidR="00EC2A52" w:rsidRPr="009263A5" w:rsidRDefault="00EC2A52" w:rsidP="00EC2A52">
            <w:pPr>
              <w:jc w:val="center"/>
              <w:rPr>
                <w:b/>
                <w:bCs/>
                <w:color w:val="000000"/>
                <w:sz w:val="20"/>
                <w:szCs w:val="20"/>
              </w:rPr>
            </w:pPr>
            <w:r w:rsidRPr="009263A5">
              <w:rPr>
                <w:b/>
                <w:bCs/>
                <w:color w:val="000000"/>
                <w:sz w:val="20"/>
                <w:szCs w:val="20"/>
              </w:rPr>
              <w:t>Temperature Increase (°C) Cited in Nordhaus (2013) and Tol (2014)</w:t>
            </w:r>
          </w:p>
        </w:tc>
        <w:tc>
          <w:tcPr>
            <w:tcW w:w="916" w:type="dxa"/>
            <w:tcBorders>
              <w:top w:val="single" w:sz="8" w:space="0" w:color="auto"/>
              <w:left w:val="nil"/>
              <w:bottom w:val="double" w:sz="4" w:space="0" w:color="auto"/>
              <w:right w:val="single" w:sz="4" w:space="0" w:color="auto"/>
            </w:tcBorders>
            <w:shd w:val="clear" w:color="auto" w:fill="auto"/>
            <w:vAlign w:val="center"/>
            <w:hideMark/>
          </w:tcPr>
          <w:p w:rsidR="00EC2A52" w:rsidRPr="009263A5" w:rsidRDefault="00EC2A52" w:rsidP="00EC2A52">
            <w:pPr>
              <w:jc w:val="center"/>
              <w:rPr>
                <w:b/>
                <w:bCs/>
                <w:color w:val="000000"/>
                <w:sz w:val="20"/>
                <w:szCs w:val="20"/>
              </w:rPr>
            </w:pPr>
            <w:r w:rsidRPr="009263A5">
              <w:rPr>
                <w:b/>
                <w:bCs/>
                <w:color w:val="000000"/>
                <w:sz w:val="20"/>
                <w:szCs w:val="20"/>
              </w:rPr>
              <w:t>Damage Cited in Tol (2014)</w:t>
            </w:r>
          </w:p>
        </w:tc>
        <w:tc>
          <w:tcPr>
            <w:tcW w:w="1061" w:type="dxa"/>
            <w:tcBorders>
              <w:top w:val="single" w:sz="8" w:space="0" w:color="auto"/>
              <w:left w:val="nil"/>
              <w:bottom w:val="double" w:sz="4" w:space="0" w:color="auto"/>
              <w:right w:val="single" w:sz="4" w:space="0" w:color="auto"/>
            </w:tcBorders>
            <w:shd w:val="clear" w:color="auto" w:fill="auto"/>
            <w:vAlign w:val="center"/>
            <w:hideMark/>
          </w:tcPr>
          <w:p w:rsidR="00EC2A52" w:rsidRPr="009263A5" w:rsidRDefault="00EC2A52" w:rsidP="00EC2A52">
            <w:pPr>
              <w:jc w:val="center"/>
              <w:rPr>
                <w:b/>
                <w:bCs/>
                <w:color w:val="000000"/>
                <w:sz w:val="20"/>
                <w:szCs w:val="20"/>
              </w:rPr>
            </w:pPr>
            <w:r w:rsidRPr="009263A5">
              <w:rPr>
                <w:b/>
                <w:bCs/>
                <w:color w:val="000000"/>
                <w:sz w:val="20"/>
                <w:szCs w:val="20"/>
              </w:rPr>
              <w:t>Damage Cited in Nordhaus (2013)</w:t>
            </w:r>
          </w:p>
        </w:tc>
        <w:tc>
          <w:tcPr>
            <w:tcW w:w="1414" w:type="dxa"/>
            <w:tcBorders>
              <w:top w:val="single" w:sz="8" w:space="0" w:color="auto"/>
              <w:left w:val="nil"/>
              <w:bottom w:val="double" w:sz="4" w:space="0" w:color="auto"/>
              <w:right w:val="single" w:sz="4" w:space="0" w:color="auto"/>
            </w:tcBorders>
            <w:shd w:val="clear" w:color="auto" w:fill="auto"/>
            <w:vAlign w:val="center"/>
            <w:hideMark/>
          </w:tcPr>
          <w:p w:rsidR="00EC2A52" w:rsidRPr="009263A5" w:rsidRDefault="00EC2A52" w:rsidP="00EC2A52">
            <w:pPr>
              <w:jc w:val="center"/>
              <w:rPr>
                <w:b/>
                <w:bCs/>
                <w:color w:val="000000"/>
                <w:sz w:val="20"/>
                <w:szCs w:val="20"/>
                <w:vertAlign w:val="superscript"/>
              </w:rPr>
            </w:pPr>
            <w:r w:rsidRPr="009263A5">
              <w:rPr>
                <w:b/>
                <w:bCs/>
                <w:color w:val="000000"/>
                <w:sz w:val="20"/>
                <w:szCs w:val="20"/>
              </w:rPr>
              <w:t>Corrected Temperature</w:t>
            </w:r>
            <w:r w:rsidRPr="009263A5">
              <w:rPr>
                <w:b/>
                <w:bCs/>
                <w:color w:val="000000"/>
                <w:sz w:val="20"/>
                <w:szCs w:val="20"/>
                <w:vertAlign w:val="superscript"/>
              </w:rPr>
              <w:t>a</w:t>
            </w:r>
          </w:p>
        </w:tc>
        <w:tc>
          <w:tcPr>
            <w:tcW w:w="1083" w:type="dxa"/>
            <w:tcBorders>
              <w:top w:val="single" w:sz="8" w:space="0" w:color="auto"/>
              <w:left w:val="nil"/>
              <w:bottom w:val="double" w:sz="4" w:space="0" w:color="auto"/>
              <w:right w:val="single" w:sz="8" w:space="0" w:color="auto"/>
            </w:tcBorders>
            <w:shd w:val="clear" w:color="auto" w:fill="auto"/>
            <w:vAlign w:val="center"/>
            <w:hideMark/>
          </w:tcPr>
          <w:p w:rsidR="00EC2A52" w:rsidRPr="009263A5" w:rsidRDefault="00EC2A52" w:rsidP="00EC2A52">
            <w:pPr>
              <w:jc w:val="center"/>
              <w:rPr>
                <w:b/>
                <w:bCs/>
                <w:color w:val="000000"/>
                <w:sz w:val="20"/>
                <w:szCs w:val="20"/>
              </w:rPr>
            </w:pPr>
            <w:r w:rsidRPr="009263A5">
              <w:rPr>
                <w:b/>
                <w:bCs/>
                <w:color w:val="000000"/>
                <w:sz w:val="20"/>
                <w:szCs w:val="20"/>
              </w:rPr>
              <w:t>Corrected Damage</w:t>
            </w:r>
            <w:r w:rsidRPr="009263A5">
              <w:rPr>
                <w:b/>
                <w:bCs/>
                <w:color w:val="000000"/>
                <w:sz w:val="20"/>
                <w:szCs w:val="20"/>
                <w:vertAlign w:val="superscript"/>
              </w:rPr>
              <w:t>a</w:t>
            </w:r>
          </w:p>
        </w:tc>
        <w:tc>
          <w:tcPr>
            <w:tcW w:w="1039" w:type="dxa"/>
            <w:tcBorders>
              <w:top w:val="single" w:sz="8" w:space="0" w:color="auto"/>
              <w:left w:val="nil"/>
              <w:bottom w:val="double" w:sz="4" w:space="0" w:color="auto"/>
              <w:right w:val="single" w:sz="8" w:space="0" w:color="auto"/>
            </w:tcBorders>
            <w:shd w:val="clear" w:color="auto" w:fill="auto"/>
            <w:vAlign w:val="center"/>
            <w:hideMark/>
          </w:tcPr>
          <w:p w:rsidR="00EC2A52" w:rsidRPr="009263A5" w:rsidRDefault="00EC2A52" w:rsidP="00EC2A52">
            <w:pPr>
              <w:jc w:val="center"/>
              <w:rPr>
                <w:b/>
                <w:bCs/>
                <w:color w:val="000000"/>
                <w:sz w:val="20"/>
                <w:szCs w:val="20"/>
              </w:rPr>
            </w:pPr>
            <w:r w:rsidRPr="009263A5">
              <w:rPr>
                <w:b/>
                <w:bCs/>
                <w:color w:val="000000"/>
                <w:sz w:val="20"/>
                <w:szCs w:val="20"/>
              </w:rPr>
              <w:t>In Non-Duplicate Dataset</w:t>
            </w:r>
          </w:p>
        </w:tc>
      </w:tr>
      <w:tr w:rsidR="00EC2A52" w:rsidRPr="009263A5" w:rsidTr="00EC2A52">
        <w:trPr>
          <w:trHeight w:val="330"/>
        </w:trPr>
        <w:tc>
          <w:tcPr>
            <w:tcW w:w="10082" w:type="dxa"/>
            <w:gridSpan w:val="7"/>
            <w:tcBorders>
              <w:top w:val="double" w:sz="4" w:space="0" w:color="auto"/>
              <w:left w:val="single" w:sz="8" w:space="0" w:color="auto"/>
              <w:bottom w:val="double" w:sz="4" w:space="0" w:color="auto"/>
              <w:right w:val="single" w:sz="8" w:space="0" w:color="auto"/>
            </w:tcBorders>
            <w:shd w:val="clear" w:color="auto" w:fill="auto"/>
            <w:vAlign w:val="center"/>
          </w:tcPr>
          <w:p w:rsidR="00EC2A52" w:rsidRPr="009263A5" w:rsidRDefault="00EC2A52" w:rsidP="00EC2A52">
            <w:pPr>
              <w:rPr>
                <w:color w:val="000000"/>
                <w:sz w:val="20"/>
                <w:szCs w:val="20"/>
              </w:rPr>
            </w:pPr>
            <w:r>
              <w:rPr>
                <w:color w:val="000000"/>
                <w:sz w:val="20"/>
                <w:szCs w:val="20"/>
              </w:rPr>
              <w:t>Cited in Nordhaus (2013)</w:t>
            </w:r>
          </w:p>
        </w:tc>
      </w:tr>
      <w:tr w:rsidR="00EC2A52" w:rsidRPr="009263A5" w:rsidTr="00EC2A52">
        <w:trPr>
          <w:trHeight w:val="330"/>
        </w:trPr>
        <w:tc>
          <w:tcPr>
            <w:tcW w:w="3220" w:type="dxa"/>
            <w:tcBorders>
              <w:top w:val="double" w:sz="4" w:space="0" w:color="auto"/>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Nordhaus (1994a)</w:t>
            </w:r>
          </w:p>
        </w:tc>
        <w:tc>
          <w:tcPr>
            <w:tcW w:w="1349" w:type="dxa"/>
            <w:tcBorders>
              <w:top w:val="double" w:sz="4" w:space="0" w:color="auto"/>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w:t>
            </w:r>
          </w:p>
        </w:tc>
        <w:tc>
          <w:tcPr>
            <w:tcW w:w="916" w:type="dxa"/>
            <w:tcBorders>
              <w:top w:val="double" w:sz="4" w:space="0" w:color="auto"/>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1.3%</w:t>
            </w:r>
          </w:p>
        </w:tc>
        <w:tc>
          <w:tcPr>
            <w:tcW w:w="1061" w:type="dxa"/>
            <w:tcBorders>
              <w:top w:val="double" w:sz="4" w:space="0" w:color="auto"/>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1.6%</w:t>
            </w:r>
          </w:p>
        </w:tc>
        <w:tc>
          <w:tcPr>
            <w:tcW w:w="1414" w:type="dxa"/>
            <w:tcBorders>
              <w:top w:val="double" w:sz="4" w:space="0" w:color="auto"/>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w:t>
            </w:r>
          </w:p>
        </w:tc>
        <w:tc>
          <w:tcPr>
            <w:tcW w:w="1083" w:type="dxa"/>
            <w:tcBorders>
              <w:top w:val="double" w:sz="4" w:space="0" w:color="auto"/>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1.3%</w:t>
            </w:r>
          </w:p>
        </w:tc>
        <w:tc>
          <w:tcPr>
            <w:tcW w:w="1039" w:type="dxa"/>
            <w:tcBorders>
              <w:top w:val="double" w:sz="4" w:space="0" w:color="auto"/>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Nordhaus (1994b)</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4.8%</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6.0%</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3.6%</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Fankhauser (1995)</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1.4%</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1.8%</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1.4%</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Tol (1995)</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1.9%</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2.4%</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1.9%</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Nordhaus and Yang (1996)</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1.7%</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2.1%</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1.7%</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Plambeck and Hope (1996)</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3.1%</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2.6%</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vMerge w:val="restart"/>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Mendelsohn</w:t>
            </w:r>
            <w:r>
              <w:rPr>
                <w:sz w:val="20"/>
                <w:szCs w:val="20"/>
              </w:rPr>
              <w:t xml:space="preserve"> et al. </w:t>
            </w:r>
            <w:r w:rsidRPr="009263A5">
              <w:rPr>
                <w:sz w:val="20"/>
                <w:szCs w:val="20"/>
              </w:rPr>
              <w:t>(2000</w:t>
            </w:r>
            <w:r>
              <w:rPr>
                <w:sz w:val="20"/>
                <w:szCs w:val="20"/>
              </w:rPr>
              <w:t>b</w:t>
            </w:r>
            <w:r w:rsidRPr="009263A5">
              <w:rPr>
                <w:sz w:val="20"/>
                <w:szCs w:val="20"/>
              </w:rPr>
              <w:t>)</w:t>
            </w:r>
          </w:p>
        </w:tc>
        <w:tc>
          <w:tcPr>
            <w:tcW w:w="1349" w:type="dxa"/>
            <w:vMerge w:val="restart"/>
            <w:tcBorders>
              <w:top w:val="nil"/>
              <w:left w:val="single" w:sz="4" w:space="0" w:color="auto"/>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0.0%</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0.0%</w:t>
            </w:r>
          </w:p>
        </w:tc>
        <w:tc>
          <w:tcPr>
            <w:tcW w:w="1414" w:type="dxa"/>
            <w:vMerge w:val="restart"/>
            <w:tcBorders>
              <w:top w:val="nil"/>
              <w:left w:val="single" w:sz="4" w:space="0" w:color="auto"/>
              <w:bottom w:val="single" w:sz="4" w:space="0" w:color="auto"/>
              <w:right w:val="single" w:sz="4" w:space="0" w:color="auto"/>
            </w:tcBorders>
            <w:shd w:val="clear" w:color="auto" w:fill="auto"/>
            <w:vAlign w:val="center"/>
            <w:hideMark/>
          </w:tcPr>
          <w:p w:rsidR="00EC2A52" w:rsidRPr="002D03A9" w:rsidRDefault="00EC2A52" w:rsidP="00EC2A52">
            <w:pPr>
              <w:jc w:val="center"/>
              <w:rPr>
                <w:bCs/>
                <w:sz w:val="20"/>
                <w:szCs w:val="20"/>
              </w:rPr>
            </w:pPr>
            <w:r w:rsidRPr="002D03A9">
              <w:rPr>
                <w:bCs/>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0.0%</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vMerge/>
            <w:tcBorders>
              <w:top w:val="nil"/>
              <w:left w:val="single" w:sz="8" w:space="0" w:color="auto"/>
              <w:bottom w:val="single" w:sz="4" w:space="0" w:color="auto"/>
              <w:right w:val="single" w:sz="4" w:space="0" w:color="auto"/>
            </w:tcBorders>
            <w:vAlign w:val="center"/>
            <w:hideMark/>
          </w:tcPr>
          <w:p w:rsidR="00EC2A52" w:rsidRPr="009263A5" w:rsidRDefault="00EC2A52" w:rsidP="00EC2A52">
            <w:pPr>
              <w:rPr>
                <w:sz w:val="20"/>
                <w:szCs w:val="20"/>
              </w:rPr>
            </w:pPr>
          </w:p>
        </w:tc>
        <w:tc>
          <w:tcPr>
            <w:tcW w:w="1349" w:type="dxa"/>
            <w:vMerge/>
            <w:tcBorders>
              <w:top w:val="nil"/>
              <w:left w:val="single" w:sz="4" w:space="0" w:color="auto"/>
              <w:bottom w:val="single" w:sz="4" w:space="0" w:color="auto"/>
              <w:right w:val="single" w:sz="4" w:space="0" w:color="auto"/>
            </w:tcBorders>
            <w:vAlign w:val="center"/>
            <w:hideMark/>
          </w:tcPr>
          <w:p w:rsidR="00EC2A52" w:rsidRPr="009263A5" w:rsidRDefault="00EC2A52" w:rsidP="00EC2A52">
            <w:pPr>
              <w:rPr>
                <w:sz w:val="20"/>
                <w:szCs w:val="20"/>
              </w:rPr>
            </w:pP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-0.1%</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-0.1%</w:t>
            </w:r>
          </w:p>
        </w:tc>
        <w:tc>
          <w:tcPr>
            <w:tcW w:w="1414" w:type="dxa"/>
            <w:vMerge/>
            <w:tcBorders>
              <w:top w:val="nil"/>
              <w:left w:val="single" w:sz="4" w:space="0" w:color="auto"/>
              <w:bottom w:val="single" w:sz="4" w:space="0" w:color="auto"/>
              <w:right w:val="single" w:sz="4" w:space="0" w:color="auto"/>
            </w:tcBorders>
            <w:vAlign w:val="center"/>
            <w:hideMark/>
          </w:tcPr>
          <w:p w:rsidR="00EC2A52" w:rsidRPr="009263A5" w:rsidRDefault="00EC2A52" w:rsidP="00EC2A52">
            <w:pPr>
              <w:rPr>
                <w:b/>
                <w:bCs/>
                <w:sz w:val="20"/>
                <w:szCs w:val="20"/>
              </w:rPr>
            </w:pP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-0.1%</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Nordhaus and Boyer (2000)</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1.5%</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1.9%</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1.5%</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Tol (2002)</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-2.3%</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-2.9%</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-2.3%</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Maddison (2003)</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0.1%</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0.1%</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1.2%</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Rehdanz and Maddison (2005)</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0.4%</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0.5%</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0.6%</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Hope (2006)</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-0.9%</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-1.1%</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0.9%</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30"/>
        </w:trPr>
        <w:tc>
          <w:tcPr>
            <w:tcW w:w="3220" w:type="dxa"/>
            <w:tcBorders>
              <w:top w:val="nil"/>
              <w:left w:val="single" w:sz="8" w:space="0" w:color="auto"/>
              <w:bottom w:val="double" w:sz="6"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Nordhaus (2006)</w:t>
            </w:r>
          </w:p>
        </w:tc>
        <w:tc>
          <w:tcPr>
            <w:tcW w:w="1349" w:type="dxa"/>
            <w:tcBorders>
              <w:top w:val="nil"/>
              <w:left w:val="nil"/>
              <w:bottom w:val="double" w:sz="6"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916" w:type="dxa"/>
            <w:tcBorders>
              <w:top w:val="nil"/>
              <w:left w:val="nil"/>
              <w:bottom w:val="double" w:sz="6"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0.9%</w:t>
            </w:r>
          </w:p>
        </w:tc>
        <w:tc>
          <w:tcPr>
            <w:tcW w:w="1061" w:type="dxa"/>
            <w:tcBorders>
              <w:top w:val="nil"/>
              <w:left w:val="nil"/>
              <w:bottom w:val="double" w:sz="6"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1.1%</w:t>
            </w:r>
          </w:p>
        </w:tc>
        <w:tc>
          <w:tcPr>
            <w:tcW w:w="1414" w:type="dxa"/>
            <w:tcBorders>
              <w:top w:val="nil"/>
              <w:left w:val="nil"/>
              <w:bottom w:val="double" w:sz="6" w:space="0" w:color="auto"/>
              <w:right w:val="single" w:sz="4"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2.1</w:t>
            </w:r>
          </w:p>
        </w:tc>
        <w:tc>
          <w:tcPr>
            <w:tcW w:w="1083" w:type="dxa"/>
            <w:tcBorders>
              <w:top w:val="nil"/>
              <w:left w:val="nil"/>
              <w:bottom w:val="double" w:sz="6" w:space="0" w:color="auto"/>
              <w:right w:val="single" w:sz="8"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1.0%</w:t>
            </w:r>
          </w:p>
        </w:tc>
        <w:tc>
          <w:tcPr>
            <w:tcW w:w="1039" w:type="dxa"/>
            <w:tcBorders>
              <w:top w:val="nil"/>
              <w:left w:val="nil"/>
              <w:bottom w:val="double" w:sz="6"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45"/>
        </w:trPr>
        <w:tc>
          <w:tcPr>
            <w:tcW w:w="10082" w:type="dxa"/>
            <w:gridSpan w:val="7"/>
            <w:tcBorders>
              <w:top w:val="double" w:sz="6" w:space="0" w:color="auto"/>
              <w:left w:val="single" w:sz="8" w:space="0" w:color="auto"/>
              <w:bottom w:val="double" w:sz="6" w:space="0" w:color="auto"/>
              <w:right w:val="single" w:sz="8" w:space="0" w:color="000000"/>
            </w:tcBorders>
            <w:shd w:val="clear" w:color="auto" w:fill="auto"/>
            <w:vAlign w:val="center"/>
            <w:hideMark/>
          </w:tcPr>
          <w:p w:rsidR="00EC2A52" w:rsidRPr="009263A5" w:rsidRDefault="00EC2A52" w:rsidP="00EC2A52">
            <w:pPr>
              <w:rPr>
                <w:sz w:val="20"/>
                <w:szCs w:val="20"/>
              </w:rPr>
            </w:pPr>
            <w:r w:rsidRPr="009263A5">
              <w:rPr>
                <w:sz w:val="20"/>
                <w:szCs w:val="20"/>
              </w:rPr>
              <w:t>Added in Tol (2014)</w:t>
            </w:r>
          </w:p>
        </w:tc>
      </w:tr>
      <w:tr w:rsidR="00EC2A52" w:rsidRPr="009263A5" w:rsidTr="00EC2A52">
        <w:trPr>
          <w:trHeight w:val="330"/>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Nordhaus (2008a)</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2.5%</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2.5</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1.8%</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Maddison</w:t>
            </w:r>
            <w:r>
              <w:rPr>
                <w:sz w:val="20"/>
                <w:szCs w:val="20"/>
              </w:rPr>
              <w:t xml:space="preserve"> and </w:t>
            </w:r>
            <w:r w:rsidRPr="009263A5">
              <w:rPr>
                <w:sz w:val="20"/>
                <w:szCs w:val="20"/>
              </w:rPr>
              <w:t>Rehdanz (2011)</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3.2</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11.5%</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3.2</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b/>
                <w:bCs/>
                <w:sz w:val="20"/>
                <w:szCs w:val="20"/>
              </w:rPr>
            </w:pPr>
            <w:r w:rsidRPr="009263A5">
              <w:rPr>
                <w:b/>
                <w:bCs/>
                <w:sz w:val="20"/>
                <w:szCs w:val="20"/>
              </w:rPr>
              <w:t>16.3%</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9263A5" w:rsidRDefault="00EC2A52" w:rsidP="00EC2A52">
            <w:pPr>
              <w:rPr>
                <w:sz w:val="20"/>
                <w:szCs w:val="20"/>
              </w:rPr>
            </w:pPr>
            <w:r w:rsidRPr="009263A5">
              <w:rPr>
                <w:sz w:val="20"/>
                <w:szCs w:val="20"/>
              </w:rPr>
              <w:t>Bosello et al. (2012)</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1.92</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0.5%</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1.9</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0.5%</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630"/>
        </w:trPr>
        <w:tc>
          <w:tcPr>
            <w:tcW w:w="3220" w:type="dxa"/>
            <w:tcBorders>
              <w:top w:val="nil"/>
              <w:left w:val="single" w:sz="8" w:space="0" w:color="auto"/>
              <w:bottom w:val="single" w:sz="4" w:space="0" w:color="auto"/>
              <w:right w:val="single" w:sz="4" w:space="0" w:color="auto"/>
            </w:tcBorders>
            <w:shd w:val="clear" w:color="auto" w:fill="auto"/>
            <w:vAlign w:val="center"/>
            <w:hideMark/>
          </w:tcPr>
          <w:p w:rsidR="00EC2A52" w:rsidRPr="002D03A9" w:rsidRDefault="00EC2A52" w:rsidP="00EC2A52">
            <w:pPr>
              <w:rPr>
                <w:sz w:val="20"/>
                <w:szCs w:val="20"/>
                <w:lang w:val="sv-SE"/>
              </w:rPr>
            </w:pPr>
            <w:r w:rsidRPr="002D03A9">
              <w:rPr>
                <w:sz w:val="20"/>
                <w:szCs w:val="20"/>
                <w:lang w:val="sv-SE"/>
              </w:rPr>
              <w:t>Roson and van der Mensbrugghe (2012)</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4.8</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4.6%</w:t>
            </w:r>
          </w:p>
        </w:tc>
        <w:tc>
          <w:tcPr>
            <w:tcW w:w="1061"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w:t>
            </w:r>
          </w:p>
        </w:tc>
        <w:tc>
          <w:tcPr>
            <w:tcW w:w="1414"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4.8</w:t>
            </w:r>
          </w:p>
        </w:tc>
        <w:tc>
          <w:tcPr>
            <w:tcW w:w="1083"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4.6%</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645"/>
        </w:trPr>
        <w:tc>
          <w:tcPr>
            <w:tcW w:w="3220" w:type="dxa"/>
            <w:tcBorders>
              <w:top w:val="nil"/>
              <w:left w:val="single" w:sz="8" w:space="0" w:color="auto"/>
              <w:bottom w:val="double" w:sz="6" w:space="0" w:color="auto"/>
              <w:right w:val="single" w:sz="4" w:space="0" w:color="auto"/>
            </w:tcBorders>
            <w:shd w:val="clear" w:color="auto" w:fill="auto"/>
            <w:vAlign w:val="center"/>
            <w:hideMark/>
          </w:tcPr>
          <w:p w:rsidR="00EC2A52" w:rsidRPr="002D03A9" w:rsidRDefault="00EC2A52" w:rsidP="00EC2A52">
            <w:pPr>
              <w:rPr>
                <w:sz w:val="20"/>
                <w:szCs w:val="20"/>
                <w:lang w:val="sv-SE"/>
              </w:rPr>
            </w:pPr>
            <w:r w:rsidRPr="002D03A9">
              <w:rPr>
                <w:sz w:val="20"/>
                <w:szCs w:val="20"/>
                <w:lang w:val="sv-SE"/>
              </w:rPr>
              <w:t>Roson and van der Mensbrugghe (2012)</w:t>
            </w:r>
          </w:p>
        </w:tc>
        <w:tc>
          <w:tcPr>
            <w:tcW w:w="1349" w:type="dxa"/>
            <w:tcBorders>
              <w:top w:val="nil"/>
              <w:left w:val="nil"/>
              <w:bottom w:val="double" w:sz="6"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2.3</w:t>
            </w:r>
          </w:p>
        </w:tc>
        <w:tc>
          <w:tcPr>
            <w:tcW w:w="916" w:type="dxa"/>
            <w:tcBorders>
              <w:top w:val="nil"/>
              <w:left w:val="nil"/>
              <w:bottom w:val="double" w:sz="6"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1.8%</w:t>
            </w:r>
          </w:p>
        </w:tc>
        <w:tc>
          <w:tcPr>
            <w:tcW w:w="1061" w:type="dxa"/>
            <w:tcBorders>
              <w:top w:val="nil"/>
              <w:left w:val="nil"/>
              <w:bottom w:val="double" w:sz="6"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w:t>
            </w:r>
          </w:p>
        </w:tc>
        <w:tc>
          <w:tcPr>
            <w:tcW w:w="1414" w:type="dxa"/>
            <w:tcBorders>
              <w:top w:val="nil"/>
              <w:left w:val="nil"/>
              <w:bottom w:val="double" w:sz="6"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2.3</w:t>
            </w:r>
          </w:p>
        </w:tc>
        <w:tc>
          <w:tcPr>
            <w:tcW w:w="1083" w:type="dxa"/>
            <w:tcBorders>
              <w:top w:val="nil"/>
              <w:left w:val="nil"/>
              <w:bottom w:val="double" w:sz="6" w:space="0" w:color="auto"/>
              <w:right w:val="single" w:sz="8"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1.8%</w:t>
            </w:r>
          </w:p>
        </w:tc>
        <w:tc>
          <w:tcPr>
            <w:tcW w:w="1039" w:type="dxa"/>
            <w:tcBorders>
              <w:top w:val="nil"/>
              <w:left w:val="nil"/>
              <w:bottom w:val="double" w:sz="6"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45"/>
        </w:trPr>
        <w:tc>
          <w:tcPr>
            <w:tcW w:w="10082" w:type="dxa"/>
            <w:gridSpan w:val="7"/>
            <w:tcBorders>
              <w:top w:val="double" w:sz="6" w:space="0" w:color="auto"/>
              <w:left w:val="single" w:sz="8" w:space="0" w:color="auto"/>
              <w:bottom w:val="double" w:sz="6" w:space="0" w:color="auto"/>
              <w:right w:val="single" w:sz="8" w:space="0" w:color="000000"/>
            </w:tcBorders>
            <w:shd w:val="clear" w:color="auto" w:fill="auto"/>
            <w:vAlign w:val="center"/>
            <w:hideMark/>
          </w:tcPr>
          <w:p w:rsidR="00EC2A52" w:rsidRPr="009263A5" w:rsidRDefault="00EC2A52" w:rsidP="00EC2A52">
            <w:pPr>
              <w:rPr>
                <w:sz w:val="20"/>
                <w:szCs w:val="20"/>
              </w:rPr>
            </w:pPr>
            <w:r w:rsidRPr="009263A5">
              <w:rPr>
                <w:sz w:val="20"/>
                <w:szCs w:val="20"/>
              </w:rPr>
              <w:t>Added in This Study</w:t>
            </w:r>
          </w:p>
        </w:tc>
      </w:tr>
      <w:tr w:rsidR="00EC2A52" w:rsidRPr="009263A5" w:rsidTr="00EC2A52">
        <w:trPr>
          <w:trHeight w:val="315"/>
        </w:trPr>
        <w:tc>
          <w:tcPr>
            <w:tcW w:w="3220" w:type="dxa"/>
            <w:tcBorders>
              <w:top w:val="double" w:sz="6" w:space="0" w:color="auto"/>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Nordhaus (1994b)</w:t>
            </w:r>
          </w:p>
        </w:tc>
        <w:tc>
          <w:tcPr>
            <w:tcW w:w="1349" w:type="dxa"/>
            <w:tcBorders>
              <w:top w:val="double" w:sz="6" w:space="0" w:color="auto"/>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double" w:sz="6" w:space="0" w:color="auto"/>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double" w:sz="6" w:space="0" w:color="auto"/>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double" w:sz="6" w:space="0" w:color="auto"/>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6</w:t>
            </w:r>
          </w:p>
        </w:tc>
        <w:tc>
          <w:tcPr>
            <w:tcW w:w="1083" w:type="dxa"/>
            <w:tcBorders>
              <w:top w:val="double" w:sz="6" w:space="0" w:color="auto"/>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6.7%</w:t>
            </w:r>
          </w:p>
        </w:tc>
        <w:tc>
          <w:tcPr>
            <w:tcW w:w="1039" w:type="dxa"/>
            <w:tcBorders>
              <w:top w:val="double" w:sz="6" w:space="0" w:color="auto"/>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251"/>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Meyer and Cooper (1995)</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3</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11.5%</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26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Manne</w:t>
            </w:r>
            <w:r>
              <w:rPr>
                <w:color w:val="000000"/>
                <w:sz w:val="20"/>
                <w:szCs w:val="20"/>
              </w:rPr>
              <w:t xml:space="preserve"> et al.</w:t>
            </w:r>
            <w:r w:rsidRPr="009263A5">
              <w:rPr>
                <w:color w:val="000000"/>
                <w:sz w:val="20"/>
                <w:szCs w:val="20"/>
              </w:rPr>
              <w:t xml:space="preserve"> (1995)</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2.5</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1.4%</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Schauer (1995)</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2.5</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5.2%</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Berz (2000)</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2.5</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1.5%</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Manne and Richels</w:t>
            </w:r>
            <w:r>
              <w:rPr>
                <w:color w:val="000000"/>
                <w:sz w:val="20"/>
                <w:szCs w:val="20"/>
              </w:rPr>
              <w:t xml:space="preserve"> </w:t>
            </w:r>
            <w:r w:rsidRPr="009263A5">
              <w:rPr>
                <w:color w:val="000000"/>
                <w:sz w:val="20"/>
                <w:szCs w:val="20"/>
              </w:rPr>
              <w:t>(2005)</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2.5</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1.9%</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Choiniere and Horowitz (2006)</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Pr>
                <w:color w:val="000000"/>
                <w:sz w:val="20"/>
                <w:szCs w:val="20"/>
              </w:rPr>
              <w:t>0.8</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7.4%</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17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Bosetti</w:t>
            </w:r>
            <w:r>
              <w:rPr>
                <w:color w:val="000000"/>
                <w:sz w:val="20"/>
                <w:szCs w:val="20"/>
              </w:rPr>
              <w:t xml:space="preserve"> et al.</w:t>
            </w:r>
            <w:r w:rsidRPr="009263A5">
              <w:rPr>
                <w:color w:val="000000"/>
                <w:sz w:val="20"/>
                <w:szCs w:val="20"/>
              </w:rPr>
              <w:t xml:space="preserve"> (2007)</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2.6</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2.5%</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lastRenderedPageBreak/>
              <w:t>Dell et al. (2008)</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3.4</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0.3%</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Gunasekera et al. (2008)</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1.7</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6.0%</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Nordhaus (2008b)</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2.1</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0.3%</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Horowitz (2009)</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0.7</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3.8%</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Bluedorn et al. (2010)</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0.7</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0.0%</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Eboli et al. (2010)</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3</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1.3%</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Eboli et al. (2010)</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1.5</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0.2%</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9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2D03A9">
              <w:rPr>
                <w:color w:val="000000"/>
                <w:sz w:val="20"/>
                <w:szCs w:val="20"/>
                <w:lang w:val="sv-SE"/>
              </w:rPr>
              <w:t xml:space="preserve">Weitzman (2012) via Ackerman et al. </w:t>
            </w:r>
            <w:r w:rsidRPr="009263A5">
              <w:rPr>
                <w:color w:val="000000"/>
                <w:sz w:val="20"/>
                <w:szCs w:val="20"/>
              </w:rPr>
              <w:t>(2012)</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12</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99.0%</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68"/>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2D03A9">
              <w:rPr>
                <w:color w:val="000000"/>
                <w:sz w:val="20"/>
                <w:szCs w:val="20"/>
                <w:lang w:val="sv-SE"/>
              </w:rPr>
              <w:t xml:space="preserve">Weitzman (2012) via Ackerman et al. </w:t>
            </w:r>
            <w:r w:rsidRPr="009263A5">
              <w:rPr>
                <w:color w:val="000000"/>
                <w:sz w:val="20"/>
                <w:szCs w:val="20"/>
              </w:rPr>
              <w:t>(2012)</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6</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50.0%</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Hope (2011)</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3</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0.8%</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Ng and Zhao (2011)</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0.7</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1.6%</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59"/>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2D03A9" w:rsidRDefault="00EC2A52" w:rsidP="00EC2A52">
            <w:pPr>
              <w:rPr>
                <w:color w:val="000000"/>
                <w:sz w:val="20"/>
                <w:szCs w:val="20"/>
                <w:lang w:val="sv-SE"/>
              </w:rPr>
            </w:pPr>
            <w:r w:rsidRPr="002D03A9">
              <w:rPr>
                <w:color w:val="000000"/>
                <w:sz w:val="20"/>
                <w:szCs w:val="20"/>
                <w:lang w:val="sv-SE"/>
              </w:rPr>
              <w:t>Ackerman et al. (2012) adjusting Hanemann (2008)</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2.5</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4.2%</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00"/>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McCallum</w:t>
            </w:r>
            <w:r w:rsidRPr="009263A5" w:rsidDel="003D14C2">
              <w:rPr>
                <w:color w:val="000000"/>
                <w:sz w:val="20"/>
                <w:szCs w:val="20"/>
              </w:rPr>
              <w:t xml:space="preserve"> </w:t>
            </w:r>
            <w:r w:rsidRPr="009263A5">
              <w:rPr>
                <w:color w:val="000000"/>
                <w:sz w:val="20"/>
                <w:szCs w:val="20"/>
              </w:rPr>
              <w:t>et al. (2013)</w:t>
            </w:r>
          </w:p>
        </w:tc>
        <w:tc>
          <w:tcPr>
            <w:tcW w:w="1349"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916" w:type="dxa"/>
            <w:tcBorders>
              <w:top w:val="nil"/>
              <w:left w:val="nil"/>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061" w:type="dxa"/>
            <w:tcBorders>
              <w:top w:val="nil"/>
              <w:left w:val="nil"/>
              <w:bottom w:val="single" w:sz="4" w:space="0" w:color="auto"/>
              <w:right w:val="nil"/>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0.7%</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McCallum</w:t>
            </w:r>
            <w:r w:rsidRPr="009263A5" w:rsidDel="003D14C2">
              <w:rPr>
                <w:color w:val="000000"/>
                <w:sz w:val="20"/>
                <w:szCs w:val="20"/>
              </w:rPr>
              <w:t xml:space="preserve"> </w:t>
            </w:r>
            <w:r w:rsidRPr="009263A5">
              <w:rPr>
                <w:color w:val="000000"/>
                <w:sz w:val="20"/>
                <w:szCs w:val="20"/>
              </w:rPr>
              <w:t>et al. (2013)</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4"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4</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1.8%</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Tol (2013)</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4"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-1.4%</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Bosello and Parrado (2014)</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4"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2.5</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0.9%</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Dellink et al. (2014)</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4"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2.5</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1.1%</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Nordhaus (2014)</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4"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3</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10.6%</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Nordhaus (2014)</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4"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3</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4.9%</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Burke</w:t>
            </w:r>
            <w:r>
              <w:rPr>
                <w:color w:val="000000"/>
                <w:sz w:val="20"/>
                <w:szCs w:val="20"/>
              </w:rPr>
              <w:t xml:space="preserve"> et al.</w:t>
            </w:r>
            <w:r w:rsidRPr="009263A5">
              <w:rPr>
                <w:color w:val="000000"/>
                <w:sz w:val="20"/>
                <w:szCs w:val="20"/>
              </w:rPr>
              <w:t xml:space="preserve"> (2015)</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4"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4.3</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23.0%</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15"/>
        </w:trPr>
        <w:tc>
          <w:tcPr>
            <w:tcW w:w="3220" w:type="dxa"/>
            <w:tcBorders>
              <w:top w:val="nil"/>
              <w:left w:val="single" w:sz="8" w:space="0" w:color="auto"/>
              <w:bottom w:val="single" w:sz="4"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Howard and Sylvan (2015)</w:t>
            </w:r>
          </w:p>
        </w:tc>
        <w:tc>
          <w:tcPr>
            <w:tcW w:w="1349"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4"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4"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4"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3</w:t>
            </w:r>
          </w:p>
        </w:tc>
        <w:tc>
          <w:tcPr>
            <w:tcW w:w="1083" w:type="dxa"/>
            <w:tcBorders>
              <w:top w:val="nil"/>
              <w:left w:val="nil"/>
              <w:bottom w:val="single" w:sz="4"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10.2%</w:t>
            </w:r>
          </w:p>
        </w:tc>
        <w:tc>
          <w:tcPr>
            <w:tcW w:w="1039"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r w:rsidR="00EC2A52" w:rsidRPr="009263A5" w:rsidTr="00EC2A52">
        <w:trPr>
          <w:trHeight w:val="330"/>
        </w:trPr>
        <w:tc>
          <w:tcPr>
            <w:tcW w:w="3220" w:type="dxa"/>
            <w:tcBorders>
              <w:top w:val="nil"/>
              <w:left w:val="single" w:sz="8" w:space="0" w:color="auto"/>
              <w:bottom w:val="single" w:sz="8" w:space="0" w:color="auto"/>
              <w:right w:val="single" w:sz="4" w:space="0" w:color="auto"/>
            </w:tcBorders>
            <w:shd w:val="clear" w:color="auto" w:fill="auto"/>
            <w:vAlign w:val="bottom"/>
            <w:hideMark/>
          </w:tcPr>
          <w:p w:rsidR="00EC2A52" w:rsidRPr="009263A5" w:rsidRDefault="00EC2A52" w:rsidP="00EC2A52">
            <w:pPr>
              <w:rPr>
                <w:color w:val="000000"/>
                <w:sz w:val="20"/>
                <w:szCs w:val="20"/>
              </w:rPr>
            </w:pPr>
            <w:r w:rsidRPr="009263A5">
              <w:rPr>
                <w:color w:val="000000"/>
                <w:sz w:val="20"/>
                <w:szCs w:val="20"/>
              </w:rPr>
              <w:t>Howard and Sylvan (2015)</w:t>
            </w:r>
          </w:p>
        </w:tc>
        <w:tc>
          <w:tcPr>
            <w:tcW w:w="1349" w:type="dxa"/>
            <w:tcBorders>
              <w:top w:val="nil"/>
              <w:left w:val="nil"/>
              <w:bottom w:val="single" w:sz="8"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916" w:type="dxa"/>
            <w:tcBorders>
              <w:top w:val="nil"/>
              <w:left w:val="nil"/>
              <w:bottom w:val="single" w:sz="8" w:space="0" w:color="auto"/>
              <w:right w:val="single" w:sz="4" w:space="0" w:color="auto"/>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061" w:type="dxa"/>
            <w:tcBorders>
              <w:top w:val="nil"/>
              <w:left w:val="nil"/>
              <w:bottom w:val="single" w:sz="8" w:space="0" w:color="auto"/>
              <w:right w:val="nil"/>
            </w:tcBorders>
            <w:shd w:val="clear" w:color="auto" w:fill="auto"/>
            <w:vAlign w:val="center"/>
            <w:hideMark/>
          </w:tcPr>
          <w:p w:rsidR="00EC2A52" w:rsidRPr="009263A5" w:rsidRDefault="00EC2A52" w:rsidP="00EC2A52">
            <w:pPr>
              <w:jc w:val="center"/>
              <w:rPr>
                <w:sz w:val="20"/>
                <w:szCs w:val="20"/>
              </w:rPr>
            </w:pPr>
            <w:r w:rsidRPr="009263A5">
              <w:rPr>
                <w:sz w:val="20"/>
                <w:szCs w:val="20"/>
              </w:rPr>
              <w:t> </w:t>
            </w:r>
          </w:p>
        </w:tc>
        <w:tc>
          <w:tcPr>
            <w:tcW w:w="1414" w:type="dxa"/>
            <w:tcBorders>
              <w:top w:val="nil"/>
              <w:left w:val="single" w:sz="4" w:space="0" w:color="auto"/>
              <w:bottom w:val="single" w:sz="8" w:space="0" w:color="auto"/>
              <w:right w:val="single" w:sz="4"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1</w:t>
            </w:r>
          </w:p>
        </w:tc>
        <w:tc>
          <w:tcPr>
            <w:tcW w:w="1083" w:type="dxa"/>
            <w:tcBorders>
              <w:top w:val="nil"/>
              <w:left w:val="nil"/>
              <w:bottom w:val="single" w:sz="8" w:space="0" w:color="auto"/>
              <w:right w:val="single" w:sz="8" w:space="0" w:color="auto"/>
            </w:tcBorders>
            <w:shd w:val="clear" w:color="auto" w:fill="auto"/>
            <w:vAlign w:val="bottom"/>
            <w:hideMark/>
          </w:tcPr>
          <w:p w:rsidR="00EC2A52" w:rsidRPr="009263A5" w:rsidRDefault="00EC2A52" w:rsidP="00EC2A52">
            <w:pPr>
              <w:jc w:val="center"/>
              <w:rPr>
                <w:color w:val="000000"/>
                <w:sz w:val="20"/>
                <w:szCs w:val="20"/>
              </w:rPr>
            </w:pPr>
            <w:r w:rsidRPr="009263A5">
              <w:rPr>
                <w:color w:val="000000"/>
                <w:sz w:val="20"/>
                <w:szCs w:val="20"/>
              </w:rPr>
              <w:t>0.0%</w:t>
            </w:r>
          </w:p>
        </w:tc>
        <w:tc>
          <w:tcPr>
            <w:tcW w:w="1039" w:type="dxa"/>
            <w:tcBorders>
              <w:top w:val="nil"/>
              <w:left w:val="nil"/>
              <w:bottom w:val="single" w:sz="8"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Yes</w:t>
            </w:r>
          </w:p>
        </w:tc>
      </w:tr>
    </w:tbl>
    <w:p w:rsidR="00EC2A52" w:rsidRPr="009263A5" w:rsidRDefault="00EC2A52" w:rsidP="00EC2A52">
      <w:pPr>
        <w:spacing w:after="120"/>
        <w:rPr>
          <w:b/>
          <w:sz w:val="20"/>
          <w:szCs w:val="20"/>
        </w:rPr>
      </w:pPr>
    </w:p>
    <w:p w:rsidR="00EC2A52" w:rsidRPr="009263A5" w:rsidRDefault="00EC2A52" w:rsidP="00EC2A52">
      <w:pPr>
        <w:spacing w:after="120"/>
        <w:rPr>
          <w:sz w:val="20"/>
          <w:szCs w:val="20"/>
        </w:rPr>
        <w:sectPr w:rsidR="00EC2A52" w:rsidRPr="009263A5" w:rsidSect="00EC2A52">
          <w:footerReference w:type="default" r:id="rId15"/>
          <w:pgSz w:w="12240" w:h="15840"/>
          <w:pgMar w:top="1440" w:right="1440" w:bottom="1440" w:left="1440" w:header="720" w:footer="720" w:gutter="0"/>
          <w:cols w:space="720"/>
          <w:docGrid w:linePitch="360"/>
        </w:sectPr>
      </w:pPr>
      <w:r w:rsidRPr="009263A5">
        <w:rPr>
          <w:sz w:val="20"/>
          <w:szCs w:val="20"/>
          <w:vertAlign w:val="superscript"/>
        </w:rPr>
        <w:t xml:space="preserve">a </w:t>
      </w:r>
      <w:r w:rsidRPr="009263A5">
        <w:rPr>
          <w:sz w:val="20"/>
          <w:szCs w:val="20"/>
        </w:rPr>
        <w:t xml:space="preserve">Differences </w:t>
      </w:r>
      <w:r>
        <w:rPr>
          <w:sz w:val="20"/>
          <w:szCs w:val="20"/>
        </w:rPr>
        <w:t>between</w:t>
      </w:r>
      <w:r w:rsidRPr="009263A5">
        <w:rPr>
          <w:sz w:val="20"/>
          <w:szCs w:val="20"/>
        </w:rPr>
        <w:t xml:space="preserve"> our paper </w:t>
      </w:r>
      <w:r>
        <w:rPr>
          <w:sz w:val="20"/>
          <w:szCs w:val="20"/>
        </w:rPr>
        <w:t>and</w:t>
      </w:r>
      <w:r w:rsidRPr="009263A5">
        <w:rPr>
          <w:sz w:val="20"/>
          <w:szCs w:val="20"/>
        </w:rPr>
        <w:t xml:space="preserve"> Nordhaus (2013) </w:t>
      </w:r>
      <w:r>
        <w:rPr>
          <w:sz w:val="20"/>
          <w:szCs w:val="20"/>
        </w:rPr>
        <w:t>or</w:t>
      </w:r>
      <w:r w:rsidRPr="009263A5">
        <w:rPr>
          <w:sz w:val="20"/>
          <w:szCs w:val="20"/>
        </w:rPr>
        <w:t xml:space="preserve"> Tol (2014) are in bold.</w:t>
      </w:r>
    </w:p>
    <w:p w:rsidR="00EC2A52" w:rsidRPr="009263A5" w:rsidRDefault="00EC2A52" w:rsidP="00EC2A52">
      <w:pPr>
        <w:spacing w:after="120"/>
        <w:rPr>
          <w:sz w:val="20"/>
          <w:szCs w:val="20"/>
        </w:rPr>
      </w:pPr>
      <w:r w:rsidRPr="009263A5">
        <w:rPr>
          <w:b/>
          <w:sz w:val="20"/>
          <w:szCs w:val="20"/>
        </w:rPr>
        <w:lastRenderedPageBreak/>
        <w:t>Table A2.</w:t>
      </w:r>
      <w:r w:rsidRPr="009263A5">
        <w:rPr>
          <w:sz w:val="20"/>
          <w:szCs w:val="20"/>
        </w:rPr>
        <w:t xml:space="preserve"> Variable Definitions</w:t>
      </w:r>
    </w:p>
    <w:tbl>
      <w:tblPr>
        <w:tblW w:w="9680" w:type="dxa"/>
        <w:tblInd w:w="93" w:type="dxa"/>
        <w:tblLook w:val="04A0"/>
      </w:tblPr>
      <w:tblGrid>
        <w:gridCol w:w="1660"/>
        <w:gridCol w:w="8020"/>
      </w:tblGrid>
      <w:tr w:rsidR="00EC2A52" w:rsidRPr="009263A5" w:rsidTr="00EC2A52">
        <w:trPr>
          <w:trHeight w:val="315"/>
        </w:trPr>
        <w:tc>
          <w:tcPr>
            <w:tcW w:w="1660" w:type="dxa"/>
            <w:tcBorders>
              <w:top w:val="single" w:sz="8" w:space="0" w:color="auto"/>
              <w:left w:val="single" w:sz="8" w:space="0" w:color="auto"/>
              <w:bottom w:val="nil"/>
              <w:right w:val="single" w:sz="8" w:space="0" w:color="auto"/>
            </w:tcBorders>
            <w:shd w:val="clear" w:color="auto" w:fill="auto"/>
            <w:vAlign w:val="center"/>
            <w:hideMark/>
          </w:tcPr>
          <w:p w:rsidR="00EC2A52" w:rsidRPr="009263A5" w:rsidRDefault="00EC2A52" w:rsidP="00EC2A52">
            <w:pPr>
              <w:rPr>
                <w:b/>
                <w:bCs/>
                <w:color w:val="000000"/>
                <w:sz w:val="20"/>
                <w:szCs w:val="20"/>
              </w:rPr>
            </w:pPr>
            <w:r w:rsidRPr="009263A5">
              <w:rPr>
                <w:b/>
                <w:bCs/>
                <w:color w:val="000000"/>
                <w:sz w:val="20"/>
                <w:szCs w:val="20"/>
              </w:rPr>
              <w:t>Variable</w:t>
            </w:r>
          </w:p>
        </w:tc>
        <w:tc>
          <w:tcPr>
            <w:tcW w:w="8020" w:type="dxa"/>
            <w:tcBorders>
              <w:top w:val="single" w:sz="8" w:space="0" w:color="auto"/>
              <w:left w:val="nil"/>
              <w:bottom w:val="nil"/>
              <w:right w:val="single" w:sz="8" w:space="0" w:color="auto"/>
            </w:tcBorders>
            <w:shd w:val="clear" w:color="auto" w:fill="auto"/>
            <w:vAlign w:val="center"/>
            <w:hideMark/>
          </w:tcPr>
          <w:p w:rsidR="00EC2A52" w:rsidRPr="009263A5" w:rsidRDefault="00EC2A52" w:rsidP="00EC2A52">
            <w:pPr>
              <w:jc w:val="center"/>
              <w:rPr>
                <w:b/>
                <w:bCs/>
                <w:color w:val="000000"/>
                <w:sz w:val="20"/>
                <w:szCs w:val="20"/>
              </w:rPr>
            </w:pPr>
            <w:r w:rsidRPr="009263A5">
              <w:rPr>
                <w:b/>
                <w:bCs/>
                <w:color w:val="000000"/>
                <w:sz w:val="20"/>
                <w:szCs w:val="20"/>
              </w:rPr>
              <w:t>Description</w:t>
            </w:r>
          </w:p>
        </w:tc>
      </w:tr>
      <w:tr w:rsidR="00EC2A52" w:rsidRPr="009263A5" w:rsidTr="00EC2A52">
        <w:trPr>
          <w:trHeight w:val="330"/>
        </w:trPr>
        <w:tc>
          <w:tcPr>
            <w:tcW w:w="9680" w:type="dxa"/>
            <w:gridSpan w:val="2"/>
            <w:tcBorders>
              <w:top w:val="double" w:sz="6" w:space="0" w:color="auto"/>
              <w:left w:val="single" w:sz="8" w:space="0" w:color="auto"/>
              <w:bottom w:val="double" w:sz="6" w:space="0" w:color="auto"/>
              <w:right w:val="single" w:sz="8" w:space="0" w:color="auto"/>
            </w:tcBorders>
            <w:shd w:val="clear" w:color="auto" w:fill="auto"/>
            <w:vAlign w:val="center"/>
            <w:hideMark/>
          </w:tcPr>
          <w:p w:rsidR="00EC2A52" w:rsidRPr="009263A5" w:rsidRDefault="00EC2A52" w:rsidP="00EC2A52">
            <w:pPr>
              <w:rPr>
                <w:i/>
                <w:iCs/>
                <w:color w:val="000000"/>
                <w:sz w:val="20"/>
                <w:szCs w:val="20"/>
              </w:rPr>
            </w:pPr>
            <w:r w:rsidRPr="009263A5">
              <w:rPr>
                <w:i/>
                <w:iCs/>
                <w:color w:val="000000"/>
                <w:sz w:val="20"/>
                <w:szCs w:val="20"/>
              </w:rPr>
              <w:t>Damage Variables</w:t>
            </w:r>
          </w:p>
        </w:tc>
      </w:tr>
      <w:tr w:rsidR="00EC2A52" w:rsidRPr="009263A5" w:rsidTr="00EC2A52">
        <w:trPr>
          <w:trHeight w:val="315"/>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i/>
                <w:iCs/>
                <w:color w:val="000000"/>
                <w:sz w:val="20"/>
                <w:szCs w:val="20"/>
              </w:rPr>
            </w:pPr>
            <w:r w:rsidRPr="009263A5">
              <w:rPr>
                <w:i/>
                <w:iCs/>
                <w:color w:val="000000"/>
                <w:sz w:val="20"/>
                <w:szCs w:val="20"/>
              </w:rPr>
              <w:t>D_orig</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Original damage estimate (% GDP) cited by Tol (2009) and used by Nordhaus (2013)</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D_new</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Climate Damage as a % of GDP corrected for this paper</w:t>
            </w:r>
          </w:p>
        </w:tc>
      </w:tr>
      <w:tr w:rsidR="00EC2A52" w:rsidRPr="009263A5" w:rsidTr="00EC2A52">
        <w:trPr>
          <w:trHeight w:val="315"/>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damage</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Non-catastrophic damages (D_new with catastrophic damages removed)</w:t>
            </w:r>
          </w:p>
        </w:tc>
      </w:tr>
      <w:tr w:rsidR="00EC2A52" w:rsidRPr="009263A5" w:rsidTr="00EC2A52">
        <w:trPr>
          <w:trHeight w:val="330"/>
        </w:trPr>
        <w:tc>
          <w:tcPr>
            <w:tcW w:w="9680" w:type="dxa"/>
            <w:gridSpan w:val="2"/>
            <w:tcBorders>
              <w:top w:val="double" w:sz="6" w:space="0" w:color="auto"/>
              <w:left w:val="single" w:sz="8" w:space="0" w:color="auto"/>
              <w:bottom w:val="double" w:sz="6" w:space="0" w:color="auto"/>
              <w:right w:val="single" w:sz="8" w:space="0" w:color="auto"/>
            </w:tcBorders>
            <w:shd w:val="clear" w:color="auto" w:fill="auto"/>
            <w:vAlign w:val="center"/>
            <w:hideMark/>
          </w:tcPr>
          <w:p w:rsidR="00EC2A52" w:rsidRPr="009263A5" w:rsidRDefault="00EC2A52" w:rsidP="00EC2A52">
            <w:pPr>
              <w:rPr>
                <w:i/>
                <w:iCs/>
                <w:color w:val="000000"/>
                <w:sz w:val="20"/>
                <w:szCs w:val="20"/>
              </w:rPr>
            </w:pPr>
            <w:r w:rsidRPr="009263A5">
              <w:rPr>
                <w:i/>
                <w:iCs/>
                <w:color w:val="000000"/>
                <w:sz w:val="20"/>
                <w:szCs w:val="20"/>
              </w:rPr>
              <w:t>Factual Causes -Temperature Variables</w:t>
            </w:r>
          </w:p>
        </w:tc>
      </w:tr>
      <w:tr w:rsidR="00EC2A52" w:rsidRPr="009263A5" w:rsidTr="00EC2A52">
        <w:trPr>
          <w:trHeight w:val="315"/>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T</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Original temperature change (°C) cited by Tol (2009) and used by Nordhaus (2013)</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T2</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i/>
                <w:iCs/>
                <w:color w:val="000000"/>
                <w:sz w:val="20"/>
                <w:szCs w:val="20"/>
              </w:rPr>
              <w:t xml:space="preserve">T </w:t>
            </w:r>
            <w:r w:rsidRPr="009263A5">
              <w:rPr>
                <w:color w:val="000000"/>
                <w:sz w:val="20"/>
                <w:szCs w:val="20"/>
              </w:rPr>
              <w:t>squared</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T_new</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Increase in average surface temperature (°C) corrected for this paper</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T2_new</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i/>
                <w:iCs/>
                <w:color w:val="000000"/>
                <w:sz w:val="20"/>
                <w:szCs w:val="20"/>
              </w:rPr>
              <w:t xml:space="preserve">T_new </w:t>
            </w:r>
            <w:r w:rsidRPr="009263A5">
              <w:rPr>
                <w:color w:val="000000"/>
                <w:sz w:val="20"/>
                <w:szCs w:val="20"/>
              </w:rPr>
              <w:t>squared</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Pr>
                <w:color w:val="000000"/>
                <w:sz w:val="20"/>
                <w:szCs w:val="20"/>
              </w:rPr>
              <w:t>t</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Increase in average surface temperature (°C) adjusted for study's base period</w:t>
            </w:r>
          </w:p>
        </w:tc>
      </w:tr>
      <w:tr w:rsidR="00EC2A52" w:rsidRPr="009263A5" w:rsidTr="00EC2A52">
        <w:trPr>
          <w:trHeight w:val="315"/>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t2</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i/>
                <w:iCs/>
                <w:color w:val="000000"/>
                <w:sz w:val="20"/>
                <w:szCs w:val="20"/>
              </w:rPr>
              <w:t xml:space="preserve">t </w:t>
            </w:r>
            <w:r w:rsidRPr="009263A5">
              <w:rPr>
                <w:color w:val="000000"/>
                <w:sz w:val="20"/>
                <w:szCs w:val="20"/>
              </w:rPr>
              <w:t>squared</w:t>
            </w:r>
          </w:p>
        </w:tc>
      </w:tr>
      <w:tr w:rsidR="00EC2A52" w:rsidRPr="009263A5" w:rsidTr="00EC2A52">
        <w:trPr>
          <w:trHeight w:val="330"/>
        </w:trPr>
        <w:tc>
          <w:tcPr>
            <w:tcW w:w="9680" w:type="dxa"/>
            <w:gridSpan w:val="2"/>
            <w:tcBorders>
              <w:top w:val="double" w:sz="6" w:space="0" w:color="auto"/>
              <w:left w:val="single" w:sz="8" w:space="0" w:color="auto"/>
              <w:bottom w:val="double" w:sz="6" w:space="0" w:color="auto"/>
              <w:right w:val="single" w:sz="8" w:space="0" w:color="auto"/>
            </w:tcBorders>
            <w:shd w:val="clear" w:color="auto" w:fill="auto"/>
            <w:vAlign w:val="center"/>
            <w:hideMark/>
          </w:tcPr>
          <w:p w:rsidR="00EC2A52" w:rsidRPr="009263A5" w:rsidRDefault="00EC2A52" w:rsidP="00EC2A52">
            <w:pPr>
              <w:rPr>
                <w:i/>
                <w:iCs/>
                <w:color w:val="000000"/>
                <w:sz w:val="20"/>
                <w:szCs w:val="20"/>
              </w:rPr>
            </w:pPr>
            <w:r w:rsidRPr="009263A5">
              <w:rPr>
                <w:i/>
                <w:iCs/>
                <w:color w:val="000000"/>
                <w:sz w:val="20"/>
                <w:szCs w:val="20"/>
              </w:rPr>
              <w:t>Methodological Causes</w:t>
            </w:r>
          </w:p>
        </w:tc>
      </w:tr>
      <w:tr w:rsidR="00EC2A52" w:rsidRPr="009263A5" w:rsidTr="00EC2A52">
        <w:trPr>
          <w:trHeight w:val="315"/>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cat</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Dummy equal to 1 if estimate includes catastrophic damages</w:t>
            </w:r>
          </w:p>
        </w:tc>
      </w:tr>
      <w:tr w:rsidR="00EC2A52" w:rsidRPr="009263A5" w:rsidTr="00EC2A52">
        <w:trPr>
          <w:trHeight w:val="35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cross</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Dummy equal to 1 if study uses cross-sectional data without country fixed effects</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current</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Dummy equal to 1 if study measures temperature change relative to current temperature</w:t>
            </w:r>
          </w:p>
        </w:tc>
      </w:tr>
      <w:tr w:rsidR="00EC2A52" w:rsidRPr="009263A5" w:rsidTr="00EC2A52">
        <w:trPr>
          <w:trHeight w:val="6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Eco_Market</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Dummy equal to 1 if estimate includes the ecosystem services/non-market effects on market production sector</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Grey</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Dummy equal to 1 if study is drawn from the grey literature</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Market</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Dummy equal to 1 if estimate includes only market damages</w:t>
            </w:r>
          </w:p>
        </w:tc>
      </w:tr>
      <w:tr w:rsidR="00EC2A52" w:rsidRPr="009263A5" w:rsidTr="00EC2A52">
        <w:trPr>
          <w:trHeight w:val="6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prod</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Dummy equal to 1 if estimate captures the impacts of climate change on GDP through economic productivity</w:t>
            </w:r>
          </w:p>
        </w:tc>
      </w:tr>
      <w:tr w:rsidR="00EC2A52" w:rsidRPr="009263A5" w:rsidTr="00EC2A52">
        <w:trPr>
          <w:trHeight w:val="315"/>
        </w:trPr>
        <w:tc>
          <w:tcPr>
            <w:tcW w:w="1660" w:type="dxa"/>
            <w:tcBorders>
              <w:top w:val="nil"/>
              <w:left w:val="single" w:sz="8" w:space="0" w:color="auto"/>
              <w:bottom w:val="nil"/>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Time</w:t>
            </w:r>
          </w:p>
        </w:tc>
        <w:tc>
          <w:tcPr>
            <w:tcW w:w="8020" w:type="dxa"/>
            <w:tcBorders>
              <w:top w:val="nil"/>
              <w:left w:val="nil"/>
              <w:bottom w:val="nil"/>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Year published minus 1994</w:t>
            </w:r>
          </w:p>
        </w:tc>
      </w:tr>
      <w:tr w:rsidR="00EC2A52" w:rsidRPr="009263A5" w:rsidTr="00EC2A52">
        <w:trPr>
          <w:trHeight w:val="330"/>
        </w:trPr>
        <w:tc>
          <w:tcPr>
            <w:tcW w:w="9680" w:type="dxa"/>
            <w:gridSpan w:val="2"/>
            <w:tcBorders>
              <w:top w:val="double" w:sz="6" w:space="0" w:color="auto"/>
              <w:left w:val="single" w:sz="8" w:space="0" w:color="auto"/>
              <w:bottom w:val="double" w:sz="6" w:space="0" w:color="auto"/>
              <w:right w:val="single" w:sz="8" w:space="0" w:color="auto"/>
            </w:tcBorders>
            <w:shd w:val="clear" w:color="auto" w:fill="auto"/>
            <w:vAlign w:val="center"/>
            <w:hideMark/>
          </w:tcPr>
          <w:p w:rsidR="00EC2A52" w:rsidRPr="009263A5" w:rsidRDefault="00EC2A52" w:rsidP="00EC2A52">
            <w:pPr>
              <w:rPr>
                <w:i/>
                <w:iCs/>
                <w:color w:val="000000"/>
                <w:sz w:val="20"/>
                <w:szCs w:val="20"/>
              </w:rPr>
            </w:pPr>
            <w:r w:rsidRPr="009263A5">
              <w:rPr>
                <w:i/>
                <w:iCs/>
                <w:color w:val="000000"/>
                <w:sz w:val="20"/>
                <w:szCs w:val="20"/>
              </w:rPr>
              <w:t>Interaction Variables</w:t>
            </w:r>
          </w:p>
        </w:tc>
      </w:tr>
      <w:tr w:rsidR="00EC2A52" w:rsidRPr="009263A5" w:rsidTr="00EC2A52">
        <w:trPr>
          <w:trHeight w:val="315"/>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i/>
                <w:iCs/>
                <w:color w:val="000000"/>
                <w:sz w:val="20"/>
                <w:szCs w:val="20"/>
              </w:rPr>
            </w:pPr>
            <w:r w:rsidRPr="009263A5">
              <w:rPr>
                <w:i/>
                <w:iCs/>
                <w:color w:val="000000"/>
                <w:sz w:val="20"/>
                <w:szCs w:val="20"/>
              </w:rPr>
              <w:t>mkt_t</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xml:space="preserve">Interaction of </w:t>
            </w:r>
            <w:r w:rsidRPr="009263A5">
              <w:rPr>
                <w:i/>
                <w:iCs/>
                <w:color w:val="000000"/>
                <w:sz w:val="20"/>
                <w:szCs w:val="20"/>
              </w:rPr>
              <w:t>Market</w:t>
            </w:r>
            <w:r w:rsidRPr="009263A5">
              <w:rPr>
                <w:color w:val="000000"/>
                <w:sz w:val="20"/>
                <w:szCs w:val="20"/>
              </w:rPr>
              <w:t xml:space="preserve"> with t</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mkt_t2</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xml:space="preserve">Interaction of </w:t>
            </w:r>
            <w:r w:rsidRPr="009263A5">
              <w:rPr>
                <w:i/>
                <w:iCs/>
                <w:color w:val="000000"/>
                <w:sz w:val="20"/>
                <w:szCs w:val="20"/>
              </w:rPr>
              <w:t>Market</w:t>
            </w:r>
            <w:r w:rsidRPr="009263A5">
              <w:rPr>
                <w:color w:val="000000"/>
                <w:sz w:val="20"/>
                <w:szCs w:val="20"/>
              </w:rPr>
              <w:t xml:space="preserve"> with t2</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cat_t2</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xml:space="preserve">Interaction of </w:t>
            </w:r>
            <w:r w:rsidRPr="009263A5">
              <w:rPr>
                <w:i/>
                <w:iCs/>
                <w:color w:val="000000"/>
                <w:sz w:val="20"/>
                <w:szCs w:val="20"/>
              </w:rPr>
              <w:t>cat</w:t>
            </w:r>
            <w:r w:rsidRPr="009263A5">
              <w:rPr>
                <w:color w:val="000000"/>
                <w:sz w:val="20"/>
                <w:szCs w:val="20"/>
              </w:rPr>
              <w:t xml:space="preserve"> with t2</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prod_t</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xml:space="preserve">Interaction of </w:t>
            </w:r>
            <w:r w:rsidRPr="009263A5">
              <w:rPr>
                <w:i/>
                <w:iCs/>
                <w:color w:val="000000"/>
                <w:sz w:val="20"/>
                <w:szCs w:val="20"/>
              </w:rPr>
              <w:t xml:space="preserve">prod </w:t>
            </w:r>
            <w:r w:rsidRPr="009263A5">
              <w:rPr>
                <w:color w:val="000000"/>
                <w:sz w:val="20"/>
                <w:szCs w:val="20"/>
              </w:rPr>
              <w:t>with t</w:t>
            </w:r>
          </w:p>
        </w:tc>
      </w:tr>
      <w:tr w:rsidR="00EC2A52" w:rsidRPr="009263A5" w:rsidTr="00EC2A52">
        <w:trPr>
          <w:trHeight w:val="315"/>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prod_t2</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xml:space="preserve">Interaction of </w:t>
            </w:r>
            <w:r w:rsidRPr="009263A5">
              <w:rPr>
                <w:i/>
                <w:iCs/>
                <w:color w:val="000000"/>
                <w:sz w:val="20"/>
                <w:szCs w:val="20"/>
              </w:rPr>
              <w:t>prod</w:t>
            </w:r>
            <w:r w:rsidRPr="009263A5">
              <w:rPr>
                <w:color w:val="000000"/>
                <w:sz w:val="20"/>
                <w:szCs w:val="20"/>
              </w:rPr>
              <w:t xml:space="preserve"> with t2</w:t>
            </w:r>
          </w:p>
        </w:tc>
      </w:tr>
      <w:tr w:rsidR="00EC2A52" w:rsidRPr="009263A5" w:rsidTr="00EC2A52">
        <w:trPr>
          <w:trHeight w:val="330"/>
        </w:trPr>
        <w:tc>
          <w:tcPr>
            <w:tcW w:w="9680" w:type="dxa"/>
            <w:gridSpan w:val="2"/>
            <w:tcBorders>
              <w:top w:val="double" w:sz="6" w:space="0" w:color="auto"/>
              <w:left w:val="single" w:sz="8" w:space="0" w:color="auto"/>
              <w:bottom w:val="double" w:sz="6" w:space="0" w:color="auto"/>
              <w:right w:val="single" w:sz="8" w:space="0" w:color="auto"/>
            </w:tcBorders>
            <w:shd w:val="clear" w:color="auto" w:fill="auto"/>
            <w:vAlign w:val="center"/>
            <w:hideMark/>
          </w:tcPr>
          <w:p w:rsidR="00EC2A52" w:rsidRPr="009263A5" w:rsidRDefault="00EC2A52" w:rsidP="00EC2A52">
            <w:pPr>
              <w:rPr>
                <w:i/>
                <w:iCs/>
                <w:color w:val="000000"/>
                <w:sz w:val="20"/>
                <w:szCs w:val="20"/>
              </w:rPr>
            </w:pPr>
            <w:r w:rsidRPr="009263A5">
              <w:rPr>
                <w:i/>
                <w:iCs/>
                <w:color w:val="000000"/>
                <w:sz w:val="20"/>
                <w:szCs w:val="20"/>
              </w:rPr>
              <w:t>Cluster Groups</w:t>
            </w:r>
          </w:p>
        </w:tc>
      </w:tr>
      <w:tr w:rsidR="00EC2A52" w:rsidRPr="009263A5" w:rsidTr="00EC2A52">
        <w:trPr>
          <w:trHeight w:val="315"/>
        </w:trPr>
        <w:tc>
          <w:tcPr>
            <w:tcW w:w="1660"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author</w:t>
            </w:r>
          </w:p>
        </w:tc>
        <w:tc>
          <w:tcPr>
            <w:tcW w:w="8020" w:type="dxa"/>
            <w:tcBorders>
              <w:top w:val="single" w:sz="4" w:space="0" w:color="auto"/>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Primary author of study</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method</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Estimation method</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model</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Estimation model</w:t>
            </w:r>
          </w:p>
        </w:tc>
      </w:tr>
      <w:tr w:rsidR="00EC2A52" w:rsidRPr="009263A5" w:rsidTr="00EC2A52">
        <w:trPr>
          <w:trHeight w:val="300"/>
        </w:trPr>
        <w:tc>
          <w:tcPr>
            <w:tcW w:w="1660" w:type="dxa"/>
            <w:tcBorders>
              <w:top w:val="nil"/>
              <w:left w:val="single" w:sz="8" w:space="0" w:color="auto"/>
              <w:bottom w:val="single" w:sz="4"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model2</w:t>
            </w:r>
          </w:p>
        </w:tc>
        <w:tc>
          <w:tcPr>
            <w:tcW w:w="8020" w:type="dxa"/>
            <w:tcBorders>
              <w:top w:val="nil"/>
              <w:left w:val="nil"/>
              <w:bottom w:val="single" w:sz="4"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 xml:space="preserve">Interaction of </w:t>
            </w:r>
            <w:r w:rsidRPr="009263A5">
              <w:rPr>
                <w:i/>
                <w:iCs/>
                <w:color w:val="000000"/>
                <w:sz w:val="20"/>
                <w:szCs w:val="20"/>
              </w:rPr>
              <w:t xml:space="preserve">author </w:t>
            </w:r>
            <w:r w:rsidRPr="009263A5">
              <w:rPr>
                <w:color w:val="000000"/>
                <w:sz w:val="20"/>
                <w:szCs w:val="20"/>
              </w:rPr>
              <w:t xml:space="preserve">and </w:t>
            </w:r>
            <w:r w:rsidRPr="009263A5">
              <w:rPr>
                <w:i/>
                <w:iCs/>
                <w:color w:val="000000"/>
                <w:sz w:val="20"/>
                <w:szCs w:val="20"/>
              </w:rPr>
              <w:t>method</w:t>
            </w:r>
          </w:p>
        </w:tc>
      </w:tr>
      <w:tr w:rsidR="00EC2A52" w:rsidRPr="009263A5" w:rsidTr="00EC2A52">
        <w:trPr>
          <w:trHeight w:val="525"/>
        </w:trPr>
        <w:tc>
          <w:tcPr>
            <w:tcW w:w="1660" w:type="dxa"/>
            <w:tcBorders>
              <w:top w:val="nil"/>
              <w:left w:val="single" w:sz="8" w:space="0" w:color="auto"/>
              <w:bottom w:val="single" w:sz="8" w:space="0" w:color="auto"/>
              <w:right w:val="single" w:sz="8" w:space="0" w:color="auto"/>
            </w:tcBorders>
            <w:shd w:val="clear" w:color="auto" w:fill="auto"/>
            <w:vAlign w:val="center"/>
            <w:hideMark/>
          </w:tcPr>
          <w:p w:rsidR="00EC2A52" w:rsidRPr="009263A5" w:rsidRDefault="00EC2A52" w:rsidP="00EC2A52">
            <w:pPr>
              <w:rPr>
                <w:color w:val="000000"/>
                <w:sz w:val="20"/>
                <w:szCs w:val="20"/>
              </w:rPr>
            </w:pPr>
            <w:r w:rsidRPr="009263A5">
              <w:rPr>
                <w:color w:val="000000"/>
                <w:sz w:val="20"/>
                <w:szCs w:val="20"/>
              </w:rPr>
              <w:t>Primary_model</w:t>
            </w:r>
          </w:p>
        </w:tc>
        <w:tc>
          <w:tcPr>
            <w:tcW w:w="8020" w:type="dxa"/>
            <w:tcBorders>
              <w:top w:val="nil"/>
              <w:left w:val="nil"/>
              <w:bottom w:val="single" w:sz="8" w:space="0" w:color="auto"/>
              <w:right w:val="single" w:sz="8" w:space="0" w:color="auto"/>
            </w:tcBorders>
            <w:shd w:val="clear" w:color="auto" w:fill="auto"/>
            <w:vAlign w:val="center"/>
            <w:hideMark/>
          </w:tcPr>
          <w:p w:rsidR="00EC2A52" w:rsidRPr="009263A5" w:rsidRDefault="00EC2A52" w:rsidP="00EC2A52">
            <w:pPr>
              <w:jc w:val="center"/>
              <w:rPr>
                <w:color w:val="000000"/>
                <w:sz w:val="20"/>
                <w:szCs w:val="20"/>
              </w:rPr>
            </w:pPr>
            <w:r w:rsidRPr="009263A5">
              <w:rPr>
                <w:color w:val="000000"/>
                <w:sz w:val="20"/>
                <w:szCs w:val="20"/>
              </w:rPr>
              <w:t>Original classification for model before regroupings to ensure tractability of the Breu</w:t>
            </w:r>
            <w:r>
              <w:rPr>
                <w:color w:val="000000"/>
                <w:sz w:val="20"/>
                <w:szCs w:val="20"/>
              </w:rPr>
              <w:t>s</w:t>
            </w:r>
            <w:r w:rsidRPr="009263A5">
              <w:rPr>
                <w:color w:val="000000"/>
                <w:sz w:val="20"/>
                <w:szCs w:val="20"/>
              </w:rPr>
              <w:t>ch-Pagan test of independence</w:t>
            </w:r>
          </w:p>
        </w:tc>
      </w:tr>
    </w:tbl>
    <w:p w:rsidR="00EC2A52" w:rsidRDefault="00EC2A52" w:rsidP="00EC2A52">
      <w:pPr>
        <w:rPr>
          <w:b/>
          <w:i/>
          <w:sz w:val="20"/>
          <w:szCs w:val="20"/>
        </w:rPr>
      </w:pPr>
    </w:p>
    <w:p w:rsidR="00EC2A52" w:rsidRDefault="00EC2A52">
      <w:pPr>
        <w:spacing w:after="200" w:line="276" w:lineRule="auto"/>
        <w:rPr>
          <w:b/>
          <w:i/>
          <w:sz w:val="20"/>
          <w:szCs w:val="20"/>
        </w:rPr>
      </w:pPr>
      <w:r>
        <w:rPr>
          <w:b/>
          <w:i/>
          <w:sz w:val="20"/>
          <w:szCs w:val="20"/>
        </w:rPr>
        <w:br w:type="page"/>
      </w:r>
    </w:p>
    <w:p w:rsidR="00EC2A52" w:rsidRPr="00CC4901" w:rsidRDefault="00EC2A52" w:rsidP="00EC2A52">
      <w:pPr>
        <w:rPr>
          <w:b/>
          <w:i/>
          <w:sz w:val="20"/>
          <w:szCs w:val="20"/>
        </w:rPr>
      </w:pPr>
      <w:r w:rsidRPr="00CC4901">
        <w:rPr>
          <w:b/>
          <w:i/>
          <w:sz w:val="20"/>
          <w:szCs w:val="20"/>
        </w:rPr>
        <w:lastRenderedPageBreak/>
        <w:t>Table B1. P-values of Cameron &amp; Trivedi's decomposition of IM-test for Preferred Specification using D_new, by Set of Variables and Dataset</w:t>
      </w:r>
    </w:p>
    <w:tbl>
      <w:tblPr>
        <w:tblW w:w="6360" w:type="dxa"/>
        <w:tblInd w:w="93" w:type="dxa"/>
        <w:tblLook w:val="04A0"/>
      </w:tblPr>
      <w:tblGrid>
        <w:gridCol w:w="1882"/>
        <w:gridCol w:w="1152"/>
        <w:gridCol w:w="1152"/>
        <w:gridCol w:w="1152"/>
        <w:gridCol w:w="1152"/>
      </w:tblGrid>
      <w:tr w:rsidR="00EC2A52" w:rsidRPr="00C61F3A" w:rsidTr="00EC2A52">
        <w:trPr>
          <w:trHeight w:val="600"/>
        </w:trPr>
        <w:tc>
          <w:tcPr>
            <w:tcW w:w="1880" w:type="dxa"/>
            <w:vMerge w:val="restart"/>
            <w:tcBorders>
              <w:top w:val="single" w:sz="8" w:space="0" w:color="auto"/>
              <w:left w:val="single" w:sz="8" w:space="0" w:color="auto"/>
              <w:bottom w:val="double" w:sz="6" w:space="0" w:color="000000"/>
              <w:right w:val="nil"/>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Dataset</w:t>
            </w:r>
          </w:p>
        </w:tc>
        <w:tc>
          <w:tcPr>
            <w:tcW w:w="2240"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Damages for Temp. Increases≤4°C</w:t>
            </w:r>
          </w:p>
        </w:tc>
        <w:tc>
          <w:tcPr>
            <w:tcW w:w="2240"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Damages for All Temp. Increases</w:t>
            </w:r>
          </w:p>
        </w:tc>
      </w:tr>
      <w:tr w:rsidR="00EC2A52" w:rsidRPr="00C61F3A" w:rsidTr="00EC2A52">
        <w:trPr>
          <w:trHeight w:val="600"/>
        </w:trPr>
        <w:tc>
          <w:tcPr>
            <w:tcW w:w="1880" w:type="dxa"/>
            <w:vMerge/>
            <w:tcBorders>
              <w:top w:val="single" w:sz="8" w:space="0" w:color="auto"/>
              <w:left w:val="single" w:sz="8" w:space="0" w:color="auto"/>
              <w:bottom w:val="double" w:sz="6" w:space="0" w:color="000000"/>
              <w:right w:val="nil"/>
            </w:tcBorders>
            <w:vAlign w:val="center"/>
            <w:hideMark/>
          </w:tcPr>
          <w:p w:rsidR="00EC2A52" w:rsidRPr="00C61F3A" w:rsidRDefault="00EC2A52" w:rsidP="00EC2A52">
            <w:pPr>
              <w:rPr>
                <w:rFonts w:ascii="Calibri" w:hAnsi="Calibri"/>
                <w:color w:val="000000"/>
              </w:rPr>
            </w:pPr>
          </w:p>
        </w:tc>
        <w:tc>
          <w:tcPr>
            <w:tcW w:w="1120" w:type="dxa"/>
            <w:tcBorders>
              <w:top w:val="nil"/>
              <w:left w:val="single" w:sz="8" w:space="0" w:color="auto"/>
              <w:bottom w:val="double" w:sz="6" w:space="0" w:color="auto"/>
              <w:right w:val="single" w:sz="4"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Include Duplicates</w:t>
            </w:r>
          </w:p>
        </w:tc>
        <w:tc>
          <w:tcPr>
            <w:tcW w:w="1120" w:type="dxa"/>
            <w:tcBorders>
              <w:top w:val="nil"/>
              <w:left w:val="nil"/>
              <w:bottom w:val="double" w:sz="6" w:space="0" w:color="auto"/>
              <w:right w:val="single" w:sz="8"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Exclude Duplicates</w:t>
            </w:r>
          </w:p>
        </w:tc>
        <w:tc>
          <w:tcPr>
            <w:tcW w:w="1120" w:type="dxa"/>
            <w:tcBorders>
              <w:top w:val="nil"/>
              <w:left w:val="nil"/>
              <w:bottom w:val="double" w:sz="6" w:space="0" w:color="auto"/>
              <w:right w:val="single" w:sz="4"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Include Duplicates</w:t>
            </w:r>
          </w:p>
        </w:tc>
        <w:tc>
          <w:tcPr>
            <w:tcW w:w="1120" w:type="dxa"/>
            <w:tcBorders>
              <w:top w:val="nil"/>
              <w:left w:val="nil"/>
              <w:bottom w:val="double" w:sz="6" w:space="0" w:color="auto"/>
              <w:right w:val="single" w:sz="8"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Exclude Duplicates</w:t>
            </w:r>
          </w:p>
        </w:tc>
      </w:tr>
      <w:tr w:rsidR="00EC2A52" w:rsidRPr="00C61F3A" w:rsidTr="00EC2A52">
        <w:trPr>
          <w:trHeight w:val="300"/>
        </w:trPr>
        <w:tc>
          <w:tcPr>
            <w:tcW w:w="6360" w:type="dxa"/>
            <w:gridSpan w:val="5"/>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2D03A9" w:rsidRDefault="00EC2A52" w:rsidP="00EC2A52">
            <w:pPr>
              <w:rPr>
                <w:rFonts w:ascii="Calibri" w:hAnsi="Calibri"/>
                <w:color w:val="000000"/>
                <w:vertAlign w:val="superscript"/>
              </w:rPr>
            </w:pPr>
            <w:r>
              <w:rPr>
                <w:rFonts w:ascii="Calibri" w:hAnsi="Calibri"/>
                <w:color w:val="000000"/>
                <w:sz w:val="22"/>
                <w:szCs w:val="22"/>
              </w:rPr>
              <w:t>Shorter Variable S</w:t>
            </w:r>
            <w:r w:rsidRPr="00C61F3A">
              <w:rPr>
                <w:rFonts w:ascii="Calibri" w:hAnsi="Calibri"/>
                <w:color w:val="000000"/>
                <w:sz w:val="22"/>
                <w:szCs w:val="22"/>
              </w:rPr>
              <w:t>et</w:t>
            </w:r>
            <w:r>
              <w:rPr>
                <w:rFonts w:ascii="Calibri" w:hAnsi="Calibri"/>
                <w:color w:val="000000"/>
                <w:sz w:val="22"/>
                <w:szCs w:val="22"/>
                <w:vertAlign w:val="superscript"/>
              </w:rPr>
              <w:t>a</w:t>
            </w:r>
          </w:p>
        </w:tc>
      </w:tr>
      <w:tr w:rsidR="00EC2A52" w:rsidRPr="00C61F3A" w:rsidTr="00EC2A52">
        <w:trPr>
          <w:trHeight w:val="300"/>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Heteroskedasticity</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0.460</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0.123</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0.000</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0.002</w:t>
            </w:r>
          </w:p>
        </w:tc>
      </w:tr>
      <w:tr w:rsidR="00EC2A52" w:rsidRPr="00C61F3A" w:rsidTr="00EC2A52">
        <w:trPr>
          <w:trHeight w:val="300"/>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Skewness</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0.033</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0.104</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0.146</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0.289</w:t>
            </w:r>
          </w:p>
        </w:tc>
      </w:tr>
      <w:tr w:rsidR="00EC2A52" w:rsidRPr="00C61F3A" w:rsidTr="00EC2A52">
        <w:trPr>
          <w:trHeight w:val="300"/>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Kurtosis</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0.174</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0.360</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0.147</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0.159</w:t>
            </w:r>
          </w:p>
        </w:tc>
      </w:tr>
      <w:tr w:rsidR="00EC2A52" w:rsidRPr="00C61F3A" w:rsidTr="00EC2A52">
        <w:trPr>
          <w:trHeight w:val="300"/>
        </w:trPr>
        <w:tc>
          <w:tcPr>
            <w:tcW w:w="1880" w:type="dxa"/>
            <w:tcBorders>
              <w:top w:val="nil"/>
              <w:left w:val="single" w:sz="8" w:space="0" w:color="auto"/>
              <w:bottom w:val="nil"/>
              <w:right w:val="single" w:sz="8" w:space="0" w:color="auto"/>
            </w:tcBorders>
            <w:shd w:val="clear" w:color="auto" w:fill="auto"/>
            <w:noWrap/>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Total</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0.093</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0.073</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0.000</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0.003</w:t>
            </w:r>
          </w:p>
        </w:tc>
      </w:tr>
      <w:tr w:rsidR="00EC2A52" w:rsidRPr="00C61F3A" w:rsidTr="00EC2A52">
        <w:trPr>
          <w:trHeight w:val="300"/>
        </w:trPr>
        <w:tc>
          <w:tcPr>
            <w:tcW w:w="6360" w:type="dxa"/>
            <w:gridSpan w:val="5"/>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2D03A9" w:rsidRDefault="00EC2A52" w:rsidP="00EC2A52">
            <w:pPr>
              <w:rPr>
                <w:rFonts w:ascii="Calibri" w:hAnsi="Calibri"/>
                <w:color w:val="000000"/>
                <w:vertAlign w:val="superscript"/>
              </w:rPr>
            </w:pPr>
            <w:r>
              <w:rPr>
                <w:rFonts w:ascii="Calibri" w:hAnsi="Calibri"/>
                <w:color w:val="000000"/>
                <w:sz w:val="22"/>
                <w:szCs w:val="22"/>
              </w:rPr>
              <w:t>Extended Variable S</w:t>
            </w:r>
            <w:r w:rsidRPr="00C61F3A">
              <w:rPr>
                <w:rFonts w:ascii="Calibri" w:hAnsi="Calibri"/>
                <w:color w:val="000000"/>
                <w:sz w:val="22"/>
                <w:szCs w:val="22"/>
              </w:rPr>
              <w:t>et</w:t>
            </w:r>
            <w:r>
              <w:rPr>
                <w:rFonts w:ascii="Calibri" w:hAnsi="Calibri"/>
                <w:color w:val="000000"/>
                <w:sz w:val="22"/>
                <w:szCs w:val="22"/>
                <w:vertAlign w:val="superscript"/>
              </w:rPr>
              <w:t>b</w:t>
            </w:r>
          </w:p>
        </w:tc>
      </w:tr>
      <w:tr w:rsidR="00EC2A52" w:rsidRPr="00C61F3A" w:rsidTr="00EC2A52">
        <w:trPr>
          <w:trHeight w:val="300"/>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Heteroskedasticity</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0.650</w:t>
            </w:r>
          </w:p>
        </w:tc>
        <w:tc>
          <w:tcPr>
            <w:tcW w:w="1120" w:type="dxa"/>
            <w:tcBorders>
              <w:top w:val="nil"/>
              <w:left w:val="nil"/>
              <w:bottom w:val="single" w:sz="4" w:space="0" w:color="auto"/>
              <w:right w:val="nil"/>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0.289</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0.000</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0.013</w:t>
            </w:r>
          </w:p>
        </w:tc>
      </w:tr>
      <w:tr w:rsidR="00EC2A52" w:rsidRPr="00C61F3A" w:rsidTr="00EC2A52">
        <w:trPr>
          <w:trHeight w:val="300"/>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Skewness</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0.077</w:t>
            </w:r>
          </w:p>
        </w:tc>
        <w:tc>
          <w:tcPr>
            <w:tcW w:w="1120" w:type="dxa"/>
            <w:tcBorders>
              <w:top w:val="nil"/>
              <w:left w:val="nil"/>
              <w:bottom w:val="single" w:sz="4" w:space="0" w:color="auto"/>
              <w:right w:val="nil"/>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0.314</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0.343</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0.599</w:t>
            </w:r>
          </w:p>
        </w:tc>
      </w:tr>
      <w:tr w:rsidR="00EC2A52" w:rsidRPr="00C61F3A" w:rsidTr="00EC2A52">
        <w:trPr>
          <w:trHeight w:val="300"/>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Kurtosis</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0.272</w:t>
            </w:r>
          </w:p>
        </w:tc>
        <w:tc>
          <w:tcPr>
            <w:tcW w:w="1120" w:type="dxa"/>
            <w:tcBorders>
              <w:top w:val="nil"/>
              <w:left w:val="nil"/>
              <w:bottom w:val="single" w:sz="4" w:space="0" w:color="auto"/>
              <w:right w:val="nil"/>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0.249</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0.148</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0.169</w:t>
            </w:r>
          </w:p>
        </w:tc>
      </w:tr>
      <w:tr w:rsidR="00EC2A52" w:rsidRPr="00C61F3A" w:rsidTr="00EC2A52">
        <w:trPr>
          <w:trHeight w:val="300"/>
        </w:trPr>
        <w:tc>
          <w:tcPr>
            <w:tcW w:w="1880" w:type="dxa"/>
            <w:tcBorders>
              <w:top w:val="nil"/>
              <w:left w:val="single" w:sz="8" w:space="0" w:color="auto"/>
              <w:bottom w:val="single" w:sz="8" w:space="0" w:color="auto"/>
              <w:right w:val="single" w:sz="8" w:space="0" w:color="auto"/>
            </w:tcBorders>
            <w:shd w:val="clear" w:color="auto" w:fill="auto"/>
            <w:noWrap/>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Total</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0.273</w:t>
            </w:r>
          </w:p>
        </w:tc>
        <w:tc>
          <w:tcPr>
            <w:tcW w:w="1120" w:type="dxa"/>
            <w:tcBorders>
              <w:top w:val="nil"/>
              <w:left w:val="nil"/>
              <w:bottom w:val="single" w:sz="8" w:space="0" w:color="auto"/>
              <w:right w:val="nil"/>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0.259</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0.001</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0.032</w:t>
            </w:r>
          </w:p>
        </w:tc>
      </w:tr>
    </w:tbl>
    <w:p w:rsidR="00EC2A52" w:rsidRPr="009263A5" w:rsidRDefault="00EC2A52" w:rsidP="00EC2A52">
      <w:pPr>
        <w:rPr>
          <w:sz w:val="20"/>
          <w:szCs w:val="20"/>
        </w:rPr>
      </w:pPr>
    </w:p>
    <w:p w:rsidR="00EC2A52" w:rsidRPr="009263A5" w:rsidRDefault="00EC2A52" w:rsidP="00EC2A52">
      <w:pPr>
        <w:spacing w:after="120"/>
        <w:jc w:val="both"/>
        <w:rPr>
          <w:sz w:val="20"/>
          <w:szCs w:val="20"/>
        </w:rPr>
      </w:pPr>
      <w:r w:rsidRPr="009263A5">
        <w:rPr>
          <w:sz w:val="20"/>
          <w:szCs w:val="20"/>
          <w:vertAlign w:val="superscript"/>
        </w:rPr>
        <w:t xml:space="preserve">a </w:t>
      </w:r>
      <w:r w:rsidRPr="009263A5">
        <w:rPr>
          <w:sz w:val="20"/>
          <w:szCs w:val="20"/>
        </w:rPr>
        <w:t>Shorter variable set include</w:t>
      </w:r>
      <w:r>
        <w:rPr>
          <w:sz w:val="20"/>
          <w:szCs w:val="20"/>
        </w:rPr>
        <w:t>s</w:t>
      </w:r>
      <w:r w:rsidRPr="009263A5">
        <w:rPr>
          <w:sz w:val="20"/>
          <w:szCs w:val="20"/>
        </w:rPr>
        <w:t xml:space="preserve"> temperature</w:t>
      </w:r>
      <w:r>
        <w:rPr>
          <w:sz w:val="20"/>
          <w:szCs w:val="20"/>
        </w:rPr>
        <w:t xml:space="preserve"> </w:t>
      </w:r>
      <w:r w:rsidRPr="009263A5">
        <w:rPr>
          <w:sz w:val="20"/>
          <w:szCs w:val="20"/>
        </w:rPr>
        <w:t>squared (</w:t>
      </w:r>
      <w:r w:rsidRPr="009263A5">
        <w:rPr>
          <w:i/>
          <w:sz w:val="20"/>
          <w:szCs w:val="20"/>
        </w:rPr>
        <w:t>t2)</w:t>
      </w:r>
      <w:r w:rsidRPr="009263A5">
        <w:rPr>
          <w:sz w:val="20"/>
          <w:szCs w:val="20"/>
        </w:rPr>
        <w:t xml:space="preserve"> and its interaction with market (</w:t>
      </w:r>
      <w:r w:rsidRPr="009263A5">
        <w:rPr>
          <w:i/>
          <w:sz w:val="20"/>
          <w:szCs w:val="20"/>
        </w:rPr>
        <w:t>mkt_t2</w:t>
      </w:r>
      <w:r w:rsidRPr="009263A5">
        <w:rPr>
          <w:sz w:val="20"/>
          <w:szCs w:val="20"/>
        </w:rPr>
        <w:t>) and catastrophic (</w:t>
      </w:r>
      <w:r w:rsidRPr="009263A5">
        <w:rPr>
          <w:i/>
          <w:sz w:val="20"/>
          <w:szCs w:val="20"/>
        </w:rPr>
        <w:t>cat_t2</w:t>
      </w:r>
      <w:r w:rsidRPr="009263A5">
        <w:rPr>
          <w:sz w:val="20"/>
          <w:szCs w:val="20"/>
        </w:rPr>
        <w:t>) dummies</w:t>
      </w:r>
      <w:r>
        <w:rPr>
          <w:sz w:val="20"/>
          <w:szCs w:val="20"/>
        </w:rPr>
        <w:t>.</w:t>
      </w:r>
    </w:p>
    <w:p w:rsidR="00EC2A52" w:rsidRPr="009263A5" w:rsidRDefault="00EC2A52" w:rsidP="00EC2A52">
      <w:pPr>
        <w:spacing w:after="120"/>
        <w:jc w:val="both"/>
        <w:rPr>
          <w:i/>
          <w:sz w:val="20"/>
          <w:szCs w:val="20"/>
        </w:rPr>
      </w:pPr>
      <w:r w:rsidRPr="009263A5">
        <w:rPr>
          <w:sz w:val="20"/>
          <w:szCs w:val="20"/>
          <w:vertAlign w:val="superscript"/>
        </w:rPr>
        <w:t>b</w:t>
      </w:r>
      <w:r w:rsidRPr="009263A5">
        <w:rPr>
          <w:sz w:val="20"/>
          <w:szCs w:val="20"/>
        </w:rPr>
        <w:t xml:space="preserve"> The extended variable set expands on the shorter variable set to include the interaction of temperature</w:t>
      </w:r>
      <w:r>
        <w:rPr>
          <w:sz w:val="20"/>
          <w:szCs w:val="20"/>
        </w:rPr>
        <w:t xml:space="preserve"> </w:t>
      </w:r>
      <w:r w:rsidRPr="009263A5">
        <w:rPr>
          <w:sz w:val="20"/>
          <w:szCs w:val="20"/>
        </w:rPr>
        <w:t>squared with an indicator variable for productivity (</w:t>
      </w:r>
      <w:r w:rsidRPr="009263A5">
        <w:rPr>
          <w:i/>
          <w:sz w:val="20"/>
          <w:szCs w:val="20"/>
        </w:rPr>
        <w:t>prod_t2</w:t>
      </w:r>
      <w:r w:rsidRPr="009263A5">
        <w:rPr>
          <w:sz w:val="20"/>
          <w:szCs w:val="20"/>
        </w:rPr>
        <w:t xml:space="preserve">) and an indicator variable for </w:t>
      </w:r>
      <w:r>
        <w:rPr>
          <w:sz w:val="20"/>
          <w:szCs w:val="20"/>
        </w:rPr>
        <w:t xml:space="preserve">a </w:t>
      </w:r>
      <w:r w:rsidRPr="009263A5">
        <w:rPr>
          <w:sz w:val="20"/>
          <w:szCs w:val="20"/>
        </w:rPr>
        <w:t>cross-sectional dataset without country fixed effects (</w:t>
      </w:r>
      <w:r w:rsidRPr="009263A5">
        <w:rPr>
          <w:i/>
          <w:sz w:val="20"/>
          <w:szCs w:val="20"/>
        </w:rPr>
        <w:t>cross</w:t>
      </w:r>
      <w:r w:rsidRPr="009263A5">
        <w:rPr>
          <w:sz w:val="20"/>
          <w:szCs w:val="20"/>
        </w:rPr>
        <w:t>)</w:t>
      </w:r>
      <w:r>
        <w:rPr>
          <w:sz w:val="20"/>
          <w:szCs w:val="20"/>
        </w:rPr>
        <w:t>.</w:t>
      </w:r>
    </w:p>
    <w:p w:rsidR="00EC2A52" w:rsidRPr="009263A5" w:rsidRDefault="00EC2A52" w:rsidP="00EC2A52">
      <w:pPr>
        <w:rPr>
          <w:i/>
          <w:sz w:val="20"/>
          <w:szCs w:val="20"/>
        </w:rPr>
      </w:pPr>
    </w:p>
    <w:p w:rsidR="00EC2A52" w:rsidRPr="00646EC1" w:rsidRDefault="00EC2A52" w:rsidP="00EC2A52">
      <w:pPr>
        <w:spacing w:after="200"/>
        <w:rPr>
          <w:b/>
          <w:i/>
          <w:sz w:val="20"/>
          <w:szCs w:val="20"/>
        </w:rPr>
      </w:pPr>
      <w:r w:rsidRPr="00646EC1">
        <w:rPr>
          <w:b/>
          <w:i/>
          <w:sz w:val="20"/>
          <w:szCs w:val="20"/>
        </w:rPr>
        <w:t xml:space="preserve">Table B2. P-values of Breusch-Pagan LM Test of Independence, by Cluster-level and Dataset  </w:t>
      </w:r>
    </w:p>
    <w:tbl>
      <w:tblPr>
        <w:tblW w:w="7700" w:type="dxa"/>
        <w:tblInd w:w="93" w:type="dxa"/>
        <w:tblLook w:val="04A0"/>
      </w:tblPr>
      <w:tblGrid>
        <w:gridCol w:w="3220"/>
        <w:gridCol w:w="1152"/>
        <w:gridCol w:w="1152"/>
        <w:gridCol w:w="1152"/>
        <w:gridCol w:w="1152"/>
      </w:tblGrid>
      <w:tr w:rsidR="00EC2A52" w:rsidRPr="00C61F3A" w:rsidTr="00EC2A52">
        <w:trPr>
          <w:trHeight w:val="600"/>
        </w:trPr>
        <w:tc>
          <w:tcPr>
            <w:tcW w:w="3220" w:type="dxa"/>
            <w:vMerge w:val="restart"/>
            <w:tcBorders>
              <w:top w:val="single" w:sz="8" w:space="0" w:color="auto"/>
              <w:left w:val="single" w:sz="8" w:space="0" w:color="auto"/>
              <w:bottom w:val="double" w:sz="6" w:space="0" w:color="000000"/>
              <w:right w:val="single" w:sz="8" w:space="0" w:color="auto"/>
            </w:tcBorders>
            <w:shd w:val="clear" w:color="auto" w:fill="auto"/>
            <w:noWrap/>
            <w:vAlign w:val="center"/>
            <w:hideMark/>
          </w:tcPr>
          <w:p w:rsidR="00EC2A52" w:rsidRPr="002D03A9" w:rsidRDefault="00EC2A52" w:rsidP="00EC2A52">
            <w:pPr>
              <w:rPr>
                <w:rFonts w:ascii="Calibri" w:hAnsi="Calibri"/>
                <w:color w:val="000000"/>
                <w:vertAlign w:val="superscript"/>
              </w:rPr>
            </w:pPr>
            <w:r w:rsidRPr="00C61F3A">
              <w:rPr>
                <w:rFonts w:ascii="Calibri" w:hAnsi="Calibri"/>
                <w:color w:val="000000"/>
                <w:sz w:val="22"/>
                <w:szCs w:val="22"/>
              </w:rPr>
              <w:t>Dataset / Cluster Level</w:t>
            </w:r>
            <w:r>
              <w:rPr>
                <w:rFonts w:ascii="Calibri" w:hAnsi="Calibri"/>
                <w:color w:val="000000"/>
                <w:sz w:val="22"/>
                <w:szCs w:val="22"/>
                <w:vertAlign w:val="superscript"/>
              </w:rPr>
              <w:t>a</w:t>
            </w:r>
          </w:p>
        </w:tc>
        <w:tc>
          <w:tcPr>
            <w:tcW w:w="2240" w:type="dxa"/>
            <w:gridSpan w:val="2"/>
            <w:tcBorders>
              <w:top w:val="single" w:sz="8" w:space="0" w:color="auto"/>
              <w:left w:val="nil"/>
              <w:bottom w:val="single" w:sz="4" w:space="0" w:color="auto"/>
              <w:right w:val="single" w:sz="4"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Damages for Temp. Increases≤4°C</w:t>
            </w:r>
          </w:p>
        </w:tc>
        <w:tc>
          <w:tcPr>
            <w:tcW w:w="2240"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Damages for All Temp. Increases</w:t>
            </w:r>
          </w:p>
        </w:tc>
      </w:tr>
      <w:tr w:rsidR="00EC2A52" w:rsidRPr="00C61F3A" w:rsidTr="00EC2A52">
        <w:trPr>
          <w:trHeight w:val="600"/>
        </w:trPr>
        <w:tc>
          <w:tcPr>
            <w:tcW w:w="3220" w:type="dxa"/>
            <w:vMerge/>
            <w:tcBorders>
              <w:top w:val="single" w:sz="8" w:space="0" w:color="auto"/>
              <w:left w:val="single" w:sz="8" w:space="0" w:color="auto"/>
              <w:bottom w:val="double" w:sz="6" w:space="0" w:color="000000"/>
              <w:right w:val="single" w:sz="8" w:space="0" w:color="auto"/>
            </w:tcBorders>
            <w:vAlign w:val="center"/>
            <w:hideMark/>
          </w:tcPr>
          <w:p w:rsidR="00EC2A52" w:rsidRPr="00C61F3A" w:rsidRDefault="00EC2A52" w:rsidP="00EC2A52">
            <w:pPr>
              <w:rPr>
                <w:rFonts w:ascii="Calibri" w:hAnsi="Calibri"/>
                <w:color w:val="000000"/>
              </w:rPr>
            </w:pPr>
          </w:p>
        </w:tc>
        <w:tc>
          <w:tcPr>
            <w:tcW w:w="1120" w:type="dxa"/>
            <w:tcBorders>
              <w:top w:val="nil"/>
              <w:left w:val="nil"/>
              <w:bottom w:val="double" w:sz="6" w:space="0" w:color="auto"/>
              <w:right w:val="single" w:sz="4"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Include Duplicates</w:t>
            </w:r>
          </w:p>
        </w:tc>
        <w:tc>
          <w:tcPr>
            <w:tcW w:w="1120" w:type="dxa"/>
            <w:tcBorders>
              <w:top w:val="nil"/>
              <w:left w:val="nil"/>
              <w:bottom w:val="double" w:sz="6" w:space="0" w:color="auto"/>
              <w:right w:val="single" w:sz="8"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Exclude Duplicates</w:t>
            </w:r>
          </w:p>
        </w:tc>
        <w:tc>
          <w:tcPr>
            <w:tcW w:w="1120" w:type="dxa"/>
            <w:tcBorders>
              <w:top w:val="nil"/>
              <w:left w:val="nil"/>
              <w:bottom w:val="double" w:sz="6" w:space="0" w:color="auto"/>
              <w:right w:val="single" w:sz="4"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Include Duplicates</w:t>
            </w:r>
          </w:p>
        </w:tc>
        <w:tc>
          <w:tcPr>
            <w:tcW w:w="1120" w:type="dxa"/>
            <w:tcBorders>
              <w:top w:val="nil"/>
              <w:left w:val="nil"/>
              <w:bottom w:val="double" w:sz="6" w:space="0" w:color="auto"/>
              <w:right w:val="single" w:sz="8" w:space="0" w:color="auto"/>
            </w:tcBorders>
            <w:shd w:val="clear" w:color="auto" w:fill="auto"/>
            <w:vAlign w:val="center"/>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Exclude Duplicates</w:t>
            </w:r>
          </w:p>
        </w:tc>
      </w:tr>
      <w:tr w:rsidR="00EC2A52" w:rsidRPr="00C61F3A" w:rsidTr="00EC2A52">
        <w:trPr>
          <w:trHeight w:val="300"/>
        </w:trPr>
        <w:tc>
          <w:tcPr>
            <w:tcW w:w="3220" w:type="dxa"/>
            <w:tcBorders>
              <w:top w:val="nil"/>
              <w:left w:val="single" w:sz="8" w:space="0" w:color="auto"/>
              <w:bottom w:val="single" w:sz="4" w:space="0" w:color="auto"/>
              <w:right w:val="nil"/>
            </w:tcBorders>
            <w:shd w:val="clear" w:color="auto" w:fill="auto"/>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Author</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0.001</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0.062</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0.000</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0.012</w:t>
            </w:r>
          </w:p>
        </w:tc>
      </w:tr>
      <w:tr w:rsidR="00EC2A52" w:rsidRPr="00C61F3A" w:rsidTr="00EC2A52">
        <w:trPr>
          <w:trHeight w:val="300"/>
        </w:trPr>
        <w:tc>
          <w:tcPr>
            <w:tcW w:w="3220" w:type="dxa"/>
            <w:tcBorders>
              <w:top w:val="nil"/>
              <w:left w:val="single" w:sz="8" w:space="0" w:color="auto"/>
              <w:bottom w:val="single" w:sz="4" w:space="0" w:color="auto"/>
              <w:right w:val="nil"/>
            </w:tcBorders>
            <w:shd w:val="clear" w:color="auto" w:fill="auto"/>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Method</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0.029</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0.029</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0.109</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0.020</w:t>
            </w:r>
          </w:p>
        </w:tc>
      </w:tr>
      <w:tr w:rsidR="00EC2A52" w:rsidRPr="00C61F3A" w:rsidTr="00EC2A52">
        <w:trPr>
          <w:trHeight w:val="300"/>
        </w:trPr>
        <w:tc>
          <w:tcPr>
            <w:tcW w:w="3220" w:type="dxa"/>
            <w:tcBorders>
              <w:top w:val="nil"/>
              <w:left w:val="single" w:sz="8" w:space="0" w:color="auto"/>
              <w:bottom w:val="single" w:sz="8" w:space="0" w:color="auto"/>
              <w:right w:val="nil"/>
            </w:tcBorders>
            <w:shd w:val="clear" w:color="auto" w:fill="auto"/>
            <w:vAlign w:val="bottom"/>
            <w:hideMark/>
          </w:tcPr>
          <w:p w:rsidR="00EC2A52" w:rsidRPr="00C61F3A" w:rsidRDefault="00EC2A52" w:rsidP="00EC2A52">
            <w:pPr>
              <w:rPr>
                <w:rFonts w:ascii="Calibri" w:hAnsi="Calibri"/>
                <w:color w:val="000000"/>
              </w:rPr>
            </w:pPr>
            <w:r w:rsidRPr="00C61F3A">
              <w:rPr>
                <w:rFonts w:ascii="Calibri" w:hAnsi="Calibri"/>
                <w:color w:val="000000"/>
                <w:sz w:val="22"/>
                <w:szCs w:val="22"/>
              </w:rPr>
              <w:t>Model</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0.000</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0.000</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0.000</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C61F3A" w:rsidRDefault="00EC2A52" w:rsidP="00EC2A52">
            <w:pPr>
              <w:jc w:val="center"/>
              <w:rPr>
                <w:rFonts w:ascii="Calibri" w:hAnsi="Calibri"/>
                <w:color w:val="000000"/>
              </w:rPr>
            </w:pPr>
            <w:r w:rsidRPr="00C61F3A">
              <w:rPr>
                <w:rFonts w:ascii="Calibri" w:hAnsi="Calibri"/>
                <w:color w:val="000000"/>
                <w:sz w:val="22"/>
                <w:szCs w:val="22"/>
              </w:rPr>
              <w:t>0.000</w:t>
            </w:r>
          </w:p>
        </w:tc>
      </w:tr>
    </w:tbl>
    <w:p w:rsidR="00EC2A52" w:rsidRPr="009263A5" w:rsidRDefault="00EC2A52" w:rsidP="00EC2A52">
      <w:pPr>
        <w:spacing w:after="120"/>
        <w:rPr>
          <w:b/>
          <w:sz w:val="20"/>
          <w:szCs w:val="20"/>
          <w:vertAlign w:val="superscript"/>
        </w:rPr>
      </w:pPr>
    </w:p>
    <w:p w:rsidR="00EC2A52" w:rsidRPr="009263A5" w:rsidRDefault="00EC2A52" w:rsidP="00EC2A52">
      <w:pPr>
        <w:spacing w:line="480" w:lineRule="auto"/>
        <w:jc w:val="both"/>
        <w:rPr>
          <w:i/>
          <w:sz w:val="20"/>
          <w:szCs w:val="20"/>
        </w:rPr>
      </w:pPr>
      <w:r w:rsidRPr="009263A5">
        <w:rPr>
          <w:b/>
          <w:sz w:val="20"/>
          <w:szCs w:val="20"/>
          <w:vertAlign w:val="superscript"/>
        </w:rPr>
        <w:t>a</w:t>
      </w:r>
      <w:r w:rsidRPr="009263A5">
        <w:rPr>
          <w:b/>
          <w:sz w:val="20"/>
          <w:szCs w:val="20"/>
        </w:rPr>
        <w:t xml:space="preserve"> </w:t>
      </w:r>
      <w:r w:rsidRPr="009263A5">
        <w:rPr>
          <w:i/>
          <w:sz w:val="20"/>
          <w:szCs w:val="20"/>
        </w:rPr>
        <w:t>See variable definitions in Table A2 in Appendix A</w:t>
      </w:r>
      <w:r>
        <w:rPr>
          <w:i/>
          <w:sz w:val="20"/>
          <w:szCs w:val="20"/>
        </w:rPr>
        <w:t>.</w:t>
      </w:r>
    </w:p>
    <w:p w:rsidR="00EC2A52" w:rsidRDefault="00EC2A52" w:rsidP="00EC2A52">
      <w:pPr>
        <w:spacing w:after="120"/>
        <w:jc w:val="both"/>
        <w:rPr>
          <w:b/>
          <w:i/>
          <w:sz w:val="20"/>
          <w:szCs w:val="20"/>
        </w:rPr>
      </w:pPr>
    </w:p>
    <w:p w:rsidR="00EC2A52" w:rsidRDefault="00EC2A52" w:rsidP="00EC2A52">
      <w:pPr>
        <w:spacing w:after="120"/>
        <w:jc w:val="both"/>
        <w:rPr>
          <w:b/>
          <w:i/>
          <w:sz w:val="20"/>
          <w:szCs w:val="20"/>
        </w:rPr>
      </w:pPr>
    </w:p>
    <w:p w:rsidR="00EC2A52" w:rsidRDefault="00EC2A52" w:rsidP="00EC2A52">
      <w:pPr>
        <w:spacing w:after="120"/>
        <w:jc w:val="both"/>
        <w:rPr>
          <w:b/>
          <w:i/>
          <w:sz w:val="20"/>
          <w:szCs w:val="20"/>
        </w:rPr>
      </w:pPr>
    </w:p>
    <w:p w:rsidR="00EC2A52" w:rsidRDefault="00EC2A52" w:rsidP="00EC2A52">
      <w:pPr>
        <w:spacing w:after="120"/>
        <w:jc w:val="both"/>
        <w:rPr>
          <w:b/>
          <w:i/>
          <w:sz w:val="20"/>
          <w:szCs w:val="20"/>
        </w:rPr>
      </w:pPr>
    </w:p>
    <w:p w:rsidR="00EC2A52" w:rsidRDefault="00EC2A52" w:rsidP="00EC2A52">
      <w:pPr>
        <w:spacing w:after="120"/>
        <w:jc w:val="both"/>
        <w:rPr>
          <w:b/>
          <w:i/>
          <w:sz w:val="20"/>
          <w:szCs w:val="20"/>
        </w:rPr>
      </w:pPr>
    </w:p>
    <w:p w:rsidR="00EC2A52" w:rsidRDefault="00EC2A52">
      <w:pPr>
        <w:spacing w:after="200" w:line="276" w:lineRule="auto"/>
        <w:rPr>
          <w:b/>
          <w:i/>
          <w:sz w:val="20"/>
          <w:szCs w:val="20"/>
        </w:rPr>
      </w:pPr>
      <w:r>
        <w:rPr>
          <w:b/>
          <w:i/>
          <w:sz w:val="20"/>
          <w:szCs w:val="20"/>
        </w:rPr>
        <w:br w:type="page"/>
      </w:r>
    </w:p>
    <w:p w:rsidR="00EC2A52" w:rsidRPr="009263A5" w:rsidRDefault="00EC2A52" w:rsidP="00EC2A52">
      <w:pPr>
        <w:spacing w:after="120"/>
        <w:jc w:val="both"/>
        <w:rPr>
          <w:sz w:val="20"/>
          <w:szCs w:val="20"/>
        </w:rPr>
      </w:pPr>
      <w:r w:rsidRPr="000A453B">
        <w:rPr>
          <w:b/>
          <w:i/>
          <w:sz w:val="20"/>
          <w:szCs w:val="20"/>
        </w:rPr>
        <w:lastRenderedPageBreak/>
        <w:t>Table B3.</w:t>
      </w:r>
      <w:r w:rsidRPr="007C0CF1">
        <w:rPr>
          <w:i/>
          <w:sz w:val="20"/>
          <w:szCs w:val="20"/>
        </w:rPr>
        <w:t xml:space="preserve"> </w:t>
      </w:r>
      <w:r>
        <w:rPr>
          <w:i/>
          <w:sz w:val="20"/>
          <w:szCs w:val="20"/>
        </w:rPr>
        <w:t xml:space="preserve">Potential Bias of the </w:t>
      </w:r>
      <w:r w:rsidRPr="007C0CF1">
        <w:rPr>
          <w:i/>
          <w:sz w:val="20"/>
          <w:szCs w:val="20"/>
        </w:rPr>
        <w:t>Social Cost of Carbon</w:t>
      </w:r>
      <w:r>
        <w:rPr>
          <w:i/>
          <w:sz w:val="20"/>
          <w:szCs w:val="20"/>
        </w:rPr>
        <w:t xml:space="preserve"> </w:t>
      </w:r>
      <w:r>
        <w:rPr>
          <w:i/>
          <w:sz w:val="22"/>
          <w:szCs w:val="22"/>
        </w:rPr>
        <w:t>for All Temperature Data</w:t>
      </w:r>
      <w:r w:rsidRPr="007C0CF1">
        <w:rPr>
          <w:i/>
          <w:sz w:val="20"/>
          <w:szCs w:val="20"/>
        </w:rPr>
        <w:t>: OLS and WLS with Cluster-Robust Standard Errors at the Model Level, by Specification and Dataset</w:t>
      </w:r>
    </w:p>
    <w:tbl>
      <w:tblPr>
        <w:tblW w:w="10180" w:type="dxa"/>
        <w:tblInd w:w="93" w:type="dxa"/>
        <w:tblLook w:val="04A0"/>
      </w:tblPr>
      <w:tblGrid>
        <w:gridCol w:w="2140"/>
        <w:gridCol w:w="1340"/>
        <w:gridCol w:w="1340"/>
        <w:gridCol w:w="1340"/>
        <w:gridCol w:w="1340"/>
        <w:gridCol w:w="1340"/>
        <w:gridCol w:w="1340"/>
      </w:tblGrid>
      <w:tr w:rsidR="00EC2A52" w:rsidRPr="00C51791" w:rsidTr="00EC2A52">
        <w:trPr>
          <w:trHeight w:val="300"/>
        </w:trPr>
        <w:tc>
          <w:tcPr>
            <w:tcW w:w="214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rsidR="00EC2A52" w:rsidRPr="002D03A9" w:rsidRDefault="00EC2A52" w:rsidP="00EC2A52">
            <w:pPr>
              <w:rPr>
                <w:rFonts w:ascii="Calibri" w:hAnsi="Calibri"/>
                <w:color w:val="000000"/>
                <w:sz w:val="20"/>
                <w:szCs w:val="20"/>
                <w:vertAlign w:val="superscript"/>
              </w:rPr>
            </w:pPr>
            <w:r w:rsidRPr="00C51791">
              <w:rPr>
                <w:rFonts w:ascii="Calibri" w:hAnsi="Calibri"/>
                <w:color w:val="000000"/>
                <w:sz w:val="20"/>
                <w:szCs w:val="20"/>
              </w:rPr>
              <w:t>Datasets and Specifications</w:t>
            </w:r>
            <w:r>
              <w:rPr>
                <w:rFonts w:ascii="Calibri" w:hAnsi="Calibri"/>
                <w:color w:val="000000"/>
                <w:sz w:val="20"/>
                <w:szCs w:val="20"/>
                <w:vertAlign w:val="superscript"/>
              </w:rPr>
              <w:t>a</w:t>
            </w:r>
          </w:p>
        </w:tc>
        <w:tc>
          <w:tcPr>
            <w:tcW w:w="804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Damages for All Temp. Increases and Excludes Duplicates</w:t>
            </w:r>
          </w:p>
        </w:tc>
      </w:tr>
      <w:tr w:rsidR="00EC2A52" w:rsidRPr="00C51791" w:rsidTr="00EC2A52">
        <w:trPr>
          <w:trHeight w:val="1200"/>
        </w:trPr>
        <w:tc>
          <w:tcPr>
            <w:tcW w:w="2140" w:type="dxa"/>
            <w:vMerge/>
            <w:tcBorders>
              <w:top w:val="single" w:sz="8" w:space="0" w:color="auto"/>
              <w:left w:val="single" w:sz="8" w:space="0" w:color="auto"/>
              <w:bottom w:val="double" w:sz="6" w:space="0" w:color="000000"/>
              <w:right w:val="single" w:sz="8" w:space="0" w:color="auto"/>
            </w:tcBorders>
            <w:vAlign w:val="center"/>
            <w:hideMark/>
          </w:tcPr>
          <w:p w:rsidR="00EC2A52" w:rsidRPr="00C51791" w:rsidRDefault="00EC2A52" w:rsidP="00EC2A52">
            <w:pPr>
              <w:rPr>
                <w:rFonts w:ascii="Calibri" w:hAnsi="Calibri"/>
                <w:color w:val="000000"/>
                <w:sz w:val="20"/>
                <w:szCs w:val="20"/>
              </w:rPr>
            </w:pPr>
          </w:p>
        </w:tc>
        <w:tc>
          <w:tcPr>
            <w:tcW w:w="1340" w:type="dxa"/>
            <w:tcBorders>
              <w:top w:val="nil"/>
              <w:left w:val="nil"/>
              <w:bottom w:val="single" w:sz="4" w:space="0" w:color="auto"/>
              <w:right w:val="nil"/>
            </w:tcBorders>
            <w:shd w:val="clear" w:color="auto" w:fill="auto"/>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Nordhaus (2013)</w:t>
            </w:r>
          </w:p>
        </w:tc>
        <w:tc>
          <w:tcPr>
            <w:tcW w:w="1340" w:type="dxa"/>
            <w:tcBorders>
              <w:top w:val="nil"/>
              <w:left w:val="single" w:sz="8" w:space="0" w:color="auto"/>
              <w:bottom w:val="single" w:sz="4" w:space="0" w:color="auto"/>
              <w:right w:val="single" w:sz="4" w:space="0" w:color="auto"/>
            </w:tcBorders>
            <w:shd w:val="clear" w:color="auto" w:fill="auto"/>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Original</w:t>
            </w:r>
          </w:p>
        </w:tc>
        <w:tc>
          <w:tcPr>
            <w:tcW w:w="1340" w:type="dxa"/>
            <w:tcBorders>
              <w:top w:val="nil"/>
              <w:left w:val="nil"/>
              <w:bottom w:val="single" w:sz="4" w:space="0" w:color="auto"/>
              <w:right w:val="single" w:sz="4" w:space="0" w:color="auto"/>
            </w:tcBorders>
            <w:shd w:val="clear" w:color="auto" w:fill="auto"/>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Correct Data</w:t>
            </w:r>
          </w:p>
        </w:tc>
        <w:tc>
          <w:tcPr>
            <w:tcW w:w="1340" w:type="dxa"/>
            <w:tcBorders>
              <w:top w:val="nil"/>
              <w:left w:val="nil"/>
              <w:bottom w:val="single" w:sz="4" w:space="0" w:color="auto"/>
              <w:right w:val="single" w:sz="4" w:space="0" w:color="auto"/>
            </w:tcBorders>
            <w:shd w:val="clear" w:color="auto" w:fill="auto"/>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New Data</w:t>
            </w:r>
          </w:p>
        </w:tc>
        <w:tc>
          <w:tcPr>
            <w:tcW w:w="1340" w:type="dxa"/>
            <w:tcBorders>
              <w:top w:val="nil"/>
              <w:left w:val="nil"/>
              <w:bottom w:val="single" w:sz="4" w:space="0" w:color="auto"/>
              <w:right w:val="single" w:sz="4" w:space="0" w:color="auto"/>
            </w:tcBorders>
            <w:shd w:val="clear" w:color="auto" w:fill="auto"/>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Omitted Variables</w:t>
            </w:r>
          </w:p>
        </w:tc>
        <w:tc>
          <w:tcPr>
            <w:tcW w:w="1340" w:type="dxa"/>
            <w:tcBorders>
              <w:top w:val="nil"/>
              <w:left w:val="nil"/>
              <w:bottom w:val="single" w:sz="4" w:space="0" w:color="auto"/>
              <w:right w:val="single" w:sz="8" w:space="0" w:color="auto"/>
            </w:tcBorders>
            <w:shd w:val="clear" w:color="auto" w:fill="auto"/>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Duplication Bias</w:t>
            </w:r>
          </w:p>
        </w:tc>
      </w:tr>
      <w:tr w:rsidR="00EC2A52" w:rsidRPr="00C51791" w:rsidTr="00EC2A52">
        <w:trPr>
          <w:trHeight w:val="315"/>
        </w:trPr>
        <w:tc>
          <w:tcPr>
            <w:tcW w:w="2140" w:type="dxa"/>
            <w:vMerge/>
            <w:tcBorders>
              <w:top w:val="single" w:sz="8" w:space="0" w:color="auto"/>
              <w:left w:val="single" w:sz="8" w:space="0" w:color="auto"/>
              <w:bottom w:val="double" w:sz="6" w:space="0" w:color="000000"/>
              <w:right w:val="single" w:sz="8" w:space="0" w:color="auto"/>
            </w:tcBorders>
            <w:vAlign w:val="center"/>
            <w:hideMark/>
          </w:tcPr>
          <w:p w:rsidR="00EC2A52" w:rsidRPr="00C51791" w:rsidRDefault="00EC2A52" w:rsidP="00EC2A52">
            <w:pPr>
              <w:rPr>
                <w:rFonts w:ascii="Calibri" w:hAnsi="Calibri"/>
                <w:color w:val="000000"/>
                <w:sz w:val="20"/>
                <w:szCs w:val="20"/>
              </w:rPr>
            </w:pPr>
          </w:p>
        </w:tc>
        <w:tc>
          <w:tcPr>
            <w:tcW w:w="1340" w:type="dxa"/>
            <w:tcBorders>
              <w:top w:val="nil"/>
              <w:left w:val="nil"/>
              <w:bottom w:val="double" w:sz="6" w:space="0" w:color="auto"/>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w:t>
            </w:r>
          </w:p>
        </w:tc>
        <w:tc>
          <w:tcPr>
            <w:tcW w:w="1340" w:type="dxa"/>
            <w:tcBorders>
              <w:top w:val="nil"/>
              <w:left w:val="nil"/>
              <w:bottom w:val="double" w:sz="6"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(5)</w:t>
            </w:r>
          </w:p>
        </w:tc>
      </w:tr>
      <w:tr w:rsidR="00EC2A52" w:rsidRPr="00C51791" w:rsidTr="00EC2A52">
        <w:trPr>
          <w:trHeight w:val="330"/>
        </w:trPr>
        <w:tc>
          <w:tcPr>
            <w:tcW w:w="2140" w:type="dxa"/>
            <w:tcBorders>
              <w:top w:val="nil"/>
              <w:left w:val="single" w:sz="8" w:space="0" w:color="auto"/>
              <w:bottom w:val="double" w:sz="6" w:space="0" w:color="auto"/>
              <w:right w:val="single" w:sz="8" w:space="0" w:color="auto"/>
            </w:tcBorders>
            <w:shd w:val="clear" w:color="auto" w:fill="auto"/>
            <w:noWrap/>
            <w:vAlign w:val="bottom"/>
            <w:hideMark/>
          </w:tcPr>
          <w:p w:rsidR="00EC2A52" w:rsidRPr="002D03A9" w:rsidRDefault="00EC2A52" w:rsidP="00EC2A52">
            <w:pPr>
              <w:rPr>
                <w:rFonts w:ascii="Calibri" w:hAnsi="Calibri"/>
                <w:color w:val="000000"/>
                <w:sz w:val="20"/>
                <w:szCs w:val="20"/>
                <w:vertAlign w:val="superscript"/>
              </w:rPr>
            </w:pPr>
            <w:r w:rsidRPr="00C51791">
              <w:rPr>
                <w:rFonts w:ascii="Calibri" w:hAnsi="Calibri"/>
                <w:color w:val="000000"/>
                <w:sz w:val="20"/>
                <w:szCs w:val="20"/>
              </w:rPr>
              <w:t>VARIABLES</w:t>
            </w:r>
            <w:r>
              <w:rPr>
                <w:rFonts w:ascii="Calibri" w:hAnsi="Calibri"/>
                <w:color w:val="000000"/>
                <w:sz w:val="20"/>
                <w:szCs w:val="20"/>
                <w:vertAlign w:val="superscript"/>
              </w:rPr>
              <w:t>b</w:t>
            </w:r>
          </w:p>
        </w:tc>
        <w:tc>
          <w:tcPr>
            <w:tcW w:w="1340" w:type="dxa"/>
            <w:tcBorders>
              <w:top w:val="nil"/>
              <w:left w:val="nil"/>
              <w:bottom w:val="double" w:sz="6" w:space="0" w:color="auto"/>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D_orig</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340" w:type="dxa"/>
            <w:tcBorders>
              <w:top w:val="nil"/>
              <w:left w:val="nil"/>
              <w:bottom w:val="double" w:sz="6"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r>
      <w:tr w:rsidR="00EC2A52" w:rsidRPr="00C51791" w:rsidTr="00EC2A52">
        <w:trPr>
          <w:trHeight w:val="315"/>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T2</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Pr>
                <w:rFonts w:ascii="Calibri" w:hAnsi="Calibri"/>
                <w:color w:val="000000"/>
                <w:sz w:val="20"/>
                <w:szCs w:val="20"/>
              </w:rPr>
              <w:t>0.214</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0.212***</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(0.0644)</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t2</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0.192**</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0.551***</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0.263***</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0.318**</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(0.0574)</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(0.0943)</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(0.0606)</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(0.102)</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mkt_t2</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Pr>
                <w:rFonts w:ascii="Calibri" w:hAnsi="Calibri"/>
                <w:color w:val="000000"/>
                <w:sz w:val="20"/>
                <w:szCs w:val="20"/>
              </w:rPr>
              <w:t>0.014</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-0.345*</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(0.254)</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(0.156)</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cat_t2</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0.413***</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0.362***</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(0.0614)</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(0.103)</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prod_t2</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w:t>
            </w:r>
            <w:r>
              <w:rPr>
                <w:rFonts w:ascii="Calibri" w:hAnsi="Calibri"/>
                <w:color w:val="000000"/>
                <w:sz w:val="20"/>
                <w:szCs w:val="20"/>
              </w:rPr>
              <w:t>1</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0.398</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(0.290)</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(0.237)</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Cross</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1.170***</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1.700***</w:t>
            </w:r>
          </w:p>
        </w:tc>
      </w:tr>
      <w:tr w:rsidR="00EC2A52" w:rsidRPr="00C51791" w:rsidTr="00EC2A52">
        <w:trPr>
          <w:trHeight w:val="315"/>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(0.181)</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(0.331)</w:t>
            </w:r>
          </w:p>
        </w:tc>
      </w:tr>
      <w:tr w:rsidR="00EC2A52" w:rsidRPr="00C51791" w:rsidTr="00EC2A52">
        <w:trPr>
          <w:trHeight w:val="315"/>
        </w:trPr>
        <w:tc>
          <w:tcPr>
            <w:tcW w:w="2140" w:type="dxa"/>
            <w:tcBorders>
              <w:top w:val="double" w:sz="6" w:space="0" w:color="auto"/>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Observations</w:t>
            </w:r>
          </w:p>
        </w:tc>
        <w:tc>
          <w:tcPr>
            <w:tcW w:w="1340" w:type="dxa"/>
            <w:tcBorders>
              <w:top w:val="double" w:sz="6" w:space="0" w:color="auto"/>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13</w:t>
            </w:r>
          </w:p>
        </w:tc>
        <w:tc>
          <w:tcPr>
            <w:tcW w:w="1340" w:type="dxa"/>
            <w:tcBorders>
              <w:top w:val="double" w:sz="6" w:space="0" w:color="auto"/>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9</w:t>
            </w:r>
          </w:p>
        </w:tc>
        <w:tc>
          <w:tcPr>
            <w:tcW w:w="1340" w:type="dxa"/>
            <w:tcBorders>
              <w:top w:val="double" w:sz="6" w:space="0" w:color="auto"/>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43</w:t>
            </w:r>
          </w:p>
        </w:tc>
        <w:tc>
          <w:tcPr>
            <w:tcW w:w="1340" w:type="dxa"/>
            <w:tcBorders>
              <w:top w:val="double" w:sz="6" w:space="0" w:color="auto"/>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43</w:t>
            </w:r>
          </w:p>
        </w:tc>
        <w:tc>
          <w:tcPr>
            <w:tcW w:w="1340" w:type="dxa"/>
            <w:tcBorders>
              <w:top w:val="double" w:sz="6" w:space="0" w:color="auto"/>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26</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R2</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0.475</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0.390</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0.756</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0.844</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0.869</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Adjusted R-squared</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0.431</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0.313</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0.751</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0.824</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0.837</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Likelihood</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-22.86</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-16.63</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-123.5</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-113.9</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-72.41</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F-statistic</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10.84</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11.18</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34.11</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1645</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776.2</w:t>
            </w:r>
          </w:p>
        </w:tc>
      </w:tr>
      <w:tr w:rsidR="00EC2A52" w:rsidRPr="00C51791" w:rsidTr="00EC2A52">
        <w:trPr>
          <w:trHeight w:val="315"/>
        </w:trPr>
        <w:tc>
          <w:tcPr>
            <w:tcW w:w="2140" w:type="dxa"/>
            <w:tcBorders>
              <w:top w:val="nil"/>
              <w:left w:val="single" w:sz="8" w:space="0" w:color="auto"/>
              <w:bottom w:val="double" w:sz="6"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Prob&gt;F</w:t>
            </w:r>
          </w:p>
        </w:tc>
        <w:tc>
          <w:tcPr>
            <w:tcW w:w="1340" w:type="dxa"/>
            <w:tcBorders>
              <w:top w:val="nil"/>
              <w:left w:val="single" w:sz="8" w:space="0" w:color="auto"/>
              <w:bottom w:val="double" w:sz="6"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13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0.006</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0.016</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c>
          <w:tcPr>
            <w:tcW w:w="134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c>
          <w:tcPr>
            <w:tcW w:w="1340" w:type="dxa"/>
            <w:tcBorders>
              <w:top w:val="nil"/>
              <w:left w:val="nil"/>
              <w:bottom w:val="double" w:sz="6"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r>
      <w:tr w:rsidR="00EC2A52" w:rsidRPr="00C51791" w:rsidTr="00EC2A52">
        <w:trPr>
          <w:trHeight w:val="330"/>
        </w:trPr>
        <w:tc>
          <w:tcPr>
            <w:tcW w:w="1018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Hypothesis: non-catastrophic</w:t>
            </w:r>
            <w:r>
              <w:rPr>
                <w:rFonts w:ascii="Calibri" w:hAnsi="Calibri"/>
                <w:color w:val="000000"/>
                <w:sz w:val="20"/>
                <w:szCs w:val="20"/>
              </w:rPr>
              <w:t xml:space="preserve"> (captured by t2)</w:t>
            </w:r>
            <w:r w:rsidRPr="00C51791">
              <w:rPr>
                <w:rFonts w:ascii="Calibri" w:hAnsi="Calibri"/>
                <w:color w:val="000000"/>
                <w:sz w:val="20"/>
                <w:szCs w:val="20"/>
              </w:rPr>
              <w:t xml:space="preserve"> impacts equal No</w:t>
            </w:r>
            <w:r>
              <w:rPr>
                <w:rFonts w:ascii="Calibri" w:hAnsi="Calibri"/>
                <w:color w:val="000000"/>
                <w:sz w:val="20"/>
                <w:szCs w:val="20"/>
              </w:rPr>
              <w:t>rdhaus (2013)'s estimate of 0.</w:t>
            </w:r>
            <w:r w:rsidRPr="00C51791">
              <w:rPr>
                <w:rFonts w:ascii="Calibri" w:hAnsi="Calibri"/>
                <w:color w:val="000000"/>
                <w:sz w:val="20"/>
                <w:szCs w:val="20"/>
              </w:rPr>
              <w:t>2136</w:t>
            </w:r>
          </w:p>
        </w:tc>
      </w:tr>
      <w:tr w:rsidR="00EC2A52" w:rsidRPr="00C51791" w:rsidTr="00EC2A52">
        <w:trPr>
          <w:trHeight w:val="33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p-value</w:t>
            </w:r>
          </w:p>
        </w:tc>
        <w:tc>
          <w:tcPr>
            <w:tcW w:w="13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0.719</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0.003</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0.428</w:t>
            </w:r>
          </w:p>
        </w:tc>
        <w:tc>
          <w:tcPr>
            <w:tcW w:w="1340" w:type="dxa"/>
            <w:tcBorders>
              <w:top w:val="nil"/>
              <w:left w:val="nil"/>
              <w:bottom w:val="double" w:sz="6"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0.330</w:t>
            </w:r>
          </w:p>
        </w:tc>
      </w:tr>
      <w:tr w:rsidR="00EC2A52" w:rsidRPr="00C51791" w:rsidTr="00EC2A52">
        <w:trPr>
          <w:trHeight w:val="330"/>
        </w:trPr>
        <w:tc>
          <w:tcPr>
            <w:tcW w:w="1018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Hypothesis: total impacts (captured by t2 + cat_t2) equal No</w:t>
            </w:r>
            <w:r>
              <w:rPr>
                <w:rFonts w:ascii="Calibri" w:hAnsi="Calibri"/>
                <w:color w:val="000000"/>
                <w:sz w:val="20"/>
                <w:szCs w:val="20"/>
              </w:rPr>
              <w:t>rdhaus (2013)'s estimate of 0.</w:t>
            </w:r>
            <w:r w:rsidRPr="00C51791">
              <w:rPr>
                <w:rFonts w:ascii="Calibri" w:hAnsi="Calibri"/>
                <w:color w:val="000000"/>
                <w:sz w:val="20"/>
                <w:szCs w:val="20"/>
              </w:rPr>
              <w:t xml:space="preserve">2136 </w:t>
            </w:r>
          </w:p>
        </w:tc>
      </w:tr>
      <w:tr w:rsidR="00EC2A52" w:rsidRPr="00C51791" w:rsidTr="00EC2A52">
        <w:trPr>
          <w:trHeight w:val="330"/>
        </w:trPr>
        <w:tc>
          <w:tcPr>
            <w:tcW w:w="2140" w:type="dxa"/>
            <w:tcBorders>
              <w:top w:val="nil"/>
              <w:left w:val="single" w:sz="8" w:space="0" w:color="auto"/>
              <w:bottom w:val="single" w:sz="8"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p-value</w:t>
            </w:r>
          </w:p>
        </w:tc>
        <w:tc>
          <w:tcPr>
            <w:tcW w:w="13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c>
          <w:tcPr>
            <w:tcW w:w="1340" w:type="dxa"/>
            <w:tcBorders>
              <w:top w:val="nil"/>
              <w:left w:val="nil"/>
              <w:bottom w:val="single" w:sz="8"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r>
      <w:tr w:rsidR="00EC2A52" w:rsidRPr="00C51791" w:rsidTr="00EC2A52">
        <w:trPr>
          <w:trHeight w:val="330"/>
        </w:trPr>
        <w:tc>
          <w:tcPr>
            <w:tcW w:w="1018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2015 SCC</w:t>
            </w:r>
            <w:r>
              <w:rPr>
                <w:rFonts w:ascii="Calibri" w:hAnsi="Calibri"/>
                <w:color w:val="000000"/>
                <w:sz w:val="20"/>
                <w:szCs w:val="20"/>
                <w:vertAlign w:val="superscript"/>
              </w:rPr>
              <w:t>c</w:t>
            </w:r>
            <w:r w:rsidRPr="00C51791">
              <w:rPr>
                <w:rFonts w:ascii="Calibri" w:hAnsi="Calibri"/>
                <w:color w:val="000000"/>
                <w:sz w:val="20"/>
                <w:szCs w:val="20"/>
              </w:rPr>
              <w:t xml:space="preserve"> (2015 USD per metric ton of CO2e)</w:t>
            </w:r>
            <w:r>
              <w:rPr>
                <w:rFonts w:ascii="Calibri" w:hAnsi="Calibri"/>
                <w:color w:val="000000"/>
                <w:sz w:val="20"/>
                <w:szCs w:val="20"/>
              </w:rPr>
              <w:t xml:space="preserve"> – without productivity</w:t>
            </w:r>
          </w:p>
        </w:tc>
      </w:tr>
      <w:tr w:rsidR="00EC2A52" w:rsidRPr="00C51791" w:rsidTr="00EC2A52">
        <w:trPr>
          <w:trHeight w:val="315"/>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Non-cat (5%)</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$7</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$5</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$38</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$14</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$9</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Non-cat (50%)</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$22</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$22</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$20</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$62</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$28</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$34</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Non-cat (95%)</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$38</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$36</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$90</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$43</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$62</w:t>
            </w:r>
          </w:p>
        </w:tc>
      </w:tr>
      <w:tr w:rsidR="00EC2A52" w:rsidRPr="00C51791" w:rsidTr="00EC2A52">
        <w:trPr>
          <w:trHeight w:val="315"/>
        </w:trPr>
        <w:tc>
          <w:tcPr>
            <w:tcW w:w="2140" w:type="dxa"/>
            <w:tcBorders>
              <w:top w:val="nil"/>
              <w:left w:val="single" w:sz="8" w:space="0" w:color="auto"/>
              <w:bottom w:val="single" w:sz="8"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Total (50%)</w:t>
            </w:r>
          </w:p>
        </w:tc>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$68</w:t>
            </w:r>
          </w:p>
        </w:tc>
        <w:tc>
          <w:tcPr>
            <w:tcW w:w="1340" w:type="dxa"/>
            <w:tcBorders>
              <w:top w:val="nil"/>
              <w:left w:val="nil"/>
              <w:bottom w:val="single" w:sz="8"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$70</w:t>
            </w:r>
          </w:p>
        </w:tc>
      </w:tr>
      <w:tr w:rsidR="00EC2A52" w:rsidRPr="00C51791" w:rsidTr="00EC2A52">
        <w:trPr>
          <w:trHeight w:val="330"/>
        </w:trPr>
        <w:tc>
          <w:tcPr>
            <w:tcW w:w="1018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2015 SCC</w:t>
            </w:r>
            <w:r>
              <w:rPr>
                <w:rFonts w:ascii="Calibri" w:hAnsi="Calibri"/>
                <w:color w:val="000000"/>
                <w:sz w:val="20"/>
                <w:szCs w:val="20"/>
                <w:vertAlign w:val="superscript"/>
              </w:rPr>
              <w:t>c</w:t>
            </w:r>
            <w:r w:rsidRPr="00C51791">
              <w:rPr>
                <w:rFonts w:ascii="Calibri" w:hAnsi="Calibri"/>
                <w:color w:val="000000"/>
                <w:sz w:val="20"/>
                <w:szCs w:val="20"/>
              </w:rPr>
              <w:t xml:space="preserve"> (2015 USD per metric ton of CO2e)  - with productivity</w:t>
            </w:r>
          </w:p>
        </w:tc>
      </w:tr>
      <w:tr w:rsidR="00EC2A52" w:rsidRPr="00C51791" w:rsidTr="00EC2A52">
        <w:trPr>
          <w:trHeight w:val="315"/>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Non-cat (5%)</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-$46</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Non-cat (50%)</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$28</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$84</w:t>
            </w:r>
          </w:p>
        </w:tc>
      </w:tr>
      <w:tr w:rsidR="00EC2A52" w:rsidRPr="00C51791" w:rsidTr="00EC2A52">
        <w:trPr>
          <w:trHeight w:val="300"/>
        </w:trPr>
        <w:tc>
          <w:tcPr>
            <w:tcW w:w="214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Non-cat (95%)</w:t>
            </w:r>
          </w:p>
        </w:tc>
        <w:tc>
          <w:tcPr>
            <w:tcW w:w="1340" w:type="dxa"/>
            <w:tcBorders>
              <w:top w:val="nil"/>
              <w:left w:val="single" w:sz="8" w:space="0" w:color="auto"/>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$130</w:t>
            </w:r>
          </w:p>
        </w:tc>
        <w:tc>
          <w:tcPr>
            <w:tcW w:w="134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$213</w:t>
            </w:r>
          </w:p>
        </w:tc>
      </w:tr>
      <w:tr w:rsidR="00EC2A52" w:rsidRPr="00C51791" w:rsidTr="00EC2A52">
        <w:trPr>
          <w:trHeight w:val="315"/>
        </w:trPr>
        <w:tc>
          <w:tcPr>
            <w:tcW w:w="2140" w:type="dxa"/>
            <w:tcBorders>
              <w:top w:val="nil"/>
              <w:left w:val="single" w:sz="8" w:space="0" w:color="auto"/>
              <w:bottom w:val="single" w:sz="8"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lastRenderedPageBreak/>
              <w:t>Total (50%)</w:t>
            </w:r>
          </w:p>
        </w:tc>
        <w:tc>
          <w:tcPr>
            <w:tcW w:w="1340" w:type="dxa"/>
            <w:tcBorders>
              <w:top w:val="nil"/>
              <w:left w:val="single" w:sz="8" w:space="0" w:color="auto"/>
              <w:bottom w:val="single" w:sz="8" w:space="0" w:color="auto"/>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34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$68</w:t>
            </w:r>
          </w:p>
        </w:tc>
        <w:tc>
          <w:tcPr>
            <w:tcW w:w="1340" w:type="dxa"/>
            <w:tcBorders>
              <w:top w:val="nil"/>
              <w:left w:val="nil"/>
              <w:bottom w:val="single" w:sz="8"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$127</w:t>
            </w:r>
          </w:p>
        </w:tc>
      </w:tr>
      <w:tr w:rsidR="00EC2A52" w:rsidRPr="00C51791" w:rsidTr="00EC2A52">
        <w:trPr>
          <w:trHeight w:val="300"/>
        </w:trPr>
        <w:tc>
          <w:tcPr>
            <w:tcW w:w="10180" w:type="dxa"/>
            <w:gridSpan w:val="7"/>
            <w:tcBorders>
              <w:top w:val="single" w:sz="8" w:space="0" w:color="auto"/>
              <w:left w:val="nil"/>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Robust standard errors in parentheses</w:t>
            </w:r>
          </w:p>
        </w:tc>
      </w:tr>
      <w:tr w:rsidR="00EC2A52" w:rsidRPr="00C51791" w:rsidTr="00EC2A52">
        <w:trPr>
          <w:trHeight w:val="300"/>
        </w:trPr>
        <w:tc>
          <w:tcPr>
            <w:tcW w:w="10180" w:type="dxa"/>
            <w:gridSpan w:val="7"/>
            <w:tcBorders>
              <w:top w:val="nil"/>
              <w:left w:val="nil"/>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p&lt;0.01, ** p&lt;0.05, * p&lt;0.1</w:t>
            </w:r>
          </w:p>
        </w:tc>
      </w:tr>
    </w:tbl>
    <w:p w:rsidR="00EC2A52" w:rsidRPr="009263A5" w:rsidRDefault="00EC2A52" w:rsidP="00EC2A52">
      <w:pPr>
        <w:jc w:val="both"/>
        <w:rPr>
          <w:i/>
          <w:sz w:val="20"/>
          <w:szCs w:val="20"/>
        </w:rPr>
      </w:pPr>
      <w:r w:rsidRPr="009263A5">
        <w:rPr>
          <w:i/>
          <w:sz w:val="20"/>
          <w:szCs w:val="20"/>
        </w:rPr>
        <w:t xml:space="preserve">   </w:t>
      </w:r>
    </w:p>
    <w:p w:rsidR="00EC2A52" w:rsidRPr="009263A5" w:rsidRDefault="00EC2A52" w:rsidP="00EC2A52">
      <w:pPr>
        <w:spacing w:after="120"/>
        <w:jc w:val="both"/>
        <w:rPr>
          <w:i/>
          <w:sz w:val="20"/>
          <w:szCs w:val="20"/>
        </w:rPr>
      </w:pPr>
      <w:r w:rsidRPr="009263A5">
        <w:rPr>
          <w:i/>
          <w:sz w:val="20"/>
          <w:szCs w:val="20"/>
          <w:vertAlign w:val="superscript"/>
        </w:rPr>
        <w:t xml:space="preserve">a </w:t>
      </w:r>
      <w:r w:rsidRPr="009263A5">
        <w:rPr>
          <w:i/>
          <w:sz w:val="20"/>
          <w:szCs w:val="20"/>
        </w:rPr>
        <w:t>The specifications are: (1) Nordhaus (2013), (2) correcting data and improving the estimation strategy, (3) introducing additional damage estimates, (4) accounting for omitted variable bias, and (5) accounting for duplication bias (</w:t>
      </w:r>
      <w:r>
        <w:rPr>
          <w:i/>
          <w:sz w:val="20"/>
          <w:szCs w:val="20"/>
        </w:rPr>
        <w:t>the</w:t>
      </w:r>
      <w:r w:rsidRPr="009263A5">
        <w:rPr>
          <w:i/>
          <w:sz w:val="20"/>
          <w:szCs w:val="20"/>
        </w:rPr>
        <w:t xml:space="preserve"> preferred specification).</w:t>
      </w:r>
    </w:p>
    <w:p w:rsidR="00EC2A52" w:rsidRPr="00E21C89" w:rsidRDefault="00EC2A52" w:rsidP="00EC2A52">
      <w:pPr>
        <w:spacing w:after="120"/>
        <w:jc w:val="both"/>
        <w:rPr>
          <w:i/>
          <w:sz w:val="20"/>
          <w:szCs w:val="20"/>
        </w:rPr>
      </w:pPr>
      <w:r w:rsidRPr="009263A5">
        <w:rPr>
          <w:i/>
          <w:sz w:val="20"/>
          <w:szCs w:val="20"/>
          <w:vertAlign w:val="superscript"/>
        </w:rPr>
        <w:t xml:space="preserve">b </w:t>
      </w:r>
      <w:r w:rsidRPr="009263A5">
        <w:rPr>
          <w:i/>
          <w:sz w:val="20"/>
          <w:szCs w:val="20"/>
        </w:rPr>
        <w:t>See variable definitions in Table A2 of Appendix A</w:t>
      </w:r>
      <w:r>
        <w:rPr>
          <w:i/>
          <w:sz w:val="20"/>
          <w:szCs w:val="20"/>
        </w:rPr>
        <w:t>.</w:t>
      </w:r>
    </w:p>
    <w:p w:rsidR="00EC2A52" w:rsidRPr="00E21C89" w:rsidRDefault="00EC2A52" w:rsidP="00EC2A52">
      <w:pPr>
        <w:spacing w:after="120"/>
        <w:jc w:val="both"/>
        <w:rPr>
          <w:i/>
          <w:sz w:val="20"/>
          <w:szCs w:val="20"/>
        </w:rPr>
        <w:sectPr w:rsidR="00EC2A52" w:rsidRPr="00E21C89" w:rsidSect="00EC2A52">
          <w:pgSz w:w="12240" w:h="15840"/>
          <w:pgMar w:top="1440" w:right="1440" w:bottom="1440" w:left="1440" w:header="720" w:footer="720" w:gutter="0"/>
          <w:cols w:space="720"/>
          <w:docGrid w:linePitch="360"/>
        </w:sectPr>
      </w:pPr>
      <w:r w:rsidRPr="002D03A9">
        <w:rPr>
          <w:i/>
          <w:sz w:val="20"/>
          <w:szCs w:val="20"/>
          <w:vertAlign w:val="superscript"/>
        </w:rPr>
        <w:t>c</w:t>
      </w:r>
      <w:r w:rsidRPr="007C0CF1">
        <w:rPr>
          <w:i/>
          <w:sz w:val="20"/>
          <w:szCs w:val="20"/>
        </w:rPr>
        <w:t xml:space="preserve"> 2015 SCC corresponding to the use of the </w:t>
      </w:r>
      <w:r>
        <w:rPr>
          <w:i/>
          <w:sz w:val="20"/>
          <w:szCs w:val="20"/>
        </w:rPr>
        <w:t xml:space="preserve">regression </w:t>
      </w:r>
      <w:r w:rsidRPr="007C0CF1">
        <w:rPr>
          <w:i/>
          <w:sz w:val="20"/>
          <w:szCs w:val="20"/>
        </w:rPr>
        <w:t>estimates as</w:t>
      </w:r>
      <w:r>
        <w:rPr>
          <w:i/>
          <w:sz w:val="20"/>
          <w:szCs w:val="20"/>
        </w:rPr>
        <w:t xml:space="preserve"> the DICE-2013R damage function.</w:t>
      </w:r>
      <w:r w:rsidRPr="00CF7848">
        <w:t xml:space="preserve"> </w:t>
      </w:r>
      <w:r w:rsidRPr="00CF7848">
        <w:rPr>
          <w:i/>
          <w:sz w:val="20"/>
          <w:szCs w:val="20"/>
        </w:rPr>
        <w:t>Following Nordhaus (2013), we multiply the coefficients corresponding to non-catastrophic impacts (t2 and prod_t2) by 25% when constructing the damage functions to account for potential omitted non-catastrophic impacts of climate change.</w:t>
      </w:r>
    </w:p>
    <w:p w:rsidR="00EC2A52" w:rsidRDefault="00EC2A52" w:rsidP="00EC2A52">
      <w:pPr>
        <w:spacing w:after="120"/>
        <w:rPr>
          <w:b/>
          <w:i/>
          <w:sz w:val="20"/>
          <w:szCs w:val="20"/>
        </w:rPr>
      </w:pPr>
      <w:r w:rsidRPr="009263A5">
        <w:rPr>
          <w:b/>
          <w:i/>
          <w:sz w:val="20"/>
          <w:szCs w:val="20"/>
        </w:rPr>
        <w:lastRenderedPageBreak/>
        <w:t>Table C1. Tol’s (2014) Regression Specification Estimated Using WLS with Cluster</w:t>
      </w:r>
      <w:r>
        <w:rPr>
          <w:b/>
          <w:i/>
          <w:sz w:val="20"/>
          <w:szCs w:val="20"/>
        </w:rPr>
        <w:t>-</w:t>
      </w:r>
      <w:r w:rsidRPr="009263A5">
        <w:rPr>
          <w:b/>
          <w:i/>
          <w:sz w:val="20"/>
          <w:szCs w:val="20"/>
        </w:rPr>
        <w:t>Robust Standard Errors at the Model Level, by Dataset</w:t>
      </w:r>
    </w:p>
    <w:tbl>
      <w:tblPr>
        <w:tblW w:w="9880" w:type="dxa"/>
        <w:tblInd w:w="93" w:type="dxa"/>
        <w:tblLook w:val="04A0"/>
      </w:tblPr>
      <w:tblGrid>
        <w:gridCol w:w="1720"/>
        <w:gridCol w:w="981"/>
        <w:gridCol w:w="981"/>
        <w:gridCol w:w="1059"/>
        <w:gridCol w:w="1059"/>
        <w:gridCol w:w="1020"/>
        <w:gridCol w:w="1020"/>
        <w:gridCol w:w="1020"/>
        <w:gridCol w:w="1020"/>
      </w:tblGrid>
      <w:tr w:rsidR="00EC2A52" w:rsidRPr="00C51791" w:rsidTr="00EC2A52">
        <w:trPr>
          <w:trHeight w:val="300"/>
        </w:trPr>
        <w:tc>
          <w:tcPr>
            <w:tcW w:w="1720" w:type="dxa"/>
            <w:vMerge w:val="restart"/>
            <w:tcBorders>
              <w:top w:val="single" w:sz="8" w:space="0" w:color="auto"/>
              <w:left w:val="single" w:sz="8" w:space="0" w:color="auto"/>
              <w:bottom w:val="double" w:sz="6" w:space="0" w:color="000000"/>
              <w:right w:val="nil"/>
            </w:tcBorders>
            <w:shd w:val="clear" w:color="auto" w:fill="auto"/>
            <w:noWrap/>
            <w:vAlign w:val="center"/>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Dataset</w:t>
            </w:r>
          </w:p>
        </w:tc>
        <w:tc>
          <w:tcPr>
            <w:tcW w:w="4080" w:type="dxa"/>
            <w:gridSpan w:val="4"/>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Damages for Temp. Increases≤4</w:t>
            </w:r>
            <w:r w:rsidRPr="00C51791">
              <w:rPr>
                <w:rFonts w:ascii="Cambria" w:hAnsi="Cambria"/>
                <w:color w:val="000000"/>
                <w:sz w:val="20"/>
                <w:szCs w:val="20"/>
              </w:rPr>
              <w:t>°C</w:t>
            </w:r>
          </w:p>
        </w:tc>
        <w:tc>
          <w:tcPr>
            <w:tcW w:w="408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Damages for All Temp. Increases</w:t>
            </w:r>
          </w:p>
        </w:tc>
      </w:tr>
      <w:tr w:rsidR="00EC2A52" w:rsidRPr="00C51791" w:rsidTr="00EC2A52">
        <w:trPr>
          <w:trHeight w:val="315"/>
        </w:trPr>
        <w:tc>
          <w:tcPr>
            <w:tcW w:w="1720" w:type="dxa"/>
            <w:vMerge/>
            <w:tcBorders>
              <w:top w:val="single" w:sz="8" w:space="0" w:color="auto"/>
              <w:left w:val="single" w:sz="8" w:space="0" w:color="auto"/>
              <w:bottom w:val="double" w:sz="6" w:space="0" w:color="000000"/>
              <w:right w:val="nil"/>
            </w:tcBorders>
            <w:vAlign w:val="center"/>
            <w:hideMark/>
          </w:tcPr>
          <w:p w:rsidR="00EC2A52" w:rsidRPr="00C51791" w:rsidRDefault="00EC2A52" w:rsidP="00EC2A52">
            <w:pPr>
              <w:rPr>
                <w:rFonts w:ascii="Calibri" w:hAnsi="Calibri"/>
                <w:color w:val="000000"/>
                <w:sz w:val="20"/>
                <w:szCs w:val="20"/>
              </w:rPr>
            </w:pPr>
          </w:p>
        </w:tc>
        <w:tc>
          <w:tcPr>
            <w:tcW w:w="1962" w:type="dxa"/>
            <w:gridSpan w:val="2"/>
            <w:tcBorders>
              <w:top w:val="single" w:sz="4" w:space="0" w:color="auto"/>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i/>
                <w:iCs/>
                <w:color w:val="000000"/>
                <w:sz w:val="20"/>
                <w:szCs w:val="20"/>
              </w:rPr>
            </w:pPr>
            <w:r w:rsidRPr="00C51791">
              <w:rPr>
                <w:rFonts w:ascii="Calibri" w:hAnsi="Calibri"/>
                <w:i/>
                <w:iCs/>
                <w:color w:val="000000"/>
                <w:sz w:val="20"/>
                <w:szCs w:val="20"/>
              </w:rPr>
              <w:t>Include Duplicates</w:t>
            </w:r>
          </w:p>
        </w:tc>
        <w:tc>
          <w:tcPr>
            <w:tcW w:w="2118" w:type="dxa"/>
            <w:gridSpan w:val="2"/>
            <w:tcBorders>
              <w:top w:val="single" w:sz="4" w:space="0" w:color="auto"/>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i/>
                <w:iCs/>
                <w:color w:val="000000"/>
                <w:sz w:val="20"/>
                <w:szCs w:val="20"/>
              </w:rPr>
            </w:pPr>
            <w:r w:rsidRPr="00C51791">
              <w:rPr>
                <w:rFonts w:ascii="Calibri" w:hAnsi="Calibri"/>
                <w:i/>
                <w:iCs/>
                <w:color w:val="000000"/>
                <w:sz w:val="20"/>
                <w:szCs w:val="20"/>
              </w:rPr>
              <w:t>Exclude Duplicates</w:t>
            </w:r>
          </w:p>
        </w:tc>
        <w:tc>
          <w:tcPr>
            <w:tcW w:w="2040" w:type="dxa"/>
            <w:gridSpan w:val="2"/>
            <w:tcBorders>
              <w:top w:val="single" w:sz="4" w:space="0" w:color="auto"/>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i/>
                <w:iCs/>
                <w:color w:val="000000"/>
                <w:sz w:val="20"/>
                <w:szCs w:val="20"/>
              </w:rPr>
            </w:pPr>
            <w:r w:rsidRPr="00C51791">
              <w:rPr>
                <w:rFonts w:ascii="Calibri" w:hAnsi="Calibri"/>
                <w:i/>
                <w:iCs/>
                <w:color w:val="000000"/>
                <w:sz w:val="20"/>
                <w:szCs w:val="20"/>
              </w:rPr>
              <w:t>Include Duplicates</w:t>
            </w:r>
          </w:p>
        </w:tc>
        <w:tc>
          <w:tcPr>
            <w:tcW w:w="2040" w:type="dxa"/>
            <w:gridSpan w:val="2"/>
            <w:tcBorders>
              <w:top w:val="single" w:sz="4"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jc w:val="center"/>
              <w:rPr>
                <w:rFonts w:ascii="Calibri" w:hAnsi="Calibri"/>
                <w:i/>
                <w:iCs/>
                <w:color w:val="000000"/>
                <w:sz w:val="20"/>
                <w:szCs w:val="20"/>
              </w:rPr>
            </w:pPr>
            <w:r w:rsidRPr="00C51791">
              <w:rPr>
                <w:rFonts w:ascii="Calibri" w:hAnsi="Calibri"/>
                <w:i/>
                <w:iCs/>
                <w:color w:val="000000"/>
                <w:sz w:val="20"/>
                <w:szCs w:val="20"/>
              </w:rPr>
              <w:t>Exclude Duplicates</w:t>
            </w:r>
          </w:p>
        </w:tc>
      </w:tr>
      <w:tr w:rsidR="00EC2A52" w:rsidRPr="00C51791" w:rsidTr="00EC2A52">
        <w:trPr>
          <w:trHeight w:val="315"/>
        </w:trPr>
        <w:tc>
          <w:tcPr>
            <w:tcW w:w="1720" w:type="dxa"/>
            <w:tcBorders>
              <w:top w:val="nil"/>
              <w:left w:val="single" w:sz="8" w:space="0" w:color="auto"/>
              <w:bottom w:val="single" w:sz="4"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Specification</w:t>
            </w:r>
          </w:p>
        </w:tc>
        <w:tc>
          <w:tcPr>
            <w:tcW w:w="981" w:type="dxa"/>
            <w:tcBorders>
              <w:top w:val="nil"/>
              <w:left w:val="single" w:sz="8" w:space="0" w:color="auto"/>
              <w:bottom w:val="single" w:sz="4"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w:t>
            </w:r>
          </w:p>
        </w:tc>
        <w:tc>
          <w:tcPr>
            <w:tcW w:w="981" w:type="dxa"/>
            <w:tcBorders>
              <w:top w:val="nil"/>
              <w:left w:val="nil"/>
              <w:bottom w:val="single" w:sz="4"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w:t>
            </w:r>
          </w:p>
        </w:tc>
        <w:tc>
          <w:tcPr>
            <w:tcW w:w="1059" w:type="dxa"/>
            <w:tcBorders>
              <w:top w:val="nil"/>
              <w:left w:val="single" w:sz="8" w:space="0" w:color="auto"/>
              <w:bottom w:val="single" w:sz="4"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w:t>
            </w:r>
          </w:p>
        </w:tc>
        <w:tc>
          <w:tcPr>
            <w:tcW w:w="1059" w:type="dxa"/>
            <w:tcBorders>
              <w:top w:val="nil"/>
              <w:left w:val="nil"/>
              <w:bottom w:val="single" w:sz="4" w:space="0" w:color="auto"/>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w:t>
            </w:r>
          </w:p>
        </w:tc>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(5)</w:t>
            </w:r>
          </w:p>
        </w:tc>
        <w:tc>
          <w:tcPr>
            <w:tcW w:w="1020" w:type="dxa"/>
            <w:tcBorders>
              <w:top w:val="nil"/>
              <w:left w:val="nil"/>
              <w:bottom w:val="single" w:sz="4"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(6)</w:t>
            </w:r>
          </w:p>
        </w:tc>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(7)</w:t>
            </w:r>
          </w:p>
        </w:tc>
        <w:tc>
          <w:tcPr>
            <w:tcW w:w="1020" w:type="dxa"/>
            <w:tcBorders>
              <w:top w:val="nil"/>
              <w:left w:val="nil"/>
              <w:bottom w:val="single" w:sz="4"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(8)</w:t>
            </w:r>
          </w:p>
        </w:tc>
      </w:tr>
      <w:tr w:rsidR="00EC2A52" w:rsidRPr="00C51791" w:rsidTr="00EC2A52">
        <w:trPr>
          <w:trHeight w:val="315"/>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20"/>
                <w:szCs w:val="20"/>
                <w:vertAlign w:val="superscript"/>
              </w:rPr>
            </w:pPr>
            <w:r w:rsidRPr="00C51791">
              <w:rPr>
                <w:rFonts w:ascii="Calibri" w:hAnsi="Calibri"/>
                <w:color w:val="000000"/>
                <w:sz w:val="20"/>
                <w:szCs w:val="20"/>
              </w:rPr>
              <w:t>VARIABLES</w:t>
            </w:r>
            <w:r>
              <w:rPr>
                <w:rFonts w:ascii="Calibri" w:hAnsi="Calibri"/>
                <w:color w:val="000000"/>
                <w:sz w:val="20"/>
                <w:szCs w:val="20"/>
                <w:vertAlign w:val="superscript"/>
              </w:rPr>
              <w:t>a</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D_new</w:t>
            </w:r>
          </w:p>
        </w:tc>
      </w:tr>
      <w:tr w:rsidR="00EC2A52" w:rsidRPr="00C51791" w:rsidTr="00EC2A52">
        <w:trPr>
          <w:trHeight w:val="315"/>
        </w:trPr>
        <w:tc>
          <w:tcPr>
            <w:tcW w:w="1720" w:type="dxa"/>
            <w:tcBorders>
              <w:top w:val="double" w:sz="6" w:space="0" w:color="auto"/>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t2</w:t>
            </w:r>
          </w:p>
        </w:tc>
        <w:tc>
          <w:tcPr>
            <w:tcW w:w="981"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0.925***</w:t>
            </w:r>
          </w:p>
        </w:tc>
        <w:tc>
          <w:tcPr>
            <w:tcW w:w="981" w:type="dxa"/>
            <w:tcBorders>
              <w:top w:val="double" w:sz="6" w:space="0" w:color="auto"/>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0.925***</w:t>
            </w:r>
          </w:p>
        </w:tc>
        <w:tc>
          <w:tcPr>
            <w:tcW w:w="1059"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1.703***</w:t>
            </w:r>
          </w:p>
        </w:tc>
        <w:tc>
          <w:tcPr>
            <w:tcW w:w="1059" w:type="dxa"/>
            <w:tcBorders>
              <w:top w:val="double" w:sz="6" w:space="0" w:color="auto"/>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1.703***</w:t>
            </w:r>
          </w:p>
        </w:tc>
        <w:tc>
          <w:tcPr>
            <w:tcW w:w="10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Pr>
                <w:rFonts w:ascii="Calibri" w:hAnsi="Calibri"/>
                <w:color w:val="000000"/>
                <w:sz w:val="20"/>
                <w:szCs w:val="20"/>
              </w:rPr>
              <w:t>0.095</w:t>
            </w:r>
          </w:p>
        </w:tc>
        <w:tc>
          <w:tcPr>
            <w:tcW w:w="1020" w:type="dxa"/>
            <w:tcBorders>
              <w:top w:val="double" w:sz="6" w:space="0" w:color="auto"/>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Pr>
                <w:rFonts w:ascii="Calibri" w:hAnsi="Calibri"/>
                <w:color w:val="000000"/>
                <w:sz w:val="20"/>
                <w:szCs w:val="20"/>
              </w:rPr>
              <w:t>0.095</w:t>
            </w:r>
          </w:p>
        </w:tc>
        <w:tc>
          <w:tcPr>
            <w:tcW w:w="10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w:t>
            </w:r>
            <w:r>
              <w:rPr>
                <w:rFonts w:ascii="Calibri" w:hAnsi="Calibri"/>
                <w:color w:val="000000"/>
                <w:sz w:val="20"/>
                <w:szCs w:val="20"/>
              </w:rPr>
              <w:t>13</w:t>
            </w:r>
          </w:p>
        </w:tc>
        <w:tc>
          <w:tcPr>
            <w:tcW w:w="1020" w:type="dxa"/>
            <w:tcBorders>
              <w:top w:val="double" w:sz="6" w:space="0" w:color="auto"/>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Pr>
                <w:rFonts w:ascii="Calibri" w:hAnsi="Calibri"/>
                <w:color w:val="000000"/>
                <w:sz w:val="20"/>
                <w:szCs w:val="20"/>
              </w:rPr>
              <w:t>0.013</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(0.275)</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(0.289)</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(0.304)</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(0.338)</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(0.162)</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(0.169)</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(0.176)</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(0.190)</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mkt_t2</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-1.091**</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-0.891</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-2.164***</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-3.855***</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0.233</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Pr>
                <w:rFonts w:ascii="Calibri" w:hAnsi="Calibri"/>
                <w:color w:val="000000"/>
                <w:sz w:val="20"/>
                <w:szCs w:val="20"/>
              </w:rPr>
              <w:t>-0.061</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0.441</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-2.165**</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(0.364)</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(1.575)</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(0.465)</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(0.782)</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(0.404)</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(1.517)</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(0.526)</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(0.690)</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cat_t2</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0.433**</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0.433*</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0.187</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0.187</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0.519***</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0.519***</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0.547***</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0.547***</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(0.188)</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(0.198)</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(0.237)</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(0.263)</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(0.118)</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(0.123)</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(0.126)</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(0.137)</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prod_t2</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Pr>
                <w:rFonts w:ascii="Calibri" w:hAnsi="Calibri"/>
                <w:color w:val="000000"/>
                <w:sz w:val="20"/>
                <w:szCs w:val="20"/>
              </w:rPr>
              <w:t>-0.007</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0.829</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0.489</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3.006**</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(1.584)</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(0.660)</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(1.621)</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(1.230)</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Pr>
                <w:rFonts w:ascii="Calibri" w:hAnsi="Calibri"/>
                <w:color w:val="000000"/>
                <w:sz w:val="20"/>
                <w:szCs w:val="20"/>
              </w:rPr>
              <w:t>t</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-1.740*</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-1.740*</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-2.940***</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-2.940**</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0.639</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0.639</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1.302</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1.302</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(0.841)</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(0.882)</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(0.860)</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(0.954)</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(0.629)</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(0.655)</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(0.720)</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(0.778)</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mkt_t</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2.880*</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2.395</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4.875**</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8.412***</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-0.821</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Pr>
                <w:rFonts w:ascii="Calibri" w:hAnsi="Calibri"/>
                <w:color w:val="000000"/>
                <w:sz w:val="20"/>
                <w:szCs w:val="20"/>
              </w:rPr>
              <w:t>0.016</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-1.782</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4.170**</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(1.313)</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(3.769)</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(1.600)</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(1.868)</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(1.392)</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(3.599)</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(1.767)</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(1.698)</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prod_t</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-0.387</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0.227</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-1.835</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-7.968</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(3.740)</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(1.456)</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(4.007)</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(4.416)</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cross</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0.991</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0.381</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0.991</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0.381*</w:t>
            </w:r>
          </w:p>
        </w:tc>
      </w:tr>
      <w:tr w:rsidR="00EC2A52" w:rsidRPr="00C51791" w:rsidTr="00EC2A52">
        <w:trPr>
          <w:trHeight w:val="315"/>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(0.987)</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(0.207)</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(0.968)</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(0.195)</w:t>
            </w:r>
          </w:p>
        </w:tc>
      </w:tr>
      <w:tr w:rsidR="00EC2A52" w:rsidRPr="00C51791" w:rsidTr="00EC2A52">
        <w:trPr>
          <w:trHeight w:val="315"/>
        </w:trPr>
        <w:tc>
          <w:tcPr>
            <w:tcW w:w="1720" w:type="dxa"/>
            <w:tcBorders>
              <w:top w:val="double" w:sz="6" w:space="0" w:color="auto"/>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Observations</w:t>
            </w:r>
          </w:p>
        </w:tc>
        <w:tc>
          <w:tcPr>
            <w:tcW w:w="981"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38</w:t>
            </w:r>
          </w:p>
        </w:tc>
        <w:tc>
          <w:tcPr>
            <w:tcW w:w="981" w:type="dxa"/>
            <w:tcBorders>
              <w:top w:val="double" w:sz="6" w:space="0" w:color="auto"/>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38</w:t>
            </w:r>
          </w:p>
        </w:tc>
        <w:tc>
          <w:tcPr>
            <w:tcW w:w="1059"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21</w:t>
            </w:r>
          </w:p>
        </w:tc>
        <w:tc>
          <w:tcPr>
            <w:tcW w:w="1059" w:type="dxa"/>
            <w:tcBorders>
              <w:top w:val="double" w:sz="6" w:space="0" w:color="auto"/>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21</w:t>
            </w:r>
          </w:p>
        </w:tc>
        <w:tc>
          <w:tcPr>
            <w:tcW w:w="10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43</w:t>
            </w:r>
          </w:p>
        </w:tc>
        <w:tc>
          <w:tcPr>
            <w:tcW w:w="1020" w:type="dxa"/>
            <w:tcBorders>
              <w:top w:val="double" w:sz="6" w:space="0" w:color="auto"/>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43</w:t>
            </w:r>
          </w:p>
        </w:tc>
        <w:tc>
          <w:tcPr>
            <w:tcW w:w="10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26</w:t>
            </w:r>
          </w:p>
        </w:tc>
        <w:tc>
          <w:tcPr>
            <w:tcW w:w="1020" w:type="dxa"/>
            <w:tcBorders>
              <w:top w:val="double" w:sz="6" w:space="0" w:color="auto"/>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26</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R2</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0.571</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0.591</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0.757</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0.808</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0.846</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0.851</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0.877</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0.889</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center"/>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Adjusted R-squared</w:t>
            </w:r>
          </w:p>
        </w:tc>
        <w:tc>
          <w:tcPr>
            <w:tcW w:w="981" w:type="dxa"/>
            <w:tcBorders>
              <w:top w:val="nil"/>
              <w:left w:val="single" w:sz="8" w:space="0" w:color="auto"/>
              <w:bottom w:val="nil"/>
              <w:right w:val="single" w:sz="4" w:space="0" w:color="auto"/>
            </w:tcBorders>
            <w:shd w:val="clear" w:color="auto" w:fill="auto"/>
            <w:noWrap/>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0.507</w:t>
            </w:r>
          </w:p>
        </w:tc>
        <w:tc>
          <w:tcPr>
            <w:tcW w:w="981" w:type="dxa"/>
            <w:tcBorders>
              <w:top w:val="nil"/>
              <w:left w:val="nil"/>
              <w:bottom w:val="nil"/>
              <w:right w:val="single" w:sz="4" w:space="0" w:color="auto"/>
            </w:tcBorders>
            <w:shd w:val="clear" w:color="auto" w:fill="auto"/>
            <w:noWrap/>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0.481</w:t>
            </w:r>
          </w:p>
        </w:tc>
        <w:tc>
          <w:tcPr>
            <w:tcW w:w="1059" w:type="dxa"/>
            <w:tcBorders>
              <w:top w:val="nil"/>
              <w:left w:val="single" w:sz="8" w:space="0" w:color="auto"/>
              <w:bottom w:val="nil"/>
              <w:right w:val="single" w:sz="4" w:space="0" w:color="auto"/>
            </w:tcBorders>
            <w:shd w:val="clear" w:color="auto" w:fill="auto"/>
            <w:noWrap/>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0.681</w:t>
            </w:r>
          </w:p>
        </w:tc>
        <w:tc>
          <w:tcPr>
            <w:tcW w:w="1059" w:type="dxa"/>
            <w:tcBorders>
              <w:top w:val="nil"/>
              <w:left w:val="nil"/>
              <w:bottom w:val="nil"/>
              <w:right w:val="nil"/>
            </w:tcBorders>
            <w:shd w:val="clear" w:color="auto" w:fill="auto"/>
            <w:noWrap/>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0.689</w:t>
            </w:r>
          </w:p>
        </w:tc>
        <w:tc>
          <w:tcPr>
            <w:tcW w:w="1020" w:type="dxa"/>
            <w:tcBorders>
              <w:top w:val="nil"/>
              <w:left w:val="single" w:sz="8" w:space="0" w:color="auto"/>
              <w:bottom w:val="nil"/>
              <w:right w:val="single" w:sz="4" w:space="0" w:color="auto"/>
            </w:tcBorders>
            <w:shd w:val="clear" w:color="auto" w:fill="auto"/>
            <w:noWrap/>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0.826</w:t>
            </w:r>
          </w:p>
        </w:tc>
        <w:tc>
          <w:tcPr>
            <w:tcW w:w="1020" w:type="dxa"/>
            <w:tcBorders>
              <w:top w:val="nil"/>
              <w:left w:val="nil"/>
              <w:bottom w:val="nil"/>
              <w:right w:val="single" w:sz="4" w:space="0" w:color="auto"/>
            </w:tcBorders>
            <w:shd w:val="clear" w:color="auto" w:fill="auto"/>
            <w:noWrap/>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0.817</w:t>
            </w:r>
          </w:p>
        </w:tc>
        <w:tc>
          <w:tcPr>
            <w:tcW w:w="1020" w:type="dxa"/>
            <w:tcBorders>
              <w:top w:val="nil"/>
              <w:left w:val="single" w:sz="8" w:space="0" w:color="auto"/>
              <w:bottom w:val="nil"/>
              <w:right w:val="single" w:sz="4" w:space="0" w:color="auto"/>
            </w:tcBorders>
            <w:shd w:val="clear" w:color="auto" w:fill="auto"/>
            <w:noWrap/>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0.848</w:t>
            </w:r>
          </w:p>
        </w:tc>
        <w:tc>
          <w:tcPr>
            <w:tcW w:w="1020" w:type="dxa"/>
            <w:tcBorders>
              <w:top w:val="nil"/>
              <w:left w:val="nil"/>
              <w:bottom w:val="nil"/>
              <w:right w:val="single" w:sz="8" w:space="0" w:color="auto"/>
            </w:tcBorders>
            <w:shd w:val="clear" w:color="auto" w:fill="auto"/>
            <w:noWrap/>
            <w:vAlign w:val="center"/>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0.840</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Likelihood</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-82.90</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-82.04</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-42.96</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-40.50</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-113.7</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-113.0</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-71.55</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-70.21</w:t>
            </w:r>
          </w:p>
        </w:tc>
      </w:tr>
      <w:tr w:rsidR="00EC2A52" w:rsidRPr="00C51791"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F-statistic</w:t>
            </w:r>
          </w:p>
        </w:tc>
        <w:tc>
          <w:tcPr>
            <w:tcW w:w="981"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17.82</w:t>
            </w:r>
          </w:p>
        </w:tc>
        <w:tc>
          <w:tcPr>
            <w:tcW w:w="981"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59"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19.01</w:t>
            </w:r>
          </w:p>
        </w:tc>
        <w:tc>
          <w:tcPr>
            <w:tcW w:w="1059" w:type="dxa"/>
            <w:tcBorders>
              <w:top w:val="nil"/>
              <w:left w:val="nil"/>
              <w:bottom w:val="nil"/>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6845</w:t>
            </w:r>
          </w:p>
        </w:tc>
        <w:tc>
          <w:tcPr>
            <w:tcW w:w="1020" w:type="dxa"/>
            <w:tcBorders>
              <w:top w:val="nil"/>
              <w:left w:val="nil"/>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single" w:sz="8" w:space="0" w:color="auto"/>
              <w:bottom w:val="nil"/>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5036</w:t>
            </w:r>
          </w:p>
        </w:tc>
        <w:tc>
          <w:tcPr>
            <w:tcW w:w="1020" w:type="dxa"/>
            <w:tcBorders>
              <w:top w:val="nil"/>
              <w:left w:val="nil"/>
              <w:bottom w:val="nil"/>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r>
      <w:tr w:rsidR="00EC2A52" w:rsidRPr="00C51791" w:rsidTr="00EC2A52">
        <w:trPr>
          <w:trHeight w:val="315"/>
        </w:trPr>
        <w:tc>
          <w:tcPr>
            <w:tcW w:w="1720" w:type="dxa"/>
            <w:tcBorders>
              <w:top w:val="nil"/>
              <w:left w:val="single" w:sz="8" w:space="0" w:color="auto"/>
              <w:bottom w:val="double" w:sz="6"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Prob&gt;F</w:t>
            </w:r>
          </w:p>
        </w:tc>
        <w:tc>
          <w:tcPr>
            <w:tcW w:w="981"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c>
          <w:tcPr>
            <w:tcW w:w="981"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59"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c>
          <w:tcPr>
            <w:tcW w:w="1059" w:type="dxa"/>
            <w:tcBorders>
              <w:top w:val="nil"/>
              <w:left w:val="nil"/>
              <w:bottom w:val="double" w:sz="6" w:space="0" w:color="auto"/>
              <w:right w:val="nil"/>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c>
          <w:tcPr>
            <w:tcW w:w="102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c>
          <w:tcPr>
            <w:tcW w:w="10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w:t>
            </w:r>
          </w:p>
        </w:tc>
        <w:tc>
          <w:tcPr>
            <w:tcW w:w="1020" w:type="dxa"/>
            <w:tcBorders>
              <w:top w:val="nil"/>
              <w:left w:val="nil"/>
              <w:bottom w:val="double" w:sz="6"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 </w:t>
            </w:r>
          </w:p>
        </w:tc>
      </w:tr>
      <w:tr w:rsidR="00EC2A52" w:rsidRPr="00C51791" w:rsidTr="00EC2A52">
        <w:trPr>
          <w:trHeight w:val="330"/>
        </w:trPr>
        <w:tc>
          <w:tcPr>
            <w:tcW w:w="9880" w:type="dxa"/>
            <w:gridSpan w:val="9"/>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Hypothesis: non-catastrophic impacts</w:t>
            </w:r>
            <w:r>
              <w:rPr>
                <w:rFonts w:ascii="Calibri" w:hAnsi="Calibri"/>
                <w:color w:val="000000"/>
                <w:sz w:val="20"/>
                <w:szCs w:val="20"/>
              </w:rPr>
              <w:t xml:space="preserve"> (</w:t>
            </w:r>
            <w:r w:rsidRPr="000E1CEE">
              <w:rPr>
                <w:rFonts w:ascii="Calibri" w:hAnsi="Calibri"/>
                <w:color w:val="000000"/>
                <w:sz w:val="20"/>
                <w:szCs w:val="20"/>
              </w:rPr>
              <w:t>without productivity</w:t>
            </w:r>
            <w:r>
              <w:rPr>
                <w:rFonts w:ascii="Calibri" w:hAnsi="Calibri"/>
                <w:color w:val="000000"/>
                <w:sz w:val="20"/>
                <w:szCs w:val="20"/>
              </w:rPr>
              <w:t>)</w:t>
            </w:r>
            <w:r w:rsidRPr="00C51791">
              <w:rPr>
                <w:rFonts w:ascii="Calibri" w:hAnsi="Calibri"/>
                <w:color w:val="000000"/>
                <w:sz w:val="20"/>
                <w:szCs w:val="20"/>
              </w:rPr>
              <w:t xml:space="preserve"> equal to Tol (2014) estimate</w:t>
            </w:r>
          </w:p>
        </w:tc>
      </w:tr>
      <w:tr w:rsidR="00EC2A52" w:rsidRPr="00C51791" w:rsidTr="00EC2A52">
        <w:trPr>
          <w:trHeight w:val="33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p-value</w:t>
            </w:r>
          </w:p>
        </w:tc>
        <w:tc>
          <w:tcPr>
            <w:tcW w:w="981"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0.0531</w:t>
            </w:r>
          </w:p>
        </w:tc>
        <w:tc>
          <w:tcPr>
            <w:tcW w:w="981"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0.0656</w:t>
            </w:r>
          </w:p>
        </w:tc>
        <w:tc>
          <w:tcPr>
            <w:tcW w:w="1059"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0.0026</w:t>
            </w:r>
          </w:p>
        </w:tc>
        <w:tc>
          <w:tcPr>
            <w:tcW w:w="1059"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0.0049</w:t>
            </w:r>
          </w:p>
        </w:tc>
        <w:tc>
          <w:tcPr>
            <w:tcW w:w="10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0.8032</w:t>
            </w:r>
          </w:p>
        </w:tc>
        <w:tc>
          <w:tcPr>
            <w:tcW w:w="102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0.8170</w:t>
            </w:r>
          </w:p>
        </w:tc>
        <w:tc>
          <w:tcPr>
            <w:tcW w:w="102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0.2387</w:t>
            </w:r>
          </w:p>
        </w:tc>
        <w:tc>
          <w:tcPr>
            <w:tcW w:w="1020" w:type="dxa"/>
            <w:tcBorders>
              <w:top w:val="nil"/>
              <w:left w:val="nil"/>
              <w:bottom w:val="double" w:sz="6"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0.2861</w:t>
            </w:r>
          </w:p>
        </w:tc>
      </w:tr>
      <w:tr w:rsidR="00EC2A52" w:rsidRPr="00C51791" w:rsidTr="00EC2A52">
        <w:trPr>
          <w:trHeight w:val="330"/>
        </w:trPr>
        <w:tc>
          <w:tcPr>
            <w:tcW w:w="9880" w:type="dxa"/>
            <w:gridSpan w:val="9"/>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Hypothesis: total impacts</w:t>
            </w:r>
            <w:r>
              <w:rPr>
                <w:rFonts w:ascii="Calibri" w:hAnsi="Calibri"/>
                <w:color w:val="000000"/>
                <w:sz w:val="20"/>
                <w:szCs w:val="20"/>
              </w:rPr>
              <w:t xml:space="preserve"> (</w:t>
            </w:r>
            <w:r w:rsidRPr="000E1CEE">
              <w:rPr>
                <w:rFonts w:ascii="Calibri" w:hAnsi="Calibri"/>
                <w:color w:val="000000"/>
                <w:sz w:val="20"/>
                <w:szCs w:val="20"/>
              </w:rPr>
              <w:t>without productivity</w:t>
            </w:r>
            <w:r>
              <w:rPr>
                <w:rFonts w:ascii="Calibri" w:hAnsi="Calibri"/>
                <w:color w:val="000000"/>
                <w:sz w:val="20"/>
                <w:szCs w:val="20"/>
              </w:rPr>
              <w:t>)</w:t>
            </w:r>
            <w:r w:rsidRPr="00C51791">
              <w:rPr>
                <w:rFonts w:ascii="Calibri" w:hAnsi="Calibri"/>
                <w:color w:val="000000"/>
                <w:sz w:val="20"/>
                <w:szCs w:val="20"/>
              </w:rPr>
              <w:t xml:space="preserve"> equal to Tol (2014) estimate</w:t>
            </w:r>
          </w:p>
        </w:tc>
      </w:tr>
      <w:tr w:rsidR="00EC2A52" w:rsidRPr="00C51791" w:rsidTr="00EC2A52">
        <w:trPr>
          <w:trHeight w:val="330"/>
        </w:trPr>
        <w:tc>
          <w:tcPr>
            <w:tcW w:w="1720" w:type="dxa"/>
            <w:tcBorders>
              <w:top w:val="nil"/>
              <w:left w:val="single" w:sz="8" w:space="0" w:color="auto"/>
              <w:bottom w:val="single" w:sz="8"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p-value</w:t>
            </w:r>
          </w:p>
        </w:tc>
        <w:tc>
          <w:tcPr>
            <w:tcW w:w="981" w:type="dxa"/>
            <w:tcBorders>
              <w:top w:val="nil"/>
              <w:left w:val="single" w:sz="8" w:space="0" w:color="auto"/>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0.0033</w:t>
            </w:r>
          </w:p>
        </w:tc>
        <w:tc>
          <w:tcPr>
            <w:tcW w:w="981"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0.0046</w:t>
            </w:r>
          </w:p>
        </w:tc>
        <w:tc>
          <w:tcPr>
            <w:tcW w:w="1059"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0.0019</w:t>
            </w:r>
          </w:p>
        </w:tc>
        <w:tc>
          <w:tcPr>
            <w:tcW w:w="1059"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0.0036</w:t>
            </w:r>
          </w:p>
        </w:tc>
        <w:tc>
          <w:tcPr>
            <w:tcW w:w="10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0.0000</w:t>
            </w:r>
          </w:p>
        </w:tc>
        <w:tc>
          <w:tcPr>
            <w:tcW w:w="102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0.0000</w:t>
            </w:r>
          </w:p>
        </w:tc>
        <w:tc>
          <w:tcPr>
            <w:tcW w:w="102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0.0000</w:t>
            </w:r>
          </w:p>
        </w:tc>
        <w:tc>
          <w:tcPr>
            <w:tcW w:w="1020" w:type="dxa"/>
            <w:tcBorders>
              <w:top w:val="nil"/>
              <w:left w:val="nil"/>
              <w:bottom w:val="single" w:sz="8"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0.0000</w:t>
            </w:r>
          </w:p>
        </w:tc>
      </w:tr>
      <w:tr w:rsidR="00EC2A52" w:rsidRPr="00C51791" w:rsidTr="00EC2A52">
        <w:trPr>
          <w:trHeight w:val="330"/>
        </w:trPr>
        <w:tc>
          <w:tcPr>
            <w:tcW w:w="9880" w:type="dxa"/>
            <w:gridSpan w:val="9"/>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Hypothesis: non-catastrophic impacts (with productivity) equal to Tol (2014) estimate</w:t>
            </w:r>
          </w:p>
        </w:tc>
      </w:tr>
      <w:tr w:rsidR="00EC2A52" w:rsidRPr="00C51791" w:rsidTr="00EC2A52">
        <w:trPr>
          <w:trHeight w:val="330"/>
        </w:trPr>
        <w:tc>
          <w:tcPr>
            <w:tcW w:w="1720" w:type="dxa"/>
            <w:tcBorders>
              <w:top w:val="nil"/>
              <w:left w:val="single" w:sz="8" w:space="0" w:color="auto"/>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p-value</w:t>
            </w:r>
          </w:p>
        </w:tc>
        <w:tc>
          <w:tcPr>
            <w:tcW w:w="981"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981"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0.5856</w:t>
            </w:r>
          </w:p>
        </w:tc>
        <w:tc>
          <w:tcPr>
            <w:tcW w:w="1059"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059"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0.0021</w:t>
            </w:r>
          </w:p>
        </w:tc>
        <w:tc>
          <w:tcPr>
            <w:tcW w:w="10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02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0.7754</w:t>
            </w:r>
          </w:p>
        </w:tc>
        <w:tc>
          <w:tcPr>
            <w:tcW w:w="1020" w:type="dxa"/>
            <w:tcBorders>
              <w:top w:val="nil"/>
              <w:left w:val="nil"/>
              <w:bottom w:val="double" w:sz="6"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020" w:type="dxa"/>
            <w:tcBorders>
              <w:top w:val="nil"/>
              <w:left w:val="nil"/>
              <w:bottom w:val="double" w:sz="6"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0.0119</w:t>
            </w:r>
          </w:p>
        </w:tc>
      </w:tr>
      <w:tr w:rsidR="00EC2A52" w:rsidRPr="00C51791" w:rsidTr="00EC2A52">
        <w:trPr>
          <w:trHeight w:val="330"/>
        </w:trPr>
        <w:tc>
          <w:tcPr>
            <w:tcW w:w="9880" w:type="dxa"/>
            <w:gridSpan w:val="9"/>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Hypothesis: total impacts (with productivity) equal to Tol (2014) estimate</w:t>
            </w:r>
          </w:p>
        </w:tc>
      </w:tr>
      <w:tr w:rsidR="00EC2A52" w:rsidRPr="00C51791" w:rsidTr="00EC2A52">
        <w:trPr>
          <w:trHeight w:val="330"/>
        </w:trPr>
        <w:tc>
          <w:tcPr>
            <w:tcW w:w="1720" w:type="dxa"/>
            <w:tcBorders>
              <w:top w:val="nil"/>
              <w:left w:val="single" w:sz="8" w:space="0" w:color="auto"/>
              <w:bottom w:val="single" w:sz="8" w:space="0" w:color="auto"/>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p-value</w:t>
            </w:r>
          </w:p>
        </w:tc>
        <w:tc>
          <w:tcPr>
            <w:tcW w:w="981" w:type="dxa"/>
            <w:tcBorders>
              <w:top w:val="nil"/>
              <w:left w:val="single" w:sz="8" w:space="0" w:color="auto"/>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981"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0.1091</w:t>
            </w:r>
          </w:p>
        </w:tc>
        <w:tc>
          <w:tcPr>
            <w:tcW w:w="1059" w:type="dxa"/>
            <w:tcBorders>
              <w:top w:val="nil"/>
              <w:left w:val="single" w:sz="8" w:space="0" w:color="auto"/>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059"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0.0129</w:t>
            </w:r>
          </w:p>
        </w:tc>
        <w:tc>
          <w:tcPr>
            <w:tcW w:w="10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02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0.7603</w:t>
            </w:r>
          </w:p>
        </w:tc>
        <w:tc>
          <w:tcPr>
            <w:tcW w:w="1020" w:type="dxa"/>
            <w:tcBorders>
              <w:top w:val="nil"/>
              <w:left w:val="nil"/>
              <w:bottom w:val="single" w:sz="8" w:space="0" w:color="auto"/>
              <w:right w:val="single" w:sz="4"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w:t>
            </w:r>
          </w:p>
        </w:tc>
        <w:tc>
          <w:tcPr>
            <w:tcW w:w="1020" w:type="dxa"/>
            <w:tcBorders>
              <w:top w:val="nil"/>
              <w:left w:val="nil"/>
              <w:bottom w:val="single" w:sz="8" w:space="0" w:color="auto"/>
              <w:right w:val="single" w:sz="8" w:space="0" w:color="auto"/>
            </w:tcBorders>
            <w:shd w:val="clear" w:color="auto" w:fill="auto"/>
            <w:noWrap/>
            <w:vAlign w:val="bottom"/>
            <w:hideMark/>
          </w:tcPr>
          <w:p w:rsidR="00EC2A52" w:rsidRPr="00C51791" w:rsidRDefault="00EC2A52" w:rsidP="00EC2A52">
            <w:pPr>
              <w:jc w:val="center"/>
              <w:rPr>
                <w:rFonts w:ascii="Calibri" w:hAnsi="Calibri"/>
                <w:color w:val="000000"/>
                <w:sz w:val="20"/>
                <w:szCs w:val="20"/>
              </w:rPr>
            </w:pPr>
            <w:r w:rsidRPr="00C51791">
              <w:rPr>
                <w:rFonts w:ascii="Calibri" w:hAnsi="Calibri"/>
                <w:color w:val="000000"/>
                <w:sz w:val="20"/>
                <w:szCs w:val="20"/>
              </w:rPr>
              <w:t>0.0331</w:t>
            </w:r>
          </w:p>
        </w:tc>
      </w:tr>
      <w:tr w:rsidR="00EC2A52" w:rsidRPr="00C51791" w:rsidTr="00EC2A52">
        <w:trPr>
          <w:trHeight w:val="300"/>
        </w:trPr>
        <w:tc>
          <w:tcPr>
            <w:tcW w:w="9880" w:type="dxa"/>
            <w:gridSpan w:val="9"/>
            <w:tcBorders>
              <w:top w:val="single" w:sz="8" w:space="0" w:color="auto"/>
              <w:left w:val="nil"/>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Robust standard errors in parentheses</w:t>
            </w:r>
          </w:p>
        </w:tc>
      </w:tr>
      <w:tr w:rsidR="00EC2A52" w:rsidRPr="00C51791" w:rsidTr="00EC2A52">
        <w:trPr>
          <w:trHeight w:val="300"/>
        </w:trPr>
        <w:tc>
          <w:tcPr>
            <w:tcW w:w="9880" w:type="dxa"/>
            <w:gridSpan w:val="9"/>
            <w:tcBorders>
              <w:top w:val="nil"/>
              <w:left w:val="nil"/>
              <w:bottom w:val="nil"/>
              <w:right w:val="nil"/>
            </w:tcBorders>
            <w:shd w:val="clear" w:color="auto" w:fill="auto"/>
            <w:noWrap/>
            <w:vAlign w:val="bottom"/>
            <w:hideMark/>
          </w:tcPr>
          <w:p w:rsidR="00EC2A52" w:rsidRPr="00C51791" w:rsidRDefault="00EC2A52" w:rsidP="00EC2A52">
            <w:pPr>
              <w:rPr>
                <w:rFonts w:ascii="Calibri" w:hAnsi="Calibri"/>
                <w:color w:val="000000"/>
                <w:sz w:val="20"/>
                <w:szCs w:val="20"/>
              </w:rPr>
            </w:pPr>
            <w:r w:rsidRPr="00C51791">
              <w:rPr>
                <w:rFonts w:ascii="Calibri" w:hAnsi="Calibri"/>
                <w:color w:val="000000"/>
                <w:sz w:val="20"/>
                <w:szCs w:val="20"/>
              </w:rPr>
              <w:t>*** p&lt;0.01, ** p&lt;0.05, * p&lt;0.1</w:t>
            </w:r>
          </w:p>
        </w:tc>
      </w:tr>
    </w:tbl>
    <w:p w:rsidR="00EC2A52" w:rsidRPr="002D03A9" w:rsidRDefault="00EC2A52" w:rsidP="00EC2A52">
      <w:pPr>
        <w:spacing w:after="120"/>
        <w:rPr>
          <w:i/>
          <w:sz w:val="18"/>
          <w:szCs w:val="18"/>
        </w:rPr>
      </w:pPr>
    </w:p>
    <w:p w:rsidR="00EC2A52" w:rsidRPr="002D03A9" w:rsidRDefault="00EC2A52" w:rsidP="00EC2A52">
      <w:pPr>
        <w:spacing w:after="120"/>
        <w:jc w:val="both"/>
        <w:rPr>
          <w:i/>
          <w:sz w:val="18"/>
          <w:szCs w:val="18"/>
        </w:rPr>
      </w:pPr>
      <w:r w:rsidRPr="002D03A9">
        <w:rPr>
          <w:i/>
          <w:sz w:val="18"/>
          <w:szCs w:val="18"/>
          <w:vertAlign w:val="superscript"/>
        </w:rPr>
        <w:lastRenderedPageBreak/>
        <w:t xml:space="preserve">a </w:t>
      </w:r>
      <w:r w:rsidRPr="002D03A9">
        <w:rPr>
          <w:i/>
          <w:sz w:val="18"/>
          <w:szCs w:val="18"/>
        </w:rPr>
        <w:t>See variable definitions in Table A2 in Appendix A.</w:t>
      </w:r>
    </w:p>
    <w:p w:rsidR="00EC2A52" w:rsidRDefault="00EC2A52" w:rsidP="00EC2A52">
      <w:pPr>
        <w:spacing w:after="200" w:line="276" w:lineRule="auto"/>
        <w:rPr>
          <w:b/>
          <w:i/>
          <w:sz w:val="20"/>
          <w:szCs w:val="20"/>
        </w:rPr>
      </w:pPr>
      <w:r>
        <w:rPr>
          <w:b/>
          <w:i/>
          <w:sz w:val="20"/>
          <w:szCs w:val="20"/>
        </w:rPr>
        <w:br w:type="page"/>
      </w:r>
    </w:p>
    <w:p w:rsidR="00EC2A52" w:rsidRPr="009263A5" w:rsidRDefault="00EC2A52" w:rsidP="00EC2A52">
      <w:pPr>
        <w:spacing w:after="120"/>
        <w:jc w:val="both"/>
        <w:rPr>
          <w:b/>
          <w:i/>
          <w:sz w:val="20"/>
          <w:szCs w:val="20"/>
        </w:rPr>
      </w:pPr>
      <w:r w:rsidRPr="00F50D95">
        <w:rPr>
          <w:b/>
          <w:i/>
          <w:sz w:val="20"/>
          <w:szCs w:val="20"/>
        </w:rPr>
        <w:lastRenderedPageBreak/>
        <w:t>Table C2. Bias of Tol’s (2014) Regression Specification</w:t>
      </w:r>
      <w:r>
        <w:rPr>
          <w:b/>
          <w:i/>
          <w:sz w:val="20"/>
          <w:szCs w:val="20"/>
        </w:rPr>
        <w:t xml:space="preserve"> for Low-Temperature Data</w:t>
      </w:r>
      <w:r w:rsidRPr="00F50D95">
        <w:rPr>
          <w:b/>
          <w:i/>
          <w:sz w:val="20"/>
          <w:szCs w:val="20"/>
        </w:rPr>
        <w:t>: OLS and WLS with Cluster-Robust Standard Errors at the Model Level, by Specification and Dataset</w:t>
      </w:r>
    </w:p>
    <w:tbl>
      <w:tblPr>
        <w:tblW w:w="8520" w:type="dxa"/>
        <w:tblInd w:w="93" w:type="dxa"/>
        <w:tblLook w:val="04A0"/>
      </w:tblPr>
      <w:tblGrid>
        <w:gridCol w:w="1800"/>
        <w:gridCol w:w="1120"/>
        <w:gridCol w:w="1120"/>
        <w:gridCol w:w="1120"/>
        <w:gridCol w:w="1120"/>
        <w:gridCol w:w="1120"/>
        <w:gridCol w:w="1145"/>
      </w:tblGrid>
      <w:tr w:rsidR="00EC2A52" w:rsidRPr="00CB587B" w:rsidTr="00EC2A52">
        <w:trPr>
          <w:trHeight w:val="300"/>
        </w:trPr>
        <w:tc>
          <w:tcPr>
            <w:tcW w:w="180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rsidR="00EC2A52" w:rsidRPr="002D03A9" w:rsidRDefault="00EC2A52" w:rsidP="00EC2A52">
            <w:pPr>
              <w:rPr>
                <w:rFonts w:ascii="Calibri" w:hAnsi="Calibri"/>
                <w:color w:val="000000"/>
                <w:sz w:val="20"/>
                <w:szCs w:val="20"/>
                <w:vertAlign w:val="superscript"/>
              </w:rPr>
            </w:pPr>
            <w:r w:rsidRPr="00CB587B">
              <w:rPr>
                <w:rFonts w:ascii="Calibri" w:hAnsi="Calibri"/>
                <w:color w:val="000000"/>
                <w:sz w:val="20"/>
                <w:szCs w:val="20"/>
              </w:rPr>
              <w:t>Datasets and Specifications</w:t>
            </w:r>
            <w:r>
              <w:rPr>
                <w:rFonts w:ascii="Calibri" w:hAnsi="Calibri"/>
                <w:color w:val="000000"/>
                <w:sz w:val="20"/>
                <w:szCs w:val="20"/>
                <w:vertAlign w:val="superscript"/>
              </w:rPr>
              <w:t>a</w:t>
            </w:r>
          </w:p>
        </w:tc>
        <w:tc>
          <w:tcPr>
            <w:tcW w:w="672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Damages for Temp. Increases≤4°C and Excludes Duplicates</w:t>
            </w:r>
          </w:p>
        </w:tc>
      </w:tr>
      <w:tr w:rsidR="00EC2A52" w:rsidRPr="00CB587B" w:rsidTr="00EC2A52">
        <w:trPr>
          <w:trHeight w:val="510"/>
        </w:trPr>
        <w:tc>
          <w:tcPr>
            <w:tcW w:w="1800" w:type="dxa"/>
            <w:vMerge/>
            <w:tcBorders>
              <w:top w:val="single" w:sz="8" w:space="0" w:color="auto"/>
              <w:left w:val="single" w:sz="8" w:space="0" w:color="auto"/>
              <w:bottom w:val="double" w:sz="6" w:space="0" w:color="000000"/>
              <w:right w:val="single" w:sz="8" w:space="0" w:color="auto"/>
            </w:tcBorders>
            <w:vAlign w:val="center"/>
            <w:hideMark/>
          </w:tcPr>
          <w:p w:rsidR="00EC2A52" w:rsidRPr="00CB587B" w:rsidRDefault="00EC2A52" w:rsidP="00EC2A52">
            <w:pPr>
              <w:rPr>
                <w:rFonts w:ascii="Calibri" w:hAnsi="Calibri"/>
                <w:color w:val="000000"/>
                <w:sz w:val="20"/>
                <w:szCs w:val="20"/>
              </w:rPr>
            </w:pPr>
          </w:p>
        </w:tc>
        <w:tc>
          <w:tcPr>
            <w:tcW w:w="1120" w:type="dxa"/>
            <w:tcBorders>
              <w:top w:val="nil"/>
              <w:left w:val="nil"/>
              <w:bottom w:val="single" w:sz="4" w:space="0" w:color="auto"/>
              <w:right w:val="nil"/>
            </w:tcBorders>
            <w:shd w:val="clear" w:color="auto" w:fill="auto"/>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Tol (2014)</w:t>
            </w:r>
          </w:p>
        </w:tc>
        <w:tc>
          <w:tcPr>
            <w:tcW w:w="1120" w:type="dxa"/>
            <w:tcBorders>
              <w:top w:val="nil"/>
              <w:left w:val="single" w:sz="8" w:space="0" w:color="auto"/>
              <w:bottom w:val="single" w:sz="4" w:space="0" w:color="auto"/>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20"/>
                <w:szCs w:val="20"/>
                <w:vertAlign w:val="superscript"/>
              </w:rPr>
            </w:pPr>
            <w:r w:rsidRPr="00CB587B">
              <w:rPr>
                <w:rFonts w:ascii="Calibri" w:hAnsi="Calibri"/>
                <w:color w:val="000000"/>
                <w:sz w:val="20"/>
                <w:szCs w:val="20"/>
              </w:rPr>
              <w:t>Original</w:t>
            </w:r>
            <w:r>
              <w:rPr>
                <w:rFonts w:ascii="Calibri" w:hAnsi="Calibri"/>
                <w:color w:val="000000"/>
                <w:sz w:val="20"/>
                <w:szCs w:val="20"/>
                <w:vertAlign w:val="superscript"/>
              </w:rPr>
              <w:t>c</w:t>
            </w:r>
          </w:p>
        </w:tc>
        <w:tc>
          <w:tcPr>
            <w:tcW w:w="1120" w:type="dxa"/>
            <w:tcBorders>
              <w:top w:val="nil"/>
              <w:left w:val="nil"/>
              <w:bottom w:val="single" w:sz="4" w:space="0" w:color="auto"/>
              <w:right w:val="single" w:sz="4" w:space="0" w:color="auto"/>
            </w:tcBorders>
            <w:shd w:val="clear" w:color="auto" w:fill="auto"/>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Correct Data</w:t>
            </w:r>
          </w:p>
        </w:tc>
        <w:tc>
          <w:tcPr>
            <w:tcW w:w="1120" w:type="dxa"/>
            <w:tcBorders>
              <w:top w:val="nil"/>
              <w:left w:val="nil"/>
              <w:bottom w:val="single" w:sz="4" w:space="0" w:color="auto"/>
              <w:right w:val="single" w:sz="4" w:space="0" w:color="auto"/>
            </w:tcBorders>
            <w:shd w:val="clear" w:color="auto" w:fill="auto"/>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New Data</w:t>
            </w:r>
          </w:p>
        </w:tc>
        <w:tc>
          <w:tcPr>
            <w:tcW w:w="1120" w:type="dxa"/>
            <w:tcBorders>
              <w:top w:val="nil"/>
              <w:left w:val="nil"/>
              <w:bottom w:val="single" w:sz="4" w:space="0" w:color="auto"/>
              <w:right w:val="single" w:sz="4" w:space="0" w:color="auto"/>
            </w:tcBorders>
            <w:shd w:val="clear" w:color="auto" w:fill="auto"/>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Omitted Variables</w:t>
            </w:r>
          </w:p>
        </w:tc>
        <w:tc>
          <w:tcPr>
            <w:tcW w:w="1120" w:type="dxa"/>
            <w:tcBorders>
              <w:top w:val="nil"/>
              <w:left w:val="nil"/>
              <w:bottom w:val="single" w:sz="4" w:space="0" w:color="auto"/>
              <w:right w:val="single" w:sz="8" w:space="0" w:color="auto"/>
            </w:tcBorders>
            <w:shd w:val="clear" w:color="auto" w:fill="auto"/>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Duplication Bias</w:t>
            </w:r>
          </w:p>
        </w:tc>
      </w:tr>
      <w:tr w:rsidR="00EC2A52" w:rsidRPr="00CB587B" w:rsidTr="00EC2A52">
        <w:trPr>
          <w:trHeight w:val="315"/>
        </w:trPr>
        <w:tc>
          <w:tcPr>
            <w:tcW w:w="1800" w:type="dxa"/>
            <w:vMerge/>
            <w:tcBorders>
              <w:top w:val="single" w:sz="8" w:space="0" w:color="auto"/>
              <w:left w:val="single" w:sz="8" w:space="0" w:color="auto"/>
              <w:bottom w:val="double" w:sz="6" w:space="0" w:color="000000"/>
              <w:right w:val="single" w:sz="8" w:space="0" w:color="auto"/>
            </w:tcBorders>
            <w:vAlign w:val="center"/>
            <w:hideMark/>
          </w:tcPr>
          <w:p w:rsidR="00EC2A52" w:rsidRPr="00CB587B" w:rsidRDefault="00EC2A52" w:rsidP="00EC2A52">
            <w:pPr>
              <w:rPr>
                <w:rFonts w:ascii="Calibri" w:hAnsi="Calibri"/>
                <w:color w:val="000000"/>
                <w:sz w:val="20"/>
                <w:szCs w:val="20"/>
              </w:rPr>
            </w:pPr>
          </w:p>
        </w:tc>
        <w:tc>
          <w:tcPr>
            <w:tcW w:w="1120" w:type="dxa"/>
            <w:tcBorders>
              <w:top w:val="nil"/>
              <w:left w:val="nil"/>
              <w:bottom w:val="double" w:sz="6" w:space="0" w:color="auto"/>
              <w:right w:val="nil"/>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(2)</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(4)</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CB587B" w:rsidRDefault="00EC2A52" w:rsidP="00EC2A52">
            <w:pPr>
              <w:jc w:val="center"/>
              <w:rPr>
                <w:rFonts w:ascii="Arial" w:hAnsi="Arial" w:cs="Arial"/>
                <w:sz w:val="20"/>
                <w:szCs w:val="20"/>
              </w:rPr>
            </w:pPr>
            <w:r w:rsidRPr="00CB587B">
              <w:rPr>
                <w:rFonts w:ascii="Arial" w:hAnsi="Arial" w:cs="Arial"/>
                <w:sz w:val="20"/>
                <w:szCs w:val="20"/>
              </w:rPr>
              <w:t>(5)</w:t>
            </w:r>
          </w:p>
        </w:tc>
      </w:tr>
      <w:tr w:rsidR="00EC2A52" w:rsidRPr="00CB587B" w:rsidTr="00EC2A52">
        <w:trPr>
          <w:trHeight w:val="330"/>
        </w:trPr>
        <w:tc>
          <w:tcPr>
            <w:tcW w:w="1800" w:type="dxa"/>
            <w:tcBorders>
              <w:top w:val="nil"/>
              <w:left w:val="single" w:sz="8" w:space="0" w:color="auto"/>
              <w:bottom w:val="double" w:sz="6" w:space="0" w:color="auto"/>
              <w:right w:val="nil"/>
            </w:tcBorders>
            <w:shd w:val="clear" w:color="auto" w:fill="auto"/>
            <w:noWrap/>
            <w:vAlign w:val="bottom"/>
            <w:hideMark/>
          </w:tcPr>
          <w:p w:rsidR="00EC2A52" w:rsidRPr="002D03A9" w:rsidRDefault="00EC2A52" w:rsidP="00EC2A52">
            <w:pPr>
              <w:rPr>
                <w:rFonts w:ascii="Calibri" w:hAnsi="Calibri"/>
                <w:color w:val="000000"/>
                <w:sz w:val="20"/>
                <w:szCs w:val="20"/>
                <w:vertAlign w:val="superscript"/>
              </w:rPr>
            </w:pPr>
            <w:r w:rsidRPr="00CB587B">
              <w:rPr>
                <w:rFonts w:ascii="Calibri" w:hAnsi="Calibri"/>
                <w:color w:val="000000"/>
                <w:sz w:val="20"/>
                <w:szCs w:val="20"/>
              </w:rPr>
              <w:t>VARIABLES</w:t>
            </w:r>
            <w:r>
              <w:rPr>
                <w:rFonts w:ascii="Calibri" w:hAnsi="Calibri"/>
                <w:color w:val="000000"/>
                <w:sz w:val="20"/>
                <w:szCs w:val="20"/>
                <w:vertAlign w:val="superscript"/>
              </w:rPr>
              <w:t>b</w:t>
            </w:r>
          </w:p>
        </w:tc>
        <w:tc>
          <w:tcPr>
            <w:tcW w:w="1120" w:type="dxa"/>
            <w:tcBorders>
              <w:top w:val="nil"/>
              <w:left w:val="single" w:sz="8" w:space="0" w:color="auto"/>
              <w:bottom w:val="double" w:sz="6" w:space="0" w:color="auto"/>
              <w:right w:val="nil"/>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D_orig</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D_new</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D_new</w:t>
            </w: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T</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0.28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-3.833**</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(1.372)</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T2</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0.16</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1.747***</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(0.510)</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Pr>
                <w:rFonts w:ascii="Calibri" w:hAnsi="Calibri"/>
                <w:color w:val="000000"/>
                <w:sz w:val="20"/>
                <w:szCs w:val="20"/>
              </w:rPr>
              <w:t>t</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-1.196*</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1.157</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-1.740*</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-2.940**</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(0.633)</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(0.659)</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(0.882)</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(0.954)</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t2</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0.604**</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Pr>
                <w:rFonts w:ascii="Calibri" w:hAnsi="Calibri"/>
                <w:color w:val="000000"/>
                <w:sz w:val="20"/>
                <w:szCs w:val="20"/>
              </w:rPr>
              <w:t>-0.057</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0.925***</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1.703***</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(0.193)</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(0.196)</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(0.289)</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(0.338)</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mkt_t</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2.395</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8.412***</w:t>
            </w: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(3.769)</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(1.868)</w:t>
            </w: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mkt_t2</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-0.891</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-3.855***</w:t>
            </w:r>
          </w:p>
        </w:tc>
      </w:tr>
      <w:tr w:rsidR="00EC2A52" w:rsidRPr="00CB587B" w:rsidTr="00EC2A52">
        <w:trPr>
          <w:trHeight w:val="33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(1.575)</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(0.782)</w:t>
            </w: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cat_t2</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0.433*</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0.187</w:t>
            </w: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(0.198)</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(0.263)</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prod_t</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-0.387</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0.227</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(3.740)</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(1.456)</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prod_t2</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Pr>
                <w:rFonts w:ascii="Calibri" w:hAnsi="Calibri"/>
                <w:color w:val="000000"/>
                <w:sz w:val="20"/>
                <w:szCs w:val="20"/>
              </w:rPr>
              <w:t>-0.007</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0.829</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(1.584)</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(0.660)</w:t>
            </w: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cross</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0.991</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0.381</w:t>
            </w:r>
          </w:p>
        </w:tc>
      </w:tr>
      <w:tr w:rsidR="00EC2A52" w:rsidRPr="00CB587B" w:rsidTr="00EC2A52">
        <w:trPr>
          <w:trHeight w:val="33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(0.987)</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(0.207)</w:t>
            </w:r>
          </w:p>
        </w:tc>
      </w:tr>
      <w:tr w:rsidR="00EC2A52" w:rsidRPr="00CB587B" w:rsidTr="00EC2A52">
        <w:trPr>
          <w:trHeight w:val="315"/>
        </w:trPr>
        <w:tc>
          <w:tcPr>
            <w:tcW w:w="1800" w:type="dxa"/>
            <w:tcBorders>
              <w:top w:val="double" w:sz="6" w:space="0" w:color="auto"/>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Observations</w:t>
            </w:r>
          </w:p>
        </w:tc>
        <w:tc>
          <w:tcPr>
            <w:tcW w:w="1120" w:type="dxa"/>
            <w:tcBorders>
              <w:top w:val="double" w:sz="6" w:space="0" w:color="auto"/>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18</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13</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38</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38</w:t>
            </w:r>
          </w:p>
        </w:tc>
        <w:tc>
          <w:tcPr>
            <w:tcW w:w="1120" w:type="dxa"/>
            <w:tcBorders>
              <w:top w:val="double" w:sz="6" w:space="0" w:color="auto"/>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21</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R2</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0.657</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0.512</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0.391</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0.591</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0.808</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center"/>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Adjusted R-squared</w:t>
            </w:r>
          </w:p>
        </w:tc>
        <w:tc>
          <w:tcPr>
            <w:tcW w:w="1120" w:type="dxa"/>
            <w:tcBorders>
              <w:top w:val="nil"/>
              <w:left w:val="single" w:sz="8" w:space="0" w:color="auto"/>
              <w:bottom w:val="nil"/>
              <w:right w:val="nil"/>
            </w:tcBorders>
            <w:shd w:val="clear" w:color="auto" w:fill="auto"/>
            <w:noWrap/>
            <w:vAlign w:val="center"/>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0.614</w:t>
            </w:r>
          </w:p>
        </w:tc>
        <w:tc>
          <w:tcPr>
            <w:tcW w:w="1120" w:type="dxa"/>
            <w:tcBorders>
              <w:top w:val="nil"/>
              <w:left w:val="nil"/>
              <w:bottom w:val="nil"/>
              <w:right w:val="single" w:sz="4" w:space="0" w:color="auto"/>
            </w:tcBorders>
            <w:shd w:val="clear" w:color="auto" w:fill="auto"/>
            <w:noWrap/>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0.423</w:t>
            </w:r>
          </w:p>
        </w:tc>
        <w:tc>
          <w:tcPr>
            <w:tcW w:w="1120" w:type="dxa"/>
            <w:tcBorders>
              <w:top w:val="nil"/>
              <w:left w:val="nil"/>
              <w:bottom w:val="nil"/>
              <w:right w:val="single" w:sz="4" w:space="0" w:color="auto"/>
            </w:tcBorders>
            <w:shd w:val="clear" w:color="auto" w:fill="auto"/>
            <w:noWrap/>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0.357</w:t>
            </w:r>
          </w:p>
        </w:tc>
        <w:tc>
          <w:tcPr>
            <w:tcW w:w="1120" w:type="dxa"/>
            <w:tcBorders>
              <w:top w:val="nil"/>
              <w:left w:val="nil"/>
              <w:bottom w:val="nil"/>
              <w:right w:val="single" w:sz="4" w:space="0" w:color="auto"/>
            </w:tcBorders>
            <w:shd w:val="clear" w:color="auto" w:fill="auto"/>
            <w:noWrap/>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0.481</w:t>
            </w:r>
          </w:p>
        </w:tc>
        <w:tc>
          <w:tcPr>
            <w:tcW w:w="1120" w:type="dxa"/>
            <w:tcBorders>
              <w:top w:val="nil"/>
              <w:left w:val="nil"/>
              <w:bottom w:val="nil"/>
              <w:right w:val="single" w:sz="8" w:space="0" w:color="auto"/>
            </w:tcBorders>
            <w:shd w:val="clear" w:color="auto" w:fill="auto"/>
            <w:noWrap/>
            <w:vAlign w:val="center"/>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0.689</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Likelihood</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-37.15</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-21.34</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-89.57</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-82.04</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-40.50</w:t>
            </w:r>
          </w:p>
        </w:tc>
      </w:tr>
      <w:tr w:rsidR="00EC2A52" w:rsidRPr="00CB587B" w:rsidTr="00EC2A52">
        <w:trPr>
          <w:trHeight w:val="30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F-statistic</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15.35</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20.02</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9.717</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Prob&gt;F</w:t>
            </w:r>
          </w:p>
        </w:tc>
        <w:tc>
          <w:tcPr>
            <w:tcW w:w="112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Pr>
                <w:rFonts w:ascii="Calibri" w:hAnsi="Calibri"/>
                <w:color w:val="000000"/>
                <w:sz w:val="20"/>
                <w:szCs w:val="20"/>
              </w:rPr>
              <w:t>0.000</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Pr>
                <w:rFonts w:ascii="Calibri" w:hAnsi="Calibri"/>
                <w:color w:val="000000"/>
                <w:sz w:val="20"/>
                <w:szCs w:val="20"/>
              </w:rPr>
              <w:t>0.001</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Pr>
                <w:rFonts w:ascii="Calibri" w:hAnsi="Calibri"/>
                <w:color w:val="000000"/>
                <w:sz w:val="20"/>
                <w:szCs w:val="20"/>
              </w:rPr>
              <w:t>0.004</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 </w:t>
            </w:r>
          </w:p>
        </w:tc>
      </w:tr>
      <w:tr w:rsidR="00EC2A52" w:rsidRPr="00CB587B" w:rsidTr="00EC2A52">
        <w:trPr>
          <w:trHeight w:val="330"/>
        </w:trPr>
        <w:tc>
          <w:tcPr>
            <w:tcW w:w="852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Hypothesis: non-catastr</w:t>
            </w:r>
            <w:r>
              <w:rPr>
                <w:rFonts w:ascii="Calibri" w:hAnsi="Calibri"/>
                <w:color w:val="000000"/>
                <w:sz w:val="20"/>
                <w:szCs w:val="20"/>
              </w:rPr>
              <w:t>ophic (</w:t>
            </w:r>
            <w:r w:rsidRPr="000E1CEE">
              <w:rPr>
                <w:rFonts w:ascii="Calibri" w:hAnsi="Calibri"/>
                <w:color w:val="000000"/>
                <w:sz w:val="20"/>
                <w:szCs w:val="20"/>
              </w:rPr>
              <w:t>without productivity</w:t>
            </w:r>
            <w:r w:rsidRPr="00F85D91">
              <w:rPr>
                <w:rFonts w:ascii="Calibri" w:hAnsi="Calibri"/>
                <w:color w:val="000000"/>
                <w:sz w:val="20"/>
                <w:szCs w:val="20"/>
              </w:rPr>
              <w:t>)</w:t>
            </w:r>
            <w:r>
              <w:rPr>
                <w:rFonts w:ascii="Calibri" w:hAnsi="Calibri"/>
                <w:color w:val="000000"/>
                <w:sz w:val="20"/>
                <w:szCs w:val="20"/>
              </w:rPr>
              <w:t xml:space="preserve"> impacts equal to Tol (2014</w:t>
            </w:r>
            <w:r w:rsidRPr="00CB587B">
              <w:rPr>
                <w:rFonts w:ascii="Calibri" w:hAnsi="Calibri"/>
                <w:color w:val="000000"/>
                <w:sz w:val="20"/>
                <w:szCs w:val="20"/>
              </w:rPr>
              <w:t>) estimate</w:t>
            </w:r>
          </w:p>
        </w:tc>
      </w:tr>
      <w:tr w:rsidR="00EC2A52" w:rsidRPr="00CB587B" w:rsidTr="00EC2A52">
        <w:trPr>
          <w:trHeight w:val="330"/>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p-value</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0.0201</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0.0580</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0.4194</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0.0656</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0.0049</w:t>
            </w:r>
          </w:p>
        </w:tc>
      </w:tr>
      <w:tr w:rsidR="00EC2A52" w:rsidRPr="00CB587B" w:rsidTr="00EC2A52">
        <w:trPr>
          <w:trHeight w:val="330"/>
        </w:trPr>
        <w:tc>
          <w:tcPr>
            <w:tcW w:w="852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xml:space="preserve">Hypothesis: </w:t>
            </w:r>
            <w:r>
              <w:rPr>
                <w:rFonts w:ascii="Calibri" w:hAnsi="Calibri"/>
                <w:color w:val="000000"/>
                <w:sz w:val="20"/>
                <w:szCs w:val="20"/>
              </w:rPr>
              <w:t>total impacts (</w:t>
            </w:r>
            <w:r w:rsidRPr="000E1CEE">
              <w:rPr>
                <w:rFonts w:ascii="Calibri" w:hAnsi="Calibri"/>
                <w:color w:val="000000"/>
                <w:sz w:val="20"/>
                <w:szCs w:val="20"/>
              </w:rPr>
              <w:t>without productivity</w:t>
            </w:r>
            <w:r w:rsidRPr="00F85D91">
              <w:rPr>
                <w:rFonts w:ascii="Calibri" w:hAnsi="Calibri"/>
                <w:color w:val="000000"/>
                <w:sz w:val="20"/>
                <w:szCs w:val="20"/>
              </w:rPr>
              <w:t>)</w:t>
            </w:r>
            <w:r>
              <w:rPr>
                <w:rFonts w:ascii="Calibri" w:hAnsi="Calibri"/>
                <w:color w:val="000000"/>
                <w:sz w:val="20"/>
                <w:szCs w:val="20"/>
              </w:rPr>
              <w:t xml:space="preserve"> equal to Tol (2014</w:t>
            </w:r>
            <w:r w:rsidRPr="00CB587B">
              <w:rPr>
                <w:rFonts w:ascii="Calibri" w:hAnsi="Calibri"/>
                <w:color w:val="000000"/>
                <w:sz w:val="20"/>
                <w:szCs w:val="20"/>
              </w:rPr>
              <w:t>) estimate</w:t>
            </w:r>
          </w:p>
        </w:tc>
      </w:tr>
      <w:tr w:rsidR="00EC2A52" w:rsidRPr="00CB587B" w:rsidTr="00EC2A52">
        <w:trPr>
          <w:trHeight w:val="330"/>
        </w:trPr>
        <w:tc>
          <w:tcPr>
            <w:tcW w:w="1800" w:type="dxa"/>
            <w:tcBorders>
              <w:top w:val="nil"/>
              <w:left w:val="single" w:sz="8" w:space="0" w:color="auto"/>
              <w:bottom w:val="single" w:sz="8" w:space="0" w:color="auto"/>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p-value</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0.0046</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0.0036</w:t>
            </w:r>
          </w:p>
        </w:tc>
      </w:tr>
      <w:tr w:rsidR="00EC2A52" w:rsidRPr="00CB587B" w:rsidTr="00EC2A52">
        <w:trPr>
          <w:trHeight w:val="330"/>
        </w:trPr>
        <w:tc>
          <w:tcPr>
            <w:tcW w:w="852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2015 SCC</w:t>
            </w:r>
            <w:r>
              <w:rPr>
                <w:rFonts w:ascii="Calibri" w:hAnsi="Calibri"/>
                <w:color w:val="000000"/>
                <w:sz w:val="20"/>
                <w:szCs w:val="20"/>
                <w:vertAlign w:val="superscript"/>
              </w:rPr>
              <w:t>d</w:t>
            </w:r>
            <w:r w:rsidRPr="00CB587B">
              <w:rPr>
                <w:rFonts w:ascii="Calibri" w:hAnsi="Calibri"/>
                <w:color w:val="000000"/>
                <w:sz w:val="20"/>
                <w:szCs w:val="20"/>
              </w:rPr>
              <w:t xml:space="preserve"> (2015 USD per metric ton of CO2e)</w:t>
            </w:r>
            <w:r>
              <w:rPr>
                <w:rFonts w:ascii="Calibri" w:hAnsi="Calibri"/>
                <w:color w:val="000000"/>
                <w:sz w:val="20"/>
                <w:szCs w:val="20"/>
              </w:rPr>
              <w:t xml:space="preserve"> - </w:t>
            </w:r>
            <w:r w:rsidRPr="000E1CEE">
              <w:rPr>
                <w:rFonts w:ascii="Calibri" w:hAnsi="Calibri"/>
                <w:color w:val="000000"/>
                <w:sz w:val="20"/>
                <w:szCs w:val="20"/>
              </w:rPr>
              <w:t>without productivity</w:t>
            </w: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Non-cat (50%)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$96</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$31</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$15</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$51</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$112</w:t>
            </w:r>
          </w:p>
        </w:tc>
      </w:tr>
      <w:tr w:rsidR="00EC2A52" w:rsidRPr="00CB587B" w:rsidTr="00EC2A52">
        <w:trPr>
          <w:trHeight w:val="315"/>
        </w:trPr>
        <w:tc>
          <w:tcPr>
            <w:tcW w:w="1800" w:type="dxa"/>
            <w:tcBorders>
              <w:top w:val="nil"/>
              <w:left w:val="single" w:sz="8" w:space="0" w:color="auto"/>
              <w:bottom w:val="single" w:sz="8" w:space="0" w:color="auto"/>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lastRenderedPageBreak/>
              <w:t>Total (50%)</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$98</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$136</w:t>
            </w:r>
          </w:p>
        </w:tc>
      </w:tr>
      <w:tr w:rsidR="00EC2A52" w:rsidRPr="00CB587B" w:rsidTr="00EC2A52">
        <w:trPr>
          <w:trHeight w:val="330"/>
        </w:trPr>
        <w:tc>
          <w:tcPr>
            <w:tcW w:w="852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2015 SCC</w:t>
            </w:r>
            <w:r>
              <w:rPr>
                <w:rFonts w:ascii="Calibri" w:hAnsi="Calibri"/>
                <w:color w:val="000000"/>
                <w:sz w:val="20"/>
                <w:szCs w:val="20"/>
                <w:vertAlign w:val="superscript"/>
              </w:rPr>
              <w:t>d</w:t>
            </w:r>
            <w:r w:rsidRPr="00CB587B">
              <w:rPr>
                <w:rFonts w:ascii="Calibri" w:hAnsi="Calibri"/>
                <w:color w:val="000000"/>
                <w:sz w:val="20"/>
                <w:szCs w:val="20"/>
              </w:rPr>
              <w:t xml:space="preserve"> (2015 USD per metric ton of CO2e) </w:t>
            </w:r>
            <w:r>
              <w:rPr>
                <w:rFonts w:ascii="Calibri" w:hAnsi="Calibri"/>
                <w:color w:val="000000"/>
                <w:sz w:val="20"/>
                <w:szCs w:val="20"/>
              </w:rPr>
              <w:t>–</w:t>
            </w:r>
            <w:r w:rsidRPr="00CB587B">
              <w:rPr>
                <w:rFonts w:ascii="Calibri" w:hAnsi="Calibri"/>
                <w:color w:val="000000"/>
                <w:sz w:val="20"/>
                <w:szCs w:val="20"/>
              </w:rPr>
              <w:t xml:space="preserve"> </w:t>
            </w:r>
            <w:r>
              <w:rPr>
                <w:rFonts w:ascii="Calibri" w:hAnsi="Calibri"/>
                <w:color w:val="000000"/>
                <w:sz w:val="20"/>
                <w:szCs w:val="20"/>
              </w:rPr>
              <w:t xml:space="preserve">with </w:t>
            </w:r>
            <w:r w:rsidRPr="00CB587B">
              <w:rPr>
                <w:rFonts w:ascii="Calibri" w:hAnsi="Calibri"/>
                <w:color w:val="000000"/>
                <w:sz w:val="20"/>
                <w:szCs w:val="20"/>
              </w:rPr>
              <w:t>productivity</w:t>
            </w:r>
          </w:p>
        </w:tc>
      </w:tr>
      <w:tr w:rsidR="00EC2A52" w:rsidRPr="00CB587B" w:rsidTr="00EC2A52">
        <w:trPr>
          <w:trHeight w:val="315"/>
        </w:trPr>
        <w:tc>
          <w:tcPr>
            <w:tcW w:w="1800" w:type="dxa"/>
            <w:tcBorders>
              <w:top w:val="nil"/>
              <w:left w:val="single" w:sz="8" w:space="0" w:color="auto"/>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Non-cat (50%)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nil"/>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$43</w:t>
            </w:r>
          </w:p>
        </w:tc>
        <w:tc>
          <w:tcPr>
            <w:tcW w:w="1120" w:type="dxa"/>
            <w:tcBorders>
              <w:top w:val="nil"/>
              <w:left w:val="nil"/>
              <w:bottom w:val="nil"/>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$242</w:t>
            </w:r>
          </w:p>
        </w:tc>
      </w:tr>
      <w:tr w:rsidR="00EC2A52" w:rsidRPr="00CB587B" w:rsidTr="00EC2A52">
        <w:trPr>
          <w:trHeight w:val="315"/>
        </w:trPr>
        <w:tc>
          <w:tcPr>
            <w:tcW w:w="1800" w:type="dxa"/>
            <w:tcBorders>
              <w:top w:val="nil"/>
              <w:left w:val="single" w:sz="8" w:space="0" w:color="auto"/>
              <w:bottom w:val="single" w:sz="8" w:space="0" w:color="auto"/>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Total (50%)</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$89</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CB587B" w:rsidRDefault="00EC2A52" w:rsidP="00EC2A52">
            <w:pPr>
              <w:jc w:val="center"/>
              <w:rPr>
                <w:rFonts w:ascii="Calibri" w:hAnsi="Calibri"/>
                <w:color w:val="000000"/>
                <w:sz w:val="20"/>
                <w:szCs w:val="20"/>
              </w:rPr>
            </w:pPr>
            <w:r w:rsidRPr="00CB587B">
              <w:rPr>
                <w:rFonts w:ascii="Calibri" w:hAnsi="Calibri"/>
                <w:color w:val="000000"/>
                <w:sz w:val="20"/>
                <w:szCs w:val="20"/>
              </w:rPr>
              <w:t>$276</w:t>
            </w:r>
          </w:p>
        </w:tc>
      </w:tr>
      <w:tr w:rsidR="00EC2A52" w:rsidRPr="00CB587B" w:rsidTr="00EC2A52">
        <w:trPr>
          <w:trHeight w:val="300"/>
        </w:trPr>
        <w:tc>
          <w:tcPr>
            <w:tcW w:w="4040" w:type="dxa"/>
            <w:gridSpan w:val="3"/>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Robust standard errors in parentheses</w:t>
            </w: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r>
      <w:tr w:rsidR="00EC2A52" w:rsidRPr="00CB587B" w:rsidTr="00EC2A52">
        <w:trPr>
          <w:trHeight w:val="315"/>
        </w:trPr>
        <w:tc>
          <w:tcPr>
            <w:tcW w:w="2920" w:type="dxa"/>
            <w:gridSpan w:val="2"/>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r w:rsidRPr="00CB587B">
              <w:rPr>
                <w:rFonts w:ascii="Calibri" w:hAnsi="Calibri"/>
                <w:color w:val="000000"/>
                <w:sz w:val="20"/>
                <w:szCs w:val="20"/>
              </w:rPr>
              <w:t>*** p&lt;0.01, ** p&lt;0.05, * p&lt;0.1</w:t>
            </w: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c>
          <w:tcPr>
            <w:tcW w:w="1120" w:type="dxa"/>
            <w:tcBorders>
              <w:top w:val="nil"/>
              <w:left w:val="nil"/>
              <w:bottom w:val="nil"/>
              <w:right w:val="nil"/>
            </w:tcBorders>
            <w:shd w:val="clear" w:color="auto" w:fill="auto"/>
            <w:noWrap/>
            <w:vAlign w:val="bottom"/>
            <w:hideMark/>
          </w:tcPr>
          <w:p w:rsidR="00EC2A52" w:rsidRPr="00CB587B" w:rsidRDefault="00EC2A52" w:rsidP="00EC2A52">
            <w:pPr>
              <w:rPr>
                <w:rFonts w:ascii="Calibri" w:hAnsi="Calibri"/>
                <w:color w:val="000000"/>
                <w:sz w:val="20"/>
                <w:szCs w:val="20"/>
              </w:rPr>
            </w:pPr>
          </w:p>
        </w:tc>
      </w:tr>
    </w:tbl>
    <w:p w:rsidR="00EC2A52" w:rsidRPr="009263A5" w:rsidRDefault="00EC2A52" w:rsidP="00EC2A52">
      <w:pPr>
        <w:spacing w:after="120"/>
        <w:jc w:val="both"/>
        <w:rPr>
          <w:b/>
          <w:i/>
          <w:sz w:val="20"/>
          <w:szCs w:val="20"/>
        </w:rPr>
      </w:pPr>
    </w:p>
    <w:p w:rsidR="00EC2A52" w:rsidRPr="00462FDF" w:rsidRDefault="00EC2A52" w:rsidP="00EC2A52">
      <w:pPr>
        <w:spacing w:after="120"/>
        <w:jc w:val="both"/>
        <w:rPr>
          <w:i/>
          <w:sz w:val="20"/>
          <w:szCs w:val="20"/>
        </w:rPr>
      </w:pPr>
      <w:r w:rsidRPr="00462FDF">
        <w:rPr>
          <w:i/>
          <w:sz w:val="20"/>
          <w:szCs w:val="20"/>
          <w:vertAlign w:val="superscript"/>
        </w:rPr>
        <w:t xml:space="preserve">a </w:t>
      </w:r>
      <w:r w:rsidRPr="00462FDF">
        <w:rPr>
          <w:i/>
          <w:sz w:val="20"/>
          <w:szCs w:val="20"/>
        </w:rPr>
        <w:t>The specifications are: (1) Tol (2014), (2) correcting data and improving the estimation strategy, (3) introducing additional damage estimates, (4) accounting for omitted variable bias, and (5) accounting for duplication bias (</w:t>
      </w:r>
      <w:r>
        <w:rPr>
          <w:i/>
          <w:sz w:val="20"/>
          <w:szCs w:val="20"/>
        </w:rPr>
        <w:t>the</w:t>
      </w:r>
      <w:r w:rsidRPr="00462FDF">
        <w:rPr>
          <w:i/>
          <w:sz w:val="20"/>
          <w:szCs w:val="20"/>
        </w:rPr>
        <w:t xml:space="preserve"> preferred specification).</w:t>
      </w:r>
    </w:p>
    <w:p w:rsidR="00EC2A52" w:rsidRPr="00462FDF" w:rsidRDefault="00EC2A52" w:rsidP="00EC2A52">
      <w:pPr>
        <w:spacing w:after="120"/>
        <w:jc w:val="both"/>
        <w:rPr>
          <w:i/>
          <w:sz w:val="20"/>
          <w:szCs w:val="20"/>
        </w:rPr>
      </w:pPr>
      <w:r w:rsidRPr="00462FDF">
        <w:rPr>
          <w:i/>
          <w:sz w:val="20"/>
          <w:szCs w:val="20"/>
          <w:vertAlign w:val="superscript"/>
        </w:rPr>
        <w:t xml:space="preserve">b </w:t>
      </w:r>
      <w:r w:rsidRPr="00462FDF">
        <w:rPr>
          <w:i/>
          <w:sz w:val="20"/>
          <w:szCs w:val="20"/>
        </w:rPr>
        <w:t>See variable definitions in Table A2 in Appendix A; the exception is that now T, T2, and D_orig are the temperature (linear and quadratic) and damage variables cited in Tol (2014)</w:t>
      </w:r>
      <w:r>
        <w:rPr>
          <w:i/>
          <w:sz w:val="20"/>
          <w:szCs w:val="20"/>
        </w:rPr>
        <w:t>.</w:t>
      </w:r>
      <w:r w:rsidRPr="00462FDF">
        <w:rPr>
          <w:i/>
          <w:sz w:val="20"/>
          <w:szCs w:val="20"/>
        </w:rPr>
        <w:t xml:space="preserve"> </w:t>
      </w:r>
    </w:p>
    <w:p w:rsidR="00EC2A52" w:rsidRDefault="00EC2A52" w:rsidP="00EC2A52">
      <w:pPr>
        <w:spacing w:after="120"/>
        <w:jc w:val="both"/>
        <w:rPr>
          <w:i/>
          <w:sz w:val="20"/>
          <w:szCs w:val="20"/>
        </w:rPr>
      </w:pPr>
      <w:r w:rsidRPr="00462FDF">
        <w:rPr>
          <w:i/>
          <w:sz w:val="20"/>
          <w:szCs w:val="20"/>
          <w:vertAlign w:val="superscript"/>
        </w:rPr>
        <w:t xml:space="preserve">c </w:t>
      </w:r>
      <w:r w:rsidRPr="00462FDF">
        <w:rPr>
          <w:i/>
          <w:sz w:val="20"/>
          <w:szCs w:val="20"/>
        </w:rPr>
        <w:t xml:space="preserve">We exclude Nordhaus (2013) as </w:t>
      </w:r>
      <w:r>
        <w:rPr>
          <w:i/>
          <w:sz w:val="20"/>
          <w:szCs w:val="20"/>
        </w:rPr>
        <w:t xml:space="preserve">a </w:t>
      </w:r>
      <w:r w:rsidRPr="00462FDF">
        <w:rPr>
          <w:i/>
          <w:sz w:val="20"/>
          <w:szCs w:val="20"/>
        </w:rPr>
        <w:t>previous meta-analysis using Tol (2009) estimates – a subset of Tol (2014) – on the grounds that it is a linear combination of these estimates.</w:t>
      </w:r>
      <w:r w:rsidRPr="00E21C89">
        <w:t xml:space="preserve"> </w:t>
      </w:r>
    </w:p>
    <w:p w:rsidR="00EC2A52" w:rsidRPr="00462FDF" w:rsidRDefault="00EC2A52" w:rsidP="00EC2A52">
      <w:pPr>
        <w:spacing w:after="120"/>
        <w:jc w:val="both"/>
        <w:rPr>
          <w:i/>
          <w:sz w:val="20"/>
          <w:szCs w:val="20"/>
        </w:rPr>
      </w:pPr>
      <w:r>
        <w:rPr>
          <w:i/>
          <w:sz w:val="20"/>
          <w:szCs w:val="20"/>
          <w:vertAlign w:val="superscript"/>
        </w:rPr>
        <w:t xml:space="preserve">d </w:t>
      </w:r>
      <w:r w:rsidRPr="007C0CF1">
        <w:rPr>
          <w:i/>
          <w:sz w:val="20"/>
          <w:szCs w:val="20"/>
        </w:rPr>
        <w:t>2015 SCC corresponding to the use of the regression estimates as the DICE-2013R damage function</w:t>
      </w:r>
      <w:r>
        <w:rPr>
          <w:i/>
          <w:sz w:val="20"/>
          <w:szCs w:val="20"/>
        </w:rPr>
        <w:t xml:space="preserve">. </w:t>
      </w:r>
      <w:r w:rsidRPr="00462FDF">
        <w:rPr>
          <w:i/>
          <w:sz w:val="20"/>
          <w:szCs w:val="20"/>
        </w:rPr>
        <w:t>Following Tol (2009; 2014), the SCC estimates do not include a 25% adjustment of regression coefficients to account for omitted impacts</w:t>
      </w:r>
      <w:r>
        <w:rPr>
          <w:i/>
          <w:sz w:val="20"/>
          <w:szCs w:val="20"/>
        </w:rPr>
        <w:t>,</w:t>
      </w:r>
      <w:r w:rsidRPr="00462FDF">
        <w:rPr>
          <w:i/>
          <w:sz w:val="20"/>
          <w:szCs w:val="20"/>
        </w:rPr>
        <w:t xml:space="preserve"> as in Nordhaus (2013). </w:t>
      </w:r>
    </w:p>
    <w:p w:rsidR="00EC2A52" w:rsidRPr="009263A5" w:rsidRDefault="00EC2A52" w:rsidP="00EC2A52">
      <w:pPr>
        <w:spacing w:after="120"/>
        <w:rPr>
          <w:sz w:val="20"/>
          <w:szCs w:val="20"/>
        </w:rPr>
        <w:sectPr w:rsidR="00EC2A52" w:rsidRPr="009263A5" w:rsidSect="00EC2A52">
          <w:pgSz w:w="12240" w:h="15840"/>
          <w:pgMar w:top="1440" w:right="1440" w:bottom="1440" w:left="1440" w:header="720" w:footer="720" w:gutter="0"/>
          <w:cols w:space="720"/>
          <w:docGrid w:linePitch="360"/>
        </w:sectPr>
      </w:pPr>
    </w:p>
    <w:p w:rsidR="00EC2A52" w:rsidRPr="009263A5" w:rsidRDefault="00EC2A52" w:rsidP="00EC2A52">
      <w:pPr>
        <w:spacing w:after="120"/>
        <w:jc w:val="both"/>
        <w:rPr>
          <w:b/>
          <w:sz w:val="20"/>
          <w:szCs w:val="20"/>
        </w:rPr>
      </w:pPr>
      <w:r w:rsidRPr="009263A5">
        <w:rPr>
          <w:b/>
          <w:i/>
          <w:sz w:val="20"/>
          <w:szCs w:val="20"/>
        </w:rPr>
        <w:lastRenderedPageBreak/>
        <w:t xml:space="preserve">Table C3. </w:t>
      </w:r>
      <w:r w:rsidRPr="00F50D95">
        <w:rPr>
          <w:b/>
          <w:i/>
          <w:sz w:val="20"/>
          <w:szCs w:val="20"/>
        </w:rPr>
        <w:t>Bias of Tol’s (2014) Regression Specification</w:t>
      </w:r>
      <w:r>
        <w:rPr>
          <w:b/>
          <w:i/>
          <w:sz w:val="20"/>
          <w:szCs w:val="20"/>
        </w:rPr>
        <w:t xml:space="preserve"> for All Data</w:t>
      </w:r>
      <w:r w:rsidRPr="00F50D95">
        <w:rPr>
          <w:b/>
          <w:i/>
          <w:sz w:val="20"/>
          <w:szCs w:val="20"/>
        </w:rPr>
        <w:t>: OLS and WLS with Cluster-Robust Standard Errors at the Model Level, by Specification and Dataset</w:t>
      </w:r>
    </w:p>
    <w:tbl>
      <w:tblPr>
        <w:tblW w:w="8740" w:type="dxa"/>
        <w:tblInd w:w="93" w:type="dxa"/>
        <w:tblLook w:val="04A0"/>
      </w:tblPr>
      <w:tblGrid>
        <w:gridCol w:w="2020"/>
        <w:gridCol w:w="1120"/>
        <w:gridCol w:w="1120"/>
        <w:gridCol w:w="1120"/>
        <w:gridCol w:w="1120"/>
        <w:gridCol w:w="1120"/>
        <w:gridCol w:w="1145"/>
      </w:tblGrid>
      <w:tr w:rsidR="00EC2A52" w:rsidRPr="00A93C39" w:rsidTr="00EC2A52">
        <w:trPr>
          <w:trHeight w:val="300"/>
        </w:trPr>
        <w:tc>
          <w:tcPr>
            <w:tcW w:w="202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rsidR="00EC2A52" w:rsidRPr="002D03A9" w:rsidRDefault="00EC2A52" w:rsidP="00EC2A52">
            <w:pPr>
              <w:rPr>
                <w:rFonts w:ascii="Calibri" w:hAnsi="Calibri"/>
                <w:color w:val="000000"/>
                <w:sz w:val="20"/>
                <w:szCs w:val="20"/>
                <w:vertAlign w:val="superscript"/>
              </w:rPr>
            </w:pPr>
            <w:r w:rsidRPr="00A93C39">
              <w:rPr>
                <w:rFonts w:ascii="Calibri" w:hAnsi="Calibri"/>
                <w:color w:val="000000"/>
                <w:sz w:val="20"/>
                <w:szCs w:val="20"/>
              </w:rPr>
              <w:t>Datasets and Specifications</w:t>
            </w:r>
            <w:r>
              <w:rPr>
                <w:rFonts w:ascii="Calibri" w:hAnsi="Calibri"/>
                <w:color w:val="000000"/>
                <w:sz w:val="20"/>
                <w:szCs w:val="20"/>
                <w:vertAlign w:val="superscript"/>
              </w:rPr>
              <w:t>a</w:t>
            </w:r>
          </w:p>
        </w:tc>
        <w:tc>
          <w:tcPr>
            <w:tcW w:w="672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Damages for All Temp. Increases and Excludes Duplicates</w:t>
            </w:r>
          </w:p>
        </w:tc>
      </w:tr>
      <w:tr w:rsidR="00EC2A52" w:rsidRPr="00A93C39" w:rsidTr="00EC2A52">
        <w:trPr>
          <w:trHeight w:val="510"/>
        </w:trPr>
        <w:tc>
          <w:tcPr>
            <w:tcW w:w="2020" w:type="dxa"/>
            <w:vMerge/>
            <w:tcBorders>
              <w:top w:val="single" w:sz="8" w:space="0" w:color="auto"/>
              <w:left w:val="single" w:sz="8" w:space="0" w:color="auto"/>
              <w:bottom w:val="double" w:sz="6" w:space="0" w:color="000000"/>
              <w:right w:val="single" w:sz="8" w:space="0" w:color="auto"/>
            </w:tcBorders>
            <w:vAlign w:val="center"/>
            <w:hideMark/>
          </w:tcPr>
          <w:p w:rsidR="00EC2A52" w:rsidRPr="00A93C39" w:rsidRDefault="00EC2A52" w:rsidP="00EC2A52">
            <w:pPr>
              <w:rPr>
                <w:rFonts w:ascii="Calibri" w:hAnsi="Calibri"/>
                <w:color w:val="000000"/>
                <w:sz w:val="20"/>
                <w:szCs w:val="20"/>
              </w:rPr>
            </w:pPr>
          </w:p>
        </w:tc>
        <w:tc>
          <w:tcPr>
            <w:tcW w:w="1120" w:type="dxa"/>
            <w:tcBorders>
              <w:top w:val="nil"/>
              <w:left w:val="nil"/>
              <w:bottom w:val="single" w:sz="4" w:space="0" w:color="auto"/>
              <w:right w:val="nil"/>
            </w:tcBorders>
            <w:shd w:val="clear" w:color="auto" w:fill="auto"/>
            <w:vAlign w:val="center"/>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Tol (2014)</w:t>
            </w:r>
          </w:p>
        </w:tc>
        <w:tc>
          <w:tcPr>
            <w:tcW w:w="1120" w:type="dxa"/>
            <w:tcBorders>
              <w:top w:val="nil"/>
              <w:left w:val="single" w:sz="8" w:space="0" w:color="auto"/>
              <w:bottom w:val="single" w:sz="4" w:space="0" w:color="auto"/>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20"/>
                <w:szCs w:val="20"/>
                <w:vertAlign w:val="superscript"/>
              </w:rPr>
            </w:pPr>
            <w:r w:rsidRPr="00A93C39">
              <w:rPr>
                <w:rFonts w:ascii="Calibri" w:hAnsi="Calibri"/>
                <w:color w:val="000000"/>
                <w:sz w:val="20"/>
                <w:szCs w:val="20"/>
              </w:rPr>
              <w:t>Original</w:t>
            </w:r>
            <w:r>
              <w:rPr>
                <w:rFonts w:ascii="Calibri" w:hAnsi="Calibri"/>
                <w:color w:val="000000"/>
                <w:sz w:val="20"/>
                <w:szCs w:val="20"/>
                <w:vertAlign w:val="superscript"/>
              </w:rPr>
              <w:t>c</w:t>
            </w:r>
          </w:p>
        </w:tc>
        <w:tc>
          <w:tcPr>
            <w:tcW w:w="1120" w:type="dxa"/>
            <w:tcBorders>
              <w:top w:val="nil"/>
              <w:left w:val="nil"/>
              <w:bottom w:val="single" w:sz="4" w:space="0" w:color="auto"/>
              <w:right w:val="single" w:sz="4" w:space="0" w:color="auto"/>
            </w:tcBorders>
            <w:shd w:val="clear" w:color="auto" w:fill="auto"/>
            <w:vAlign w:val="center"/>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Correct Data</w:t>
            </w:r>
          </w:p>
        </w:tc>
        <w:tc>
          <w:tcPr>
            <w:tcW w:w="1120" w:type="dxa"/>
            <w:tcBorders>
              <w:top w:val="nil"/>
              <w:left w:val="nil"/>
              <w:bottom w:val="single" w:sz="4" w:space="0" w:color="auto"/>
              <w:right w:val="single" w:sz="4" w:space="0" w:color="auto"/>
            </w:tcBorders>
            <w:shd w:val="clear" w:color="auto" w:fill="auto"/>
            <w:vAlign w:val="center"/>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New Data</w:t>
            </w:r>
          </w:p>
        </w:tc>
        <w:tc>
          <w:tcPr>
            <w:tcW w:w="1120" w:type="dxa"/>
            <w:tcBorders>
              <w:top w:val="nil"/>
              <w:left w:val="nil"/>
              <w:bottom w:val="single" w:sz="4" w:space="0" w:color="auto"/>
              <w:right w:val="single" w:sz="4" w:space="0" w:color="auto"/>
            </w:tcBorders>
            <w:shd w:val="clear" w:color="auto" w:fill="auto"/>
            <w:vAlign w:val="center"/>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Omitted Variables</w:t>
            </w:r>
          </w:p>
        </w:tc>
        <w:tc>
          <w:tcPr>
            <w:tcW w:w="1120" w:type="dxa"/>
            <w:tcBorders>
              <w:top w:val="nil"/>
              <w:left w:val="nil"/>
              <w:bottom w:val="single" w:sz="4" w:space="0" w:color="auto"/>
              <w:right w:val="single" w:sz="8" w:space="0" w:color="auto"/>
            </w:tcBorders>
            <w:shd w:val="clear" w:color="auto" w:fill="auto"/>
            <w:vAlign w:val="center"/>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Duplication Bias</w:t>
            </w:r>
          </w:p>
        </w:tc>
      </w:tr>
      <w:tr w:rsidR="00EC2A52" w:rsidRPr="00A93C39" w:rsidTr="00EC2A52">
        <w:trPr>
          <w:trHeight w:val="315"/>
        </w:trPr>
        <w:tc>
          <w:tcPr>
            <w:tcW w:w="2020" w:type="dxa"/>
            <w:vMerge/>
            <w:tcBorders>
              <w:top w:val="single" w:sz="8" w:space="0" w:color="auto"/>
              <w:left w:val="single" w:sz="8" w:space="0" w:color="auto"/>
              <w:bottom w:val="double" w:sz="6" w:space="0" w:color="000000"/>
              <w:right w:val="single" w:sz="8" w:space="0" w:color="auto"/>
            </w:tcBorders>
            <w:vAlign w:val="center"/>
            <w:hideMark/>
          </w:tcPr>
          <w:p w:rsidR="00EC2A52" w:rsidRPr="00A93C39" w:rsidRDefault="00EC2A52" w:rsidP="00EC2A52">
            <w:pPr>
              <w:rPr>
                <w:rFonts w:ascii="Calibri" w:hAnsi="Calibri"/>
                <w:color w:val="000000"/>
                <w:sz w:val="20"/>
                <w:szCs w:val="20"/>
              </w:rPr>
            </w:pPr>
          </w:p>
        </w:tc>
        <w:tc>
          <w:tcPr>
            <w:tcW w:w="1120" w:type="dxa"/>
            <w:tcBorders>
              <w:top w:val="nil"/>
              <w:left w:val="nil"/>
              <w:bottom w:val="double" w:sz="6" w:space="0" w:color="auto"/>
              <w:right w:val="nil"/>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(2)</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(3)</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(4)</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A93C39" w:rsidRDefault="00EC2A52" w:rsidP="00EC2A52">
            <w:pPr>
              <w:jc w:val="center"/>
              <w:rPr>
                <w:rFonts w:ascii="Arial" w:hAnsi="Arial" w:cs="Arial"/>
                <w:sz w:val="20"/>
                <w:szCs w:val="20"/>
              </w:rPr>
            </w:pPr>
            <w:r w:rsidRPr="00A93C39">
              <w:rPr>
                <w:rFonts w:ascii="Arial" w:hAnsi="Arial" w:cs="Arial"/>
                <w:sz w:val="20"/>
                <w:szCs w:val="20"/>
              </w:rPr>
              <w:t>(5)</w:t>
            </w:r>
          </w:p>
        </w:tc>
      </w:tr>
      <w:tr w:rsidR="00EC2A52" w:rsidRPr="00A93C39" w:rsidTr="00EC2A52">
        <w:trPr>
          <w:trHeight w:val="330"/>
        </w:trPr>
        <w:tc>
          <w:tcPr>
            <w:tcW w:w="2020" w:type="dxa"/>
            <w:tcBorders>
              <w:top w:val="nil"/>
              <w:left w:val="single" w:sz="8" w:space="0" w:color="auto"/>
              <w:bottom w:val="double" w:sz="6" w:space="0" w:color="auto"/>
              <w:right w:val="nil"/>
            </w:tcBorders>
            <w:shd w:val="clear" w:color="auto" w:fill="auto"/>
            <w:noWrap/>
            <w:vAlign w:val="bottom"/>
            <w:hideMark/>
          </w:tcPr>
          <w:p w:rsidR="00EC2A52" w:rsidRPr="002D03A9" w:rsidRDefault="00EC2A52" w:rsidP="00EC2A52">
            <w:pPr>
              <w:rPr>
                <w:rFonts w:ascii="Calibri" w:hAnsi="Calibri"/>
                <w:color w:val="000000"/>
                <w:sz w:val="20"/>
                <w:szCs w:val="20"/>
                <w:vertAlign w:val="superscript"/>
              </w:rPr>
            </w:pPr>
            <w:r w:rsidRPr="00A93C39">
              <w:rPr>
                <w:rFonts w:ascii="Calibri" w:hAnsi="Calibri"/>
                <w:color w:val="000000"/>
                <w:sz w:val="20"/>
                <w:szCs w:val="20"/>
              </w:rPr>
              <w:t>VARIABLES</w:t>
            </w:r>
            <w:r>
              <w:rPr>
                <w:rFonts w:ascii="Calibri" w:hAnsi="Calibri"/>
                <w:color w:val="000000"/>
                <w:sz w:val="20"/>
                <w:szCs w:val="20"/>
                <w:vertAlign w:val="superscript"/>
              </w:rPr>
              <w:t>b</w:t>
            </w:r>
          </w:p>
        </w:tc>
        <w:tc>
          <w:tcPr>
            <w:tcW w:w="1120" w:type="dxa"/>
            <w:tcBorders>
              <w:top w:val="nil"/>
              <w:left w:val="single" w:sz="8" w:space="0" w:color="auto"/>
              <w:bottom w:val="double" w:sz="6" w:space="0" w:color="auto"/>
              <w:right w:val="nil"/>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D_orig</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D_new</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D_new</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T</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0.28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0.333</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(0.630)</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T2</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0.16</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0.154</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(0.184)</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Pr>
                <w:rFonts w:ascii="Calibri" w:hAnsi="Calibri"/>
                <w:color w:val="000000"/>
                <w:sz w:val="20"/>
                <w:szCs w:val="20"/>
              </w:rPr>
              <w:t>T</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-0.107</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-0.966**</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0.639</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1.302</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(0.344)</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(0.333)</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(0.655)</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(0.778)</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t2</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0.201**</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0.688***</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0.095</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Pr>
                <w:rFonts w:ascii="Calibri" w:hAnsi="Calibri"/>
                <w:color w:val="000000"/>
                <w:sz w:val="20"/>
                <w:szCs w:val="20"/>
              </w:rPr>
              <w:t>0.013</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(0.0776)</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(0.0537)</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(0.169)</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(0.190)</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mkt_t</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Pr>
                <w:rFonts w:ascii="Calibri" w:hAnsi="Calibri"/>
                <w:color w:val="000000"/>
                <w:sz w:val="20"/>
                <w:szCs w:val="20"/>
              </w:rPr>
              <w:t>0.016</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4.170**</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(3.599)</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(1.698)</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mkt_t2</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Pr>
                <w:rFonts w:ascii="Calibri" w:hAnsi="Calibri"/>
                <w:color w:val="000000"/>
                <w:sz w:val="20"/>
                <w:szCs w:val="20"/>
              </w:rPr>
              <w:t>-0.061</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-2.165**</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(1.517)</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(0.690)</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cat_t2</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0.519***</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0.547***</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(0.123)</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(0.137)</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prod_t</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-1.835</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-7.968</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(4.007)</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(4.416)</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prod_t2</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0.489</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3.006**</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(1.621)</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(1.230)</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Cross</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0.991</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0.381*</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(0.968)</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(0.195)</w:t>
            </w:r>
          </w:p>
        </w:tc>
      </w:tr>
      <w:tr w:rsidR="00EC2A52" w:rsidRPr="00A93C39" w:rsidTr="00EC2A52">
        <w:trPr>
          <w:trHeight w:val="315"/>
        </w:trPr>
        <w:tc>
          <w:tcPr>
            <w:tcW w:w="2020" w:type="dxa"/>
            <w:tcBorders>
              <w:top w:val="double" w:sz="6" w:space="0" w:color="auto"/>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Observations</w:t>
            </w:r>
          </w:p>
        </w:tc>
        <w:tc>
          <w:tcPr>
            <w:tcW w:w="1120" w:type="dxa"/>
            <w:tcBorders>
              <w:top w:val="double" w:sz="6" w:space="0" w:color="auto"/>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19</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14</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43</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43</w:t>
            </w:r>
          </w:p>
        </w:tc>
        <w:tc>
          <w:tcPr>
            <w:tcW w:w="1120" w:type="dxa"/>
            <w:tcBorders>
              <w:top w:val="double" w:sz="6" w:space="0" w:color="auto"/>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26</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R2</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0.486</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0.544</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0.780</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0.851</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0.889</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Adjusted R-squared</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0.426</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0.468</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0.770</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0.817</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0.840</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Likelihood</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-43.54</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-23.72</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-121.3</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-113.0</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-70.21</w:t>
            </w:r>
          </w:p>
        </w:tc>
      </w:tr>
      <w:tr w:rsidR="00EC2A52" w:rsidRPr="00A93C39"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F-statistic</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8.047</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27.76</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82.59</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Prob&gt;F</w:t>
            </w:r>
          </w:p>
        </w:tc>
        <w:tc>
          <w:tcPr>
            <w:tcW w:w="11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0.003</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0.000</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0.000</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 </w:t>
            </w:r>
          </w:p>
        </w:tc>
      </w:tr>
      <w:tr w:rsidR="00EC2A52" w:rsidRPr="00A93C39" w:rsidTr="00EC2A52">
        <w:trPr>
          <w:trHeight w:val="330"/>
        </w:trPr>
        <w:tc>
          <w:tcPr>
            <w:tcW w:w="874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Hypothesis: non-catastrophic</w:t>
            </w:r>
            <w:r>
              <w:rPr>
                <w:rFonts w:ascii="Calibri" w:hAnsi="Calibri"/>
                <w:color w:val="000000"/>
                <w:sz w:val="20"/>
                <w:szCs w:val="20"/>
              </w:rPr>
              <w:t xml:space="preserve"> (</w:t>
            </w:r>
            <w:r w:rsidRPr="000E1CEE">
              <w:rPr>
                <w:rFonts w:ascii="Calibri" w:hAnsi="Calibri"/>
                <w:color w:val="000000"/>
                <w:sz w:val="20"/>
                <w:szCs w:val="20"/>
              </w:rPr>
              <w:t>without productivity</w:t>
            </w:r>
            <w:r w:rsidRPr="00F85D91">
              <w:rPr>
                <w:rFonts w:ascii="Calibri" w:hAnsi="Calibri"/>
                <w:color w:val="000000"/>
                <w:sz w:val="20"/>
                <w:szCs w:val="20"/>
              </w:rPr>
              <w:t>)</w:t>
            </w:r>
            <w:r w:rsidRPr="00A93C39">
              <w:rPr>
                <w:rFonts w:ascii="Calibri" w:hAnsi="Calibri"/>
                <w:color w:val="000000"/>
                <w:sz w:val="20"/>
                <w:szCs w:val="20"/>
              </w:rPr>
              <w:t xml:space="preserve"> impacts equal to Tol (2014) estimate</w:t>
            </w:r>
          </w:p>
        </w:tc>
      </w:tr>
      <w:tr w:rsidR="00EC2A52" w:rsidRPr="00A93C39" w:rsidTr="00EC2A52">
        <w:trPr>
          <w:trHeight w:val="330"/>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p-value</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0.9863</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0.1810</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0.0000</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0.8170</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0.2861</w:t>
            </w:r>
          </w:p>
        </w:tc>
      </w:tr>
      <w:tr w:rsidR="00EC2A52" w:rsidRPr="00A93C39" w:rsidTr="00EC2A52">
        <w:trPr>
          <w:trHeight w:val="330"/>
        </w:trPr>
        <w:tc>
          <w:tcPr>
            <w:tcW w:w="874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xml:space="preserve">Hypothesis: total impacts </w:t>
            </w:r>
            <w:r>
              <w:rPr>
                <w:rFonts w:ascii="Calibri" w:hAnsi="Calibri"/>
                <w:color w:val="000000"/>
                <w:sz w:val="20"/>
                <w:szCs w:val="20"/>
              </w:rPr>
              <w:t>(</w:t>
            </w:r>
            <w:r w:rsidRPr="000E1CEE">
              <w:rPr>
                <w:rFonts w:ascii="Calibri" w:hAnsi="Calibri"/>
                <w:color w:val="000000"/>
                <w:sz w:val="20"/>
                <w:szCs w:val="20"/>
              </w:rPr>
              <w:t>without productivity</w:t>
            </w:r>
            <w:r w:rsidRPr="00F85D91">
              <w:rPr>
                <w:rFonts w:ascii="Calibri" w:hAnsi="Calibri"/>
                <w:color w:val="000000"/>
                <w:sz w:val="20"/>
                <w:szCs w:val="20"/>
              </w:rPr>
              <w:t>)</w:t>
            </w:r>
            <w:r>
              <w:rPr>
                <w:rFonts w:ascii="Calibri" w:hAnsi="Calibri"/>
                <w:color w:val="000000"/>
                <w:sz w:val="20"/>
                <w:szCs w:val="20"/>
              </w:rPr>
              <w:t xml:space="preserve"> </w:t>
            </w:r>
            <w:r w:rsidRPr="00A93C39">
              <w:rPr>
                <w:rFonts w:ascii="Calibri" w:hAnsi="Calibri"/>
                <w:color w:val="000000"/>
                <w:sz w:val="20"/>
                <w:szCs w:val="20"/>
              </w:rPr>
              <w:t>equal to Tol (2014) estimate</w:t>
            </w:r>
          </w:p>
        </w:tc>
      </w:tr>
      <w:tr w:rsidR="00EC2A52" w:rsidRPr="00A93C39" w:rsidTr="00EC2A52">
        <w:trPr>
          <w:trHeight w:val="330"/>
        </w:trPr>
        <w:tc>
          <w:tcPr>
            <w:tcW w:w="2020" w:type="dxa"/>
            <w:tcBorders>
              <w:top w:val="nil"/>
              <w:left w:val="single" w:sz="8" w:space="0" w:color="auto"/>
              <w:bottom w:val="single" w:sz="8" w:space="0" w:color="auto"/>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p-value</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0.0000</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0.0000</w:t>
            </w:r>
          </w:p>
        </w:tc>
      </w:tr>
      <w:tr w:rsidR="00EC2A52" w:rsidRPr="00A93C39" w:rsidTr="00EC2A52">
        <w:trPr>
          <w:trHeight w:val="330"/>
        </w:trPr>
        <w:tc>
          <w:tcPr>
            <w:tcW w:w="874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2015 SCC</w:t>
            </w:r>
            <w:r>
              <w:rPr>
                <w:rFonts w:ascii="Calibri" w:hAnsi="Calibri"/>
                <w:color w:val="000000"/>
                <w:sz w:val="20"/>
                <w:szCs w:val="20"/>
                <w:vertAlign w:val="superscript"/>
              </w:rPr>
              <w:t>d</w:t>
            </w:r>
            <w:r w:rsidRPr="00A93C39">
              <w:rPr>
                <w:rFonts w:ascii="Calibri" w:hAnsi="Calibri"/>
                <w:color w:val="000000"/>
                <w:sz w:val="20"/>
                <w:szCs w:val="20"/>
              </w:rPr>
              <w:t xml:space="preserve"> (2015 USD per metric ton of CO2e)</w:t>
            </w:r>
            <w:r>
              <w:rPr>
                <w:rFonts w:ascii="Calibri" w:hAnsi="Calibri"/>
                <w:color w:val="000000"/>
                <w:sz w:val="20"/>
                <w:szCs w:val="20"/>
              </w:rPr>
              <w:t xml:space="preserve"> - </w:t>
            </w:r>
            <w:r w:rsidRPr="000E1CEE">
              <w:rPr>
                <w:rFonts w:ascii="Calibri" w:hAnsi="Calibri"/>
                <w:color w:val="000000"/>
                <w:sz w:val="20"/>
                <w:szCs w:val="20"/>
              </w:rPr>
              <w:t>without productivity</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Non-cat (50%)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$19</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$15</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$43</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$19</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$23</w:t>
            </w:r>
          </w:p>
        </w:tc>
      </w:tr>
      <w:tr w:rsidR="00EC2A52" w:rsidRPr="00A93C39" w:rsidTr="00EC2A52">
        <w:trPr>
          <w:trHeight w:val="315"/>
        </w:trPr>
        <w:tc>
          <w:tcPr>
            <w:tcW w:w="2020" w:type="dxa"/>
            <w:tcBorders>
              <w:top w:val="nil"/>
              <w:left w:val="single" w:sz="8" w:space="0" w:color="auto"/>
              <w:bottom w:val="single" w:sz="8" w:space="0" w:color="auto"/>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Total (50%)</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$68</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$76</w:t>
            </w:r>
          </w:p>
        </w:tc>
      </w:tr>
      <w:tr w:rsidR="00EC2A52" w:rsidRPr="00A93C39" w:rsidTr="00EC2A52">
        <w:trPr>
          <w:trHeight w:val="330"/>
        </w:trPr>
        <w:tc>
          <w:tcPr>
            <w:tcW w:w="8740" w:type="dxa"/>
            <w:gridSpan w:val="7"/>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lastRenderedPageBreak/>
              <w:t>2015 SCC</w:t>
            </w:r>
            <w:r w:rsidRPr="002D03A9">
              <w:rPr>
                <w:rFonts w:ascii="Calibri" w:hAnsi="Calibri"/>
                <w:color w:val="000000"/>
                <w:sz w:val="20"/>
                <w:szCs w:val="20"/>
                <w:vertAlign w:val="superscript"/>
              </w:rPr>
              <w:t>d</w:t>
            </w:r>
            <w:r w:rsidRPr="00A93C39">
              <w:rPr>
                <w:rFonts w:ascii="Calibri" w:hAnsi="Calibri"/>
                <w:color w:val="000000"/>
                <w:sz w:val="20"/>
                <w:szCs w:val="20"/>
              </w:rPr>
              <w:t xml:space="preserve"> (2015 USD per metric ton of CO2e) </w:t>
            </w:r>
            <w:r>
              <w:rPr>
                <w:rFonts w:ascii="Calibri" w:hAnsi="Calibri"/>
                <w:color w:val="000000"/>
                <w:sz w:val="20"/>
                <w:szCs w:val="20"/>
              </w:rPr>
              <w:t>–</w:t>
            </w:r>
            <w:r w:rsidRPr="00A93C39">
              <w:rPr>
                <w:rFonts w:ascii="Calibri" w:hAnsi="Calibri"/>
                <w:color w:val="000000"/>
                <w:sz w:val="20"/>
                <w:szCs w:val="20"/>
              </w:rPr>
              <w:t xml:space="preserve"> </w:t>
            </w:r>
            <w:r>
              <w:rPr>
                <w:rFonts w:ascii="Calibri" w:hAnsi="Calibri"/>
                <w:color w:val="000000"/>
                <w:sz w:val="20"/>
                <w:szCs w:val="20"/>
              </w:rPr>
              <w:t xml:space="preserve">with </w:t>
            </w:r>
            <w:r w:rsidRPr="00A93C39">
              <w:rPr>
                <w:rFonts w:ascii="Calibri" w:hAnsi="Calibri"/>
                <w:color w:val="000000"/>
                <w:sz w:val="20"/>
                <w:szCs w:val="20"/>
              </w:rPr>
              <w:t>productivity</w:t>
            </w:r>
          </w:p>
        </w:tc>
      </w:tr>
      <w:tr w:rsidR="00EC2A52" w:rsidRPr="00A93C39"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Non-cat (50%)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nil"/>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$29</w:t>
            </w:r>
          </w:p>
        </w:tc>
        <w:tc>
          <w:tcPr>
            <w:tcW w:w="1120" w:type="dxa"/>
            <w:tcBorders>
              <w:top w:val="nil"/>
              <w:left w:val="nil"/>
              <w:bottom w:val="nil"/>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$197</w:t>
            </w:r>
          </w:p>
        </w:tc>
      </w:tr>
      <w:tr w:rsidR="00EC2A52" w:rsidRPr="00A93C39" w:rsidTr="00EC2A52">
        <w:trPr>
          <w:trHeight w:val="315"/>
        </w:trPr>
        <w:tc>
          <w:tcPr>
            <w:tcW w:w="2020" w:type="dxa"/>
            <w:tcBorders>
              <w:top w:val="nil"/>
              <w:left w:val="single" w:sz="8" w:space="0" w:color="auto"/>
              <w:bottom w:val="single" w:sz="8" w:space="0" w:color="auto"/>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Total (50%)</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$75</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A93C39" w:rsidRDefault="00EC2A52" w:rsidP="00EC2A52">
            <w:pPr>
              <w:jc w:val="center"/>
              <w:rPr>
                <w:rFonts w:ascii="Calibri" w:hAnsi="Calibri"/>
                <w:color w:val="000000"/>
                <w:sz w:val="20"/>
                <w:szCs w:val="20"/>
              </w:rPr>
            </w:pPr>
            <w:r w:rsidRPr="00A93C39">
              <w:rPr>
                <w:rFonts w:ascii="Calibri" w:hAnsi="Calibri"/>
                <w:color w:val="000000"/>
                <w:sz w:val="20"/>
                <w:szCs w:val="20"/>
              </w:rPr>
              <w:t>$292</w:t>
            </w:r>
          </w:p>
        </w:tc>
      </w:tr>
      <w:tr w:rsidR="00EC2A52" w:rsidRPr="00A93C39" w:rsidTr="00EC2A52">
        <w:trPr>
          <w:trHeight w:val="300"/>
        </w:trPr>
        <w:tc>
          <w:tcPr>
            <w:tcW w:w="8740" w:type="dxa"/>
            <w:gridSpan w:val="7"/>
            <w:tcBorders>
              <w:top w:val="single" w:sz="8" w:space="0" w:color="auto"/>
              <w:left w:val="nil"/>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Robust standard errors in parentheses</w:t>
            </w:r>
          </w:p>
        </w:tc>
      </w:tr>
      <w:tr w:rsidR="00EC2A52" w:rsidRPr="00A93C39" w:rsidTr="00EC2A52">
        <w:trPr>
          <w:trHeight w:val="300"/>
        </w:trPr>
        <w:tc>
          <w:tcPr>
            <w:tcW w:w="8740" w:type="dxa"/>
            <w:gridSpan w:val="7"/>
            <w:tcBorders>
              <w:top w:val="nil"/>
              <w:left w:val="nil"/>
              <w:bottom w:val="nil"/>
              <w:right w:val="nil"/>
            </w:tcBorders>
            <w:shd w:val="clear" w:color="auto" w:fill="auto"/>
            <w:noWrap/>
            <w:vAlign w:val="bottom"/>
            <w:hideMark/>
          </w:tcPr>
          <w:p w:rsidR="00EC2A52" w:rsidRPr="00A93C39" w:rsidRDefault="00EC2A52" w:rsidP="00EC2A52">
            <w:pPr>
              <w:rPr>
                <w:rFonts w:ascii="Calibri" w:hAnsi="Calibri"/>
                <w:color w:val="000000"/>
                <w:sz w:val="20"/>
                <w:szCs w:val="20"/>
              </w:rPr>
            </w:pPr>
            <w:r w:rsidRPr="00A93C39">
              <w:rPr>
                <w:rFonts w:ascii="Calibri" w:hAnsi="Calibri"/>
                <w:color w:val="000000"/>
                <w:sz w:val="20"/>
                <w:szCs w:val="20"/>
              </w:rPr>
              <w:t>*** p&lt;0.01, ** p&lt;0.05, * p&lt;0.1</w:t>
            </w:r>
          </w:p>
        </w:tc>
      </w:tr>
    </w:tbl>
    <w:p w:rsidR="00EC2A52" w:rsidRPr="009263A5" w:rsidRDefault="00EC2A52" w:rsidP="00EC2A52">
      <w:pPr>
        <w:spacing w:after="120"/>
        <w:jc w:val="both"/>
        <w:rPr>
          <w:b/>
          <w:sz w:val="20"/>
          <w:szCs w:val="20"/>
        </w:rPr>
      </w:pPr>
    </w:p>
    <w:p w:rsidR="00EC2A52" w:rsidRPr="007C0CF1" w:rsidRDefault="00EC2A52" w:rsidP="00EC2A52">
      <w:pPr>
        <w:spacing w:after="120"/>
        <w:jc w:val="both"/>
        <w:rPr>
          <w:i/>
          <w:sz w:val="20"/>
          <w:szCs w:val="20"/>
        </w:rPr>
      </w:pPr>
      <w:r w:rsidRPr="007C0CF1">
        <w:rPr>
          <w:i/>
          <w:sz w:val="20"/>
          <w:szCs w:val="20"/>
          <w:vertAlign w:val="superscript"/>
        </w:rPr>
        <w:t xml:space="preserve">a </w:t>
      </w:r>
      <w:r w:rsidRPr="007C0CF1">
        <w:rPr>
          <w:i/>
          <w:sz w:val="20"/>
          <w:szCs w:val="20"/>
        </w:rPr>
        <w:t>The specifications are: (1) Tol (2014), (2) correcting data and improving the estimation strategy, (3) introducing additional damage estimates, (4) accounting for omitted variable bias, and (5) accounting for duplication bias (the preferred specification).</w:t>
      </w:r>
    </w:p>
    <w:p w:rsidR="00EC2A52" w:rsidRPr="007C0CF1" w:rsidRDefault="00EC2A52" w:rsidP="00EC2A52">
      <w:pPr>
        <w:spacing w:after="120"/>
        <w:jc w:val="both"/>
        <w:rPr>
          <w:i/>
          <w:sz w:val="20"/>
          <w:szCs w:val="20"/>
        </w:rPr>
      </w:pPr>
      <w:r w:rsidRPr="007C0CF1">
        <w:rPr>
          <w:i/>
          <w:sz w:val="20"/>
          <w:szCs w:val="20"/>
          <w:vertAlign w:val="superscript"/>
        </w:rPr>
        <w:t xml:space="preserve">b </w:t>
      </w:r>
      <w:r w:rsidRPr="007C0CF1">
        <w:rPr>
          <w:i/>
          <w:sz w:val="20"/>
          <w:szCs w:val="20"/>
        </w:rPr>
        <w:t>See variable definitions in Table A2 in Appendix A; the exception is that now T, T2, and D_orig are the temperature (linear and quadratic) and damage variables cited in Tol (2014)</w:t>
      </w:r>
      <w:r>
        <w:rPr>
          <w:i/>
          <w:sz w:val="20"/>
          <w:szCs w:val="20"/>
        </w:rPr>
        <w:t>.</w:t>
      </w:r>
      <w:r w:rsidRPr="007C0CF1">
        <w:rPr>
          <w:i/>
          <w:sz w:val="20"/>
          <w:szCs w:val="20"/>
        </w:rPr>
        <w:t xml:space="preserve"> </w:t>
      </w:r>
    </w:p>
    <w:p w:rsidR="00EC2A52" w:rsidRPr="007C0CF1" w:rsidRDefault="00EC2A52" w:rsidP="00EC2A52">
      <w:pPr>
        <w:spacing w:after="120"/>
        <w:jc w:val="both"/>
        <w:rPr>
          <w:i/>
          <w:sz w:val="20"/>
          <w:szCs w:val="20"/>
        </w:rPr>
      </w:pPr>
      <w:r w:rsidRPr="007C0CF1">
        <w:rPr>
          <w:i/>
          <w:sz w:val="20"/>
          <w:szCs w:val="20"/>
          <w:vertAlign w:val="superscript"/>
        </w:rPr>
        <w:t xml:space="preserve">c </w:t>
      </w:r>
      <w:r w:rsidRPr="007C0CF1">
        <w:rPr>
          <w:i/>
          <w:sz w:val="20"/>
          <w:szCs w:val="20"/>
        </w:rPr>
        <w:t>We exclude Nordhaus (2013) as a previous meta-analysis using Tol (2009) estimates – a subset of Tol (2014) – on the grounds that it is a linear combination of these estimates.</w:t>
      </w:r>
    </w:p>
    <w:p w:rsidR="00EC2A52" w:rsidRPr="007C0CF1" w:rsidRDefault="00EC2A52" w:rsidP="00EC2A52">
      <w:pPr>
        <w:spacing w:after="120"/>
        <w:jc w:val="both"/>
        <w:rPr>
          <w:i/>
          <w:sz w:val="20"/>
          <w:szCs w:val="20"/>
        </w:rPr>
      </w:pPr>
      <w:r w:rsidRPr="007C0CF1">
        <w:rPr>
          <w:i/>
          <w:sz w:val="20"/>
          <w:szCs w:val="20"/>
          <w:vertAlign w:val="superscript"/>
        </w:rPr>
        <w:t xml:space="preserve">d </w:t>
      </w:r>
      <w:r w:rsidRPr="007C0CF1">
        <w:rPr>
          <w:i/>
          <w:sz w:val="20"/>
          <w:szCs w:val="20"/>
        </w:rPr>
        <w:t>2015 SCC corresponding to the use of the regression estimates as the DICE-2013R damage function</w:t>
      </w:r>
      <w:r>
        <w:rPr>
          <w:i/>
          <w:sz w:val="20"/>
          <w:szCs w:val="20"/>
        </w:rPr>
        <w:t xml:space="preserve">. </w:t>
      </w:r>
      <w:r w:rsidRPr="00462FDF">
        <w:rPr>
          <w:i/>
          <w:sz w:val="20"/>
          <w:szCs w:val="20"/>
        </w:rPr>
        <w:t>Following Tol (2009; 2014), the SCC estimates do not include a 25% adjustment of regression coefficients to account for omitted impacts</w:t>
      </w:r>
      <w:r>
        <w:rPr>
          <w:i/>
          <w:sz w:val="20"/>
          <w:szCs w:val="20"/>
        </w:rPr>
        <w:t>,</w:t>
      </w:r>
      <w:r w:rsidRPr="00462FDF">
        <w:rPr>
          <w:i/>
          <w:sz w:val="20"/>
          <w:szCs w:val="20"/>
        </w:rPr>
        <w:t xml:space="preserve"> as in Nordhaus (2013).</w:t>
      </w:r>
    </w:p>
    <w:p w:rsidR="00EC2A52" w:rsidRDefault="00EC2A52" w:rsidP="00EC2A52">
      <w:pPr>
        <w:spacing w:after="120"/>
        <w:jc w:val="both"/>
        <w:rPr>
          <w:sz w:val="20"/>
          <w:szCs w:val="20"/>
        </w:rPr>
      </w:pPr>
    </w:p>
    <w:p w:rsidR="00EC2A52" w:rsidRPr="009263A5" w:rsidRDefault="00EC2A52" w:rsidP="00EC2A52">
      <w:pPr>
        <w:spacing w:after="120"/>
        <w:jc w:val="both"/>
        <w:rPr>
          <w:noProof/>
          <w:sz w:val="20"/>
          <w:szCs w:val="20"/>
        </w:rPr>
        <w:sectPr w:rsidR="00EC2A52" w:rsidRPr="009263A5" w:rsidSect="00EC2A52">
          <w:pgSz w:w="12240" w:h="15840"/>
          <w:pgMar w:top="1440" w:right="1440" w:bottom="1440" w:left="1440" w:header="720" w:footer="720" w:gutter="0"/>
          <w:cols w:space="720"/>
          <w:docGrid w:linePitch="360"/>
        </w:sectPr>
      </w:pPr>
      <w:r w:rsidRPr="00902DE3">
        <w:rPr>
          <w:sz w:val="20"/>
          <w:szCs w:val="20"/>
        </w:rPr>
        <w:t xml:space="preserve"> </w:t>
      </w:r>
    </w:p>
    <w:p w:rsidR="00EC2A52" w:rsidRDefault="00EC2A52" w:rsidP="00EC2A52">
      <w:pPr>
        <w:spacing w:after="120"/>
        <w:rPr>
          <w:b/>
          <w:i/>
          <w:sz w:val="20"/>
          <w:szCs w:val="20"/>
        </w:rPr>
      </w:pPr>
      <w:r w:rsidRPr="009263A5">
        <w:rPr>
          <w:b/>
          <w:i/>
          <w:sz w:val="20"/>
          <w:szCs w:val="20"/>
        </w:rPr>
        <w:lastRenderedPageBreak/>
        <w:t>Table C4. Alternative Functional Form</w:t>
      </w:r>
      <w:r>
        <w:rPr>
          <w:b/>
          <w:i/>
          <w:sz w:val="20"/>
          <w:szCs w:val="20"/>
        </w:rPr>
        <w:t>s</w:t>
      </w:r>
      <w:r w:rsidRPr="009263A5">
        <w:rPr>
          <w:b/>
          <w:i/>
          <w:sz w:val="20"/>
          <w:szCs w:val="20"/>
        </w:rPr>
        <w:t>: Preferred Regression Specification Estimated Using WLS with Cluster</w:t>
      </w:r>
      <w:r>
        <w:rPr>
          <w:rStyle w:val="CommentReference"/>
        </w:rPr>
        <w:t>-</w:t>
      </w:r>
      <w:r>
        <w:rPr>
          <w:b/>
          <w:i/>
          <w:sz w:val="20"/>
          <w:szCs w:val="20"/>
        </w:rPr>
        <w:t>Ro</w:t>
      </w:r>
      <w:r w:rsidRPr="009263A5">
        <w:rPr>
          <w:b/>
          <w:i/>
          <w:sz w:val="20"/>
          <w:szCs w:val="20"/>
        </w:rPr>
        <w:t>bust Standard Errors at the Model Level, by Dataset and Functional Form</w:t>
      </w:r>
    </w:p>
    <w:tbl>
      <w:tblPr>
        <w:tblW w:w="13560" w:type="dxa"/>
        <w:tblInd w:w="93" w:type="dxa"/>
        <w:tblLook w:val="04A0"/>
      </w:tblPr>
      <w:tblGrid>
        <w:gridCol w:w="1970"/>
        <w:gridCol w:w="960"/>
        <w:gridCol w:w="960"/>
        <w:gridCol w:w="960"/>
        <w:gridCol w:w="960"/>
        <w:gridCol w:w="963"/>
        <w:gridCol w:w="1017"/>
        <w:gridCol w:w="960"/>
        <w:gridCol w:w="958"/>
        <w:gridCol w:w="953"/>
        <w:gridCol w:w="960"/>
        <w:gridCol w:w="1039"/>
        <w:gridCol w:w="1017"/>
      </w:tblGrid>
      <w:tr w:rsidR="00EC2A52" w:rsidRPr="009E5BB2" w:rsidTr="00EC2A52">
        <w:trPr>
          <w:trHeight w:val="300"/>
        </w:trPr>
        <w:tc>
          <w:tcPr>
            <w:tcW w:w="1970" w:type="dxa"/>
            <w:tcBorders>
              <w:top w:val="single" w:sz="8" w:space="0" w:color="auto"/>
              <w:left w:val="single" w:sz="8" w:space="0" w:color="auto"/>
              <w:bottom w:val="single" w:sz="4" w:space="0" w:color="auto"/>
              <w:right w:val="nil"/>
            </w:tcBorders>
            <w:shd w:val="clear" w:color="auto" w:fill="auto"/>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Datasets</w:t>
            </w:r>
          </w:p>
        </w:tc>
        <w:tc>
          <w:tcPr>
            <w:tcW w:w="5760"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Damages for Temp. Increases≤4 °C</w:t>
            </w:r>
          </w:p>
        </w:tc>
        <w:tc>
          <w:tcPr>
            <w:tcW w:w="583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xml:space="preserve">Damages for </w:t>
            </w:r>
            <w:r>
              <w:rPr>
                <w:rFonts w:ascii="Calibri" w:hAnsi="Calibri"/>
                <w:color w:val="000000"/>
                <w:sz w:val="18"/>
                <w:szCs w:val="18"/>
              </w:rPr>
              <w:t xml:space="preserve">All </w:t>
            </w:r>
            <w:r w:rsidRPr="009E5BB2">
              <w:rPr>
                <w:rFonts w:ascii="Calibri" w:hAnsi="Calibri"/>
                <w:color w:val="000000"/>
                <w:sz w:val="18"/>
                <w:szCs w:val="18"/>
              </w:rPr>
              <w:t>Temp. Increases</w:t>
            </w:r>
          </w:p>
        </w:tc>
      </w:tr>
      <w:tr w:rsidR="00EC2A52" w:rsidRPr="009E5BB2" w:rsidTr="00EC2A52">
        <w:trPr>
          <w:trHeight w:val="1200"/>
        </w:trPr>
        <w:tc>
          <w:tcPr>
            <w:tcW w:w="1970" w:type="dxa"/>
            <w:tcBorders>
              <w:top w:val="nil"/>
              <w:left w:val="single" w:sz="8" w:space="0" w:color="auto"/>
              <w:bottom w:val="single" w:sz="4" w:space="0" w:color="auto"/>
              <w:right w:val="nil"/>
            </w:tcBorders>
            <w:shd w:val="clear" w:color="auto" w:fill="auto"/>
            <w:vAlign w:val="center"/>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Functional Form</w:t>
            </w: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Nordhaus (2013)</w:t>
            </w:r>
          </w:p>
        </w:tc>
        <w:tc>
          <w:tcPr>
            <w:tcW w:w="960" w:type="dxa"/>
            <w:tcBorders>
              <w:top w:val="nil"/>
              <w:left w:val="nil"/>
              <w:bottom w:val="single" w:sz="4" w:space="0" w:color="auto"/>
              <w:right w:val="single" w:sz="4" w:space="0" w:color="auto"/>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Linear</w:t>
            </w:r>
          </w:p>
        </w:tc>
        <w:tc>
          <w:tcPr>
            <w:tcW w:w="960" w:type="dxa"/>
            <w:tcBorders>
              <w:top w:val="nil"/>
              <w:left w:val="nil"/>
              <w:bottom w:val="single" w:sz="4" w:space="0" w:color="auto"/>
              <w:right w:val="single" w:sz="4" w:space="0" w:color="auto"/>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Tol (2014)</w:t>
            </w:r>
          </w:p>
        </w:tc>
        <w:tc>
          <w:tcPr>
            <w:tcW w:w="960" w:type="dxa"/>
            <w:tcBorders>
              <w:top w:val="nil"/>
              <w:left w:val="nil"/>
              <w:bottom w:val="single" w:sz="4" w:space="0" w:color="auto"/>
              <w:right w:val="single" w:sz="4" w:space="0" w:color="auto"/>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Azar and Lindgren (2003)</w:t>
            </w:r>
          </w:p>
        </w:tc>
        <w:tc>
          <w:tcPr>
            <w:tcW w:w="960" w:type="dxa"/>
            <w:tcBorders>
              <w:top w:val="nil"/>
              <w:left w:val="nil"/>
              <w:bottom w:val="single" w:sz="4" w:space="0" w:color="auto"/>
              <w:right w:val="nil"/>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Weitzman (2012)</w:t>
            </w:r>
          </w:p>
        </w:tc>
        <w:tc>
          <w:tcPr>
            <w:tcW w:w="960" w:type="dxa"/>
            <w:tcBorders>
              <w:top w:val="nil"/>
              <w:left w:val="single" w:sz="4" w:space="0" w:color="auto"/>
              <w:bottom w:val="single" w:sz="4" w:space="0" w:color="auto"/>
              <w:right w:val="single" w:sz="8" w:space="0" w:color="auto"/>
            </w:tcBorders>
            <w:shd w:val="clear" w:color="auto" w:fill="auto"/>
            <w:vAlign w:val="center"/>
            <w:hideMark/>
          </w:tcPr>
          <w:p w:rsidR="00EC2A52" w:rsidRPr="002D03A9" w:rsidRDefault="00EC2A52" w:rsidP="00EC2A52">
            <w:pPr>
              <w:jc w:val="center"/>
              <w:rPr>
                <w:rFonts w:ascii="Calibri" w:hAnsi="Calibri"/>
                <w:color w:val="000000"/>
                <w:sz w:val="18"/>
                <w:szCs w:val="18"/>
                <w:vertAlign w:val="superscript"/>
              </w:rPr>
            </w:pPr>
            <w:r w:rsidRPr="008812BB">
              <w:rPr>
                <w:rFonts w:ascii="Calibri" w:hAnsi="Calibri"/>
                <w:color w:val="000000"/>
                <w:sz w:val="18"/>
                <w:szCs w:val="18"/>
              </w:rPr>
              <w:t xml:space="preserve">Newbold and Marten (2014) </w:t>
            </w:r>
            <w:r w:rsidRPr="009E5BB2">
              <w:rPr>
                <w:rFonts w:ascii="Calibri" w:hAnsi="Calibri"/>
                <w:color w:val="000000"/>
                <w:sz w:val="18"/>
                <w:szCs w:val="18"/>
              </w:rPr>
              <w:t>with breakpoint at 1.7</w:t>
            </w:r>
            <w:r>
              <w:rPr>
                <w:rFonts w:ascii="Cambria Math" w:hAnsi="Cambria Math"/>
                <w:color w:val="000000"/>
                <w:sz w:val="18"/>
                <w:szCs w:val="18"/>
              </w:rPr>
              <w:t>°</w:t>
            </w:r>
            <w:r>
              <w:rPr>
                <w:rFonts w:ascii="Calibri" w:hAnsi="Calibri"/>
                <w:color w:val="000000"/>
                <w:sz w:val="18"/>
                <w:szCs w:val="18"/>
              </w:rPr>
              <w:t>C</w:t>
            </w:r>
            <w:r>
              <w:rPr>
                <w:rFonts w:ascii="Calibri" w:hAnsi="Calibri"/>
                <w:color w:val="000000"/>
                <w:sz w:val="18"/>
                <w:szCs w:val="18"/>
                <w:vertAlign w:val="superscript"/>
              </w:rPr>
              <w:t>b</w:t>
            </w:r>
          </w:p>
        </w:tc>
        <w:tc>
          <w:tcPr>
            <w:tcW w:w="960" w:type="dxa"/>
            <w:tcBorders>
              <w:top w:val="nil"/>
              <w:left w:val="nil"/>
              <w:bottom w:val="single" w:sz="4" w:space="0" w:color="auto"/>
              <w:right w:val="single" w:sz="4" w:space="0" w:color="auto"/>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Nordhaus (2013)</w:t>
            </w:r>
          </w:p>
        </w:tc>
        <w:tc>
          <w:tcPr>
            <w:tcW w:w="958" w:type="dxa"/>
            <w:tcBorders>
              <w:top w:val="nil"/>
              <w:left w:val="nil"/>
              <w:bottom w:val="single" w:sz="4" w:space="0" w:color="auto"/>
              <w:right w:val="single" w:sz="4" w:space="0" w:color="auto"/>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Linear</w:t>
            </w:r>
          </w:p>
        </w:tc>
        <w:tc>
          <w:tcPr>
            <w:tcW w:w="953" w:type="dxa"/>
            <w:tcBorders>
              <w:top w:val="nil"/>
              <w:left w:val="nil"/>
              <w:bottom w:val="single" w:sz="4" w:space="0" w:color="auto"/>
              <w:right w:val="single" w:sz="4" w:space="0" w:color="auto"/>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Tol (2014)</w:t>
            </w:r>
          </w:p>
        </w:tc>
        <w:tc>
          <w:tcPr>
            <w:tcW w:w="960" w:type="dxa"/>
            <w:tcBorders>
              <w:top w:val="nil"/>
              <w:left w:val="nil"/>
              <w:bottom w:val="single" w:sz="4" w:space="0" w:color="auto"/>
              <w:right w:val="single" w:sz="4" w:space="0" w:color="auto"/>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Azar and Lindgren (2003)</w:t>
            </w:r>
          </w:p>
        </w:tc>
        <w:tc>
          <w:tcPr>
            <w:tcW w:w="1039" w:type="dxa"/>
            <w:tcBorders>
              <w:top w:val="nil"/>
              <w:left w:val="nil"/>
              <w:bottom w:val="single" w:sz="4" w:space="0" w:color="auto"/>
              <w:right w:val="nil"/>
            </w:tcBorders>
            <w:shd w:val="clear" w:color="auto" w:fill="auto"/>
            <w:vAlign w:val="center"/>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Weitzman (2012)</w:t>
            </w:r>
          </w:p>
        </w:tc>
        <w:tc>
          <w:tcPr>
            <w:tcW w:w="960" w:type="dxa"/>
            <w:tcBorders>
              <w:top w:val="nil"/>
              <w:left w:val="single" w:sz="4" w:space="0" w:color="auto"/>
              <w:bottom w:val="single" w:sz="4" w:space="0" w:color="auto"/>
              <w:right w:val="single" w:sz="8" w:space="0" w:color="auto"/>
            </w:tcBorders>
            <w:shd w:val="clear" w:color="auto" w:fill="auto"/>
            <w:vAlign w:val="center"/>
            <w:hideMark/>
          </w:tcPr>
          <w:p w:rsidR="00EC2A52" w:rsidRPr="002D03A9" w:rsidRDefault="00EC2A52" w:rsidP="00EC2A52">
            <w:pPr>
              <w:jc w:val="center"/>
              <w:rPr>
                <w:rFonts w:ascii="Calibri" w:hAnsi="Calibri"/>
                <w:color w:val="000000"/>
                <w:sz w:val="18"/>
                <w:szCs w:val="18"/>
                <w:vertAlign w:val="superscript"/>
              </w:rPr>
            </w:pPr>
            <w:r w:rsidRPr="008812BB">
              <w:rPr>
                <w:rFonts w:ascii="Calibri" w:hAnsi="Calibri"/>
                <w:color w:val="000000"/>
                <w:sz w:val="18"/>
                <w:szCs w:val="18"/>
              </w:rPr>
              <w:t xml:space="preserve">Newbold and Marten (2014) </w:t>
            </w:r>
            <w:r w:rsidRPr="009E5BB2">
              <w:rPr>
                <w:rFonts w:ascii="Calibri" w:hAnsi="Calibri"/>
                <w:color w:val="000000"/>
                <w:sz w:val="18"/>
                <w:szCs w:val="18"/>
              </w:rPr>
              <w:t>with breakpoint at 0.8</w:t>
            </w:r>
            <w:r>
              <w:rPr>
                <w:rFonts w:ascii="Cambria Math" w:hAnsi="Cambria Math"/>
                <w:color w:val="000000"/>
                <w:sz w:val="18"/>
                <w:szCs w:val="18"/>
              </w:rPr>
              <w:t>°</w:t>
            </w:r>
            <w:r>
              <w:rPr>
                <w:rFonts w:ascii="Calibri" w:hAnsi="Calibri"/>
                <w:color w:val="000000"/>
                <w:sz w:val="18"/>
                <w:szCs w:val="18"/>
              </w:rPr>
              <w:t>C</w:t>
            </w:r>
            <w:r>
              <w:rPr>
                <w:rFonts w:ascii="Calibri" w:hAnsi="Calibri"/>
                <w:color w:val="000000"/>
                <w:sz w:val="18"/>
                <w:szCs w:val="18"/>
                <w:vertAlign w:val="superscript"/>
              </w:rPr>
              <w:t xml:space="preserve"> b</w:t>
            </w:r>
          </w:p>
        </w:tc>
      </w:tr>
      <w:tr w:rsidR="00EC2A52" w:rsidRPr="009E5BB2" w:rsidTr="00EC2A52">
        <w:trPr>
          <w:trHeight w:val="300"/>
        </w:trPr>
        <w:tc>
          <w:tcPr>
            <w:tcW w:w="1970" w:type="dxa"/>
            <w:tcBorders>
              <w:top w:val="nil"/>
              <w:left w:val="single" w:sz="8" w:space="0" w:color="auto"/>
              <w:bottom w:val="single" w:sz="4" w:space="0" w:color="auto"/>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Pr>
                <w:rFonts w:ascii="Calibri" w:hAnsi="Calibri"/>
                <w:color w:val="000000"/>
                <w:sz w:val="20"/>
                <w:szCs w:val="20"/>
              </w:rPr>
              <w:t>Specification</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(5)</w:t>
            </w:r>
          </w:p>
        </w:tc>
        <w:tc>
          <w:tcPr>
            <w:tcW w:w="960" w:type="dxa"/>
            <w:tcBorders>
              <w:top w:val="nil"/>
              <w:left w:val="nil"/>
              <w:bottom w:val="single" w:sz="4"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(7)</w:t>
            </w:r>
          </w:p>
        </w:tc>
        <w:tc>
          <w:tcPr>
            <w:tcW w:w="958"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(8)</w:t>
            </w:r>
          </w:p>
        </w:tc>
        <w:tc>
          <w:tcPr>
            <w:tcW w:w="953"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(10)</w:t>
            </w:r>
          </w:p>
        </w:tc>
        <w:tc>
          <w:tcPr>
            <w:tcW w:w="1039"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(11)</w:t>
            </w:r>
          </w:p>
        </w:tc>
        <w:tc>
          <w:tcPr>
            <w:tcW w:w="960" w:type="dxa"/>
            <w:tcBorders>
              <w:top w:val="nil"/>
              <w:left w:val="nil"/>
              <w:bottom w:val="single" w:sz="4"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(12)</w:t>
            </w:r>
          </w:p>
        </w:tc>
      </w:tr>
      <w:tr w:rsidR="00EC2A52" w:rsidRPr="009E5BB2" w:rsidTr="00EC2A52">
        <w:trPr>
          <w:trHeight w:val="315"/>
        </w:trPr>
        <w:tc>
          <w:tcPr>
            <w:tcW w:w="1970" w:type="dxa"/>
            <w:tcBorders>
              <w:top w:val="nil"/>
              <w:left w:val="single" w:sz="8" w:space="0" w:color="auto"/>
              <w:bottom w:val="double" w:sz="6" w:space="0" w:color="auto"/>
              <w:right w:val="nil"/>
            </w:tcBorders>
            <w:shd w:val="clear" w:color="auto" w:fill="auto"/>
            <w:noWrap/>
            <w:vAlign w:val="bottom"/>
            <w:hideMark/>
          </w:tcPr>
          <w:p w:rsidR="00EC2A52" w:rsidRPr="002D03A9" w:rsidRDefault="00EC2A52" w:rsidP="00EC2A52">
            <w:pPr>
              <w:rPr>
                <w:rFonts w:ascii="Calibri" w:hAnsi="Calibri"/>
                <w:color w:val="000000"/>
                <w:sz w:val="18"/>
                <w:szCs w:val="18"/>
                <w:vertAlign w:val="superscript"/>
              </w:rPr>
            </w:pPr>
            <w:r w:rsidRPr="009E5BB2">
              <w:rPr>
                <w:rFonts w:ascii="Calibri" w:hAnsi="Calibri"/>
                <w:color w:val="000000"/>
                <w:sz w:val="18"/>
                <w:szCs w:val="18"/>
              </w:rPr>
              <w:t>VARIABLES</w:t>
            </w:r>
            <w:r>
              <w:rPr>
                <w:rFonts w:ascii="Calibri" w:hAnsi="Calibri"/>
                <w:color w:val="000000"/>
                <w:sz w:val="18"/>
                <w:szCs w:val="18"/>
                <w:vertAlign w:val="superscript"/>
              </w:rPr>
              <w:t>a</w:t>
            </w:r>
          </w:p>
        </w:tc>
        <w:tc>
          <w:tcPr>
            <w:tcW w:w="960" w:type="dxa"/>
            <w:tcBorders>
              <w:top w:val="nil"/>
              <w:left w:val="single" w:sz="8" w:space="0" w:color="auto"/>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58"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53"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1039" w:type="dxa"/>
            <w:tcBorders>
              <w:top w:val="nil"/>
              <w:left w:val="nil"/>
              <w:bottom w:val="double" w:sz="6"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D_new</w:t>
            </w:r>
          </w:p>
        </w:tc>
      </w:tr>
      <w:tr w:rsidR="00EC2A52" w:rsidRPr="009E5BB2" w:rsidTr="00EC2A52">
        <w:trPr>
          <w:trHeight w:val="315"/>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t2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0.595**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1.703***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0.013</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0.318**</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0.013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0.977***</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(0.190)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(0.338)</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(0.365)</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(0.102)</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(0.190)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(0.125)</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mkt_t2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-0.622**</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-3.855***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1.395**</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-0.345*</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-2.165**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0.432</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(0.226)</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(0.782)</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(0.475)</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(0.156)</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(0.690)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(0.312)</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cat_t2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0.260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0.187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0.362***</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0.547***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(0.267)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(0.263)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(0.103)</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(0.137)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prod_t2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0.113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0.829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-1.117***</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0.398</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3.006**</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-1.062***</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(0.125)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(0.660)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(0.297)</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(0.237)</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(1.230)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(0.296)</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single" w:sz="4" w:space="0" w:color="auto"/>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T</w:t>
            </w:r>
          </w:p>
        </w:tc>
        <w:tc>
          <w:tcPr>
            <w:tcW w:w="960" w:type="dxa"/>
            <w:tcBorders>
              <w:top w:val="single" w:sz="4" w:space="0" w:color="auto"/>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1.348**</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-2.940**</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1.284***</w:t>
            </w:r>
          </w:p>
        </w:tc>
        <w:tc>
          <w:tcPr>
            <w:tcW w:w="953"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1.302</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(0.523)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(0.954)</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(0.359)</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(0.778)</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mkt_t</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-1.249*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8.412***</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-1.185**</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4.170**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(0.660)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(1.868)</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(0.529)</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(1.698)</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cat_t</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1.009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4.404**</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(0.713)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(1.754)</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prod_t</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0.267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0.227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1.670</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-7.968</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single" w:sz="4" w:space="0" w:color="auto"/>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(0.437)</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(1.456)</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(0.985)</w:t>
            </w:r>
          </w:p>
        </w:tc>
        <w:tc>
          <w:tcPr>
            <w:tcW w:w="953"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(4.416)</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t4</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0.081</w:t>
            </w:r>
            <w:r w:rsidRPr="009E5BB2">
              <w:rPr>
                <w:rFonts w:ascii="Calibri" w:hAnsi="Calibri"/>
                <w:color w:val="000000"/>
                <w:sz w:val="18"/>
                <w:szCs w:val="18"/>
              </w:rPr>
              <w:t>***</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0.007</w:t>
            </w:r>
            <w:r w:rsidRPr="009E5BB2">
              <w:rPr>
                <w:rFonts w:ascii="Calibri" w:hAnsi="Calibri"/>
                <w:color w:val="000000"/>
                <w:sz w:val="18"/>
                <w:szCs w:val="18"/>
              </w:rPr>
              <w:t>***</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(0.0219)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(0.00160)</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mkt_t4</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-0.094</w:t>
            </w:r>
            <w:r w:rsidRPr="009E5BB2">
              <w:rPr>
                <w:rFonts w:ascii="Calibri" w:hAnsi="Calibri"/>
                <w:color w:val="000000"/>
                <w:sz w:val="18"/>
                <w:szCs w:val="18"/>
              </w:rPr>
              <w:t>***</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w:t>
            </w:r>
            <w:r>
              <w:rPr>
                <w:rFonts w:ascii="Calibri" w:hAnsi="Calibri"/>
                <w:color w:val="000000"/>
                <w:sz w:val="18"/>
                <w:szCs w:val="18"/>
              </w:rPr>
              <w:t>20</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(0.0253)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(0.0123)</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lastRenderedPageBreak/>
              <w:t>cat_t4</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154842">
              <w:rPr>
                <w:rFonts w:ascii="Calibri" w:hAnsi="Calibri"/>
                <w:color w:val="000000"/>
                <w:sz w:val="18"/>
                <w:szCs w:val="18"/>
              </w:rPr>
              <w:t>0.02</w:t>
            </w:r>
            <w:r w:rsidRPr="00144FE4">
              <w:rPr>
                <w:rFonts w:ascii="Calibri" w:hAnsi="Calibri"/>
                <w:color w:val="000000"/>
                <w:sz w:val="18"/>
                <w:szCs w:val="18"/>
              </w:rPr>
              <w:t>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-0.003</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(0.0301)</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(0.00160)</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prod_t4</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0.01</w:t>
            </w:r>
            <w:r>
              <w:rPr>
                <w:rFonts w:ascii="Calibri" w:hAnsi="Calibri"/>
                <w:color w:val="000000"/>
                <w:sz w:val="18"/>
                <w:szCs w:val="18"/>
              </w:rPr>
              <w:t>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0.02</w:t>
            </w:r>
            <w:r>
              <w:rPr>
                <w:rFonts w:ascii="Calibri" w:hAnsi="Calibri"/>
                <w:color w:val="000000"/>
                <w:sz w:val="18"/>
                <w:szCs w:val="18"/>
              </w:rPr>
              <w:t>8</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(0.0127)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(0.0160)</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single" w:sz="4" w:space="0" w:color="auto"/>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t6</w:t>
            </w:r>
          </w:p>
        </w:tc>
        <w:tc>
          <w:tcPr>
            <w:tcW w:w="960" w:type="dxa"/>
            <w:tcBorders>
              <w:top w:val="single" w:sz="4" w:space="0" w:color="auto"/>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w:t>
            </w:r>
            <w:r>
              <w:rPr>
                <w:rFonts w:ascii="Calibri" w:hAnsi="Calibri"/>
                <w:color w:val="000000"/>
                <w:sz w:val="18"/>
                <w:szCs w:val="18"/>
              </w:rPr>
              <w:t>10</w:t>
            </w:r>
          </w:p>
        </w:tc>
        <w:tc>
          <w:tcPr>
            <w:tcW w:w="960" w:type="dxa"/>
            <w:tcBorders>
              <w:top w:val="single" w:sz="4" w:space="0" w:color="auto"/>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-0.001</w:t>
            </w:r>
            <w:r w:rsidRPr="009E5BB2">
              <w:rPr>
                <w:rFonts w:ascii="Calibri" w:hAnsi="Calibri"/>
                <w:color w:val="000000"/>
                <w:sz w:val="18"/>
                <w:szCs w:val="18"/>
              </w:rPr>
              <w:t>***</w:t>
            </w:r>
          </w:p>
        </w:tc>
        <w:tc>
          <w:tcPr>
            <w:tcW w:w="960" w:type="dxa"/>
            <w:tcBorders>
              <w:top w:val="single" w:sz="4" w:space="0" w:color="auto"/>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(0.00776)</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(9.83e-05)</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mkt_t6</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-0.04</w:t>
            </w:r>
            <w:r>
              <w:rPr>
                <w:rFonts w:ascii="Calibri" w:hAnsi="Calibri"/>
                <w:color w:val="000000"/>
                <w:sz w:val="18"/>
                <w:szCs w:val="18"/>
              </w:rPr>
              <w:t>8</w:t>
            </w:r>
            <w:r w:rsidRPr="009E5BB2">
              <w:rPr>
                <w:rFonts w:ascii="Calibri" w:hAnsi="Calibri"/>
                <w:color w:val="000000"/>
                <w:sz w:val="18"/>
                <w:szCs w:val="18"/>
              </w:rPr>
              <w:t>***</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-0.037</w:t>
            </w:r>
            <w:r w:rsidRPr="009E5BB2">
              <w:rPr>
                <w:rFonts w:ascii="Calibri" w:hAnsi="Calibri"/>
                <w:color w:val="000000"/>
                <w:sz w:val="18"/>
                <w:szCs w:val="18"/>
              </w:rPr>
              <w:t>***</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(0.0113)</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(0.00772)</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cat_t6</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w:t>
            </w:r>
            <w:r>
              <w:rPr>
                <w:rFonts w:ascii="Calibri" w:hAnsi="Calibri"/>
                <w:color w:val="000000"/>
                <w:sz w:val="18"/>
                <w:szCs w:val="18"/>
              </w:rPr>
              <w:t>3</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0.001</w:t>
            </w:r>
            <w:r w:rsidRPr="009E5BB2">
              <w:rPr>
                <w:rFonts w:ascii="Calibri" w:hAnsi="Calibri"/>
                <w:color w:val="000000"/>
                <w:sz w:val="18"/>
                <w:szCs w:val="18"/>
              </w:rPr>
              <w:t>***</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(0.00402)</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(9.36e-05)</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prod_t6</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0.037</w:t>
            </w:r>
            <w:r w:rsidRPr="009E5BB2">
              <w:rPr>
                <w:rFonts w:ascii="Calibri" w:hAnsi="Calibri"/>
                <w:color w:val="000000"/>
                <w:sz w:val="18"/>
                <w:szCs w:val="18"/>
              </w:rPr>
              <w:t>***</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Pr>
                <w:rFonts w:ascii="Calibri" w:hAnsi="Calibri"/>
                <w:color w:val="000000"/>
                <w:sz w:val="18"/>
                <w:szCs w:val="18"/>
              </w:rPr>
              <w:t>0.038</w:t>
            </w:r>
            <w:r w:rsidRPr="009E5BB2">
              <w:rPr>
                <w:rFonts w:ascii="Calibri" w:hAnsi="Calibri"/>
                <w:color w:val="000000"/>
                <w:sz w:val="18"/>
                <w:szCs w:val="18"/>
              </w:rPr>
              <w:t>***</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single" w:sz="4" w:space="0" w:color="auto"/>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(0.00815)</w:t>
            </w:r>
          </w:p>
        </w:tc>
        <w:tc>
          <w:tcPr>
            <w:tcW w:w="960" w:type="dxa"/>
            <w:tcBorders>
              <w:top w:val="nil"/>
              <w:left w:val="nil"/>
              <w:bottom w:val="single" w:sz="4"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(0.00772)</w:t>
            </w:r>
          </w:p>
        </w:tc>
        <w:tc>
          <w:tcPr>
            <w:tcW w:w="960" w:type="dxa"/>
            <w:tcBorders>
              <w:top w:val="nil"/>
              <w:left w:val="nil"/>
              <w:bottom w:val="single" w:sz="4"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t_1</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-0.893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-0.838</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(0.653)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(1.283)</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Mkt</w:t>
            </w:r>
            <w:r>
              <w:rPr>
                <w:rFonts w:ascii="Calibri" w:hAnsi="Calibri"/>
                <w:color w:val="000000"/>
                <w:sz w:val="18"/>
                <w:szCs w:val="18"/>
              </w:rPr>
              <w:t>_</w:t>
            </w:r>
            <w:r w:rsidRPr="009E5BB2">
              <w:rPr>
                <w:rFonts w:ascii="Calibri" w:hAnsi="Calibri"/>
                <w:color w:val="000000"/>
                <w:sz w:val="18"/>
                <w:szCs w:val="18"/>
              </w:rPr>
              <w:t xml:space="preserve"> t_1</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2.690***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3.187**</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(0.656)</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(1.287)</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cat</w:t>
            </w:r>
            <w:r>
              <w:rPr>
                <w:rFonts w:ascii="Calibri" w:hAnsi="Calibri"/>
                <w:color w:val="000000"/>
                <w:sz w:val="18"/>
                <w:szCs w:val="18"/>
              </w:rPr>
              <w:t>_</w:t>
            </w:r>
            <w:r w:rsidRPr="009E5BB2">
              <w:rPr>
                <w:rFonts w:ascii="Calibri" w:hAnsi="Calibri"/>
                <w:color w:val="000000"/>
                <w:sz w:val="18"/>
                <w:szCs w:val="18"/>
              </w:rPr>
              <w:t xml:space="preserve"> t_1</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-2.989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-16.99***</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(1.974)</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(2.838)</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prod</w:t>
            </w:r>
            <w:r>
              <w:rPr>
                <w:rFonts w:ascii="Calibri" w:hAnsi="Calibri"/>
                <w:color w:val="000000"/>
                <w:sz w:val="18"/>
                <w:szCs w:val="18"/>
              </w:rPr>
              <w:t>_</w:t>
            </w:r>
            <w:r w:rsidRPr="009E5BB2">
              <w:rPr>
                <w:rFonts w:ascii="Calibri" w:hAnsi="Calibri"/>
                <w:color w:val="000000"/>
                <w:sz w:val="18"/>
                <w:szCs w:val="18"/>
              </w:rPr>
              <w:t xml:space="preserve"> t_1</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-0.485***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-10.64</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(0.0920)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(9.688)</w:t>
            </w:r>
          </w:p>
        </w:tc>
      </w:tr>
      <w:tr w:rsidR="00EC2A52" w:rsidRPr="009E5BB2" w:rsidTr="00EC2A52">
        <w:trPr>
          <w:trHeight w:val="300"/>
        </w:trPr>
        <w:tc>
          <w:tcPr>
            <w:tcW w:w="1970" w:type="dxa"/>
            <w:tcBorders>
              <w:top w:val="single" w:sz="4" w:space="0" w:color="auto"/>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t_2</w:t>
            </w:r>
          </w:p>
        </w:tc>
        <w:tc>
          <w:tcPr>
            <w:tcW w:w="960" w:type="dxa"/>
            <w:tcBorders>
              <w:top w:val="single" w:sz="4" w:space="0" w:color="auto"/>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6.056***</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single" w:sz="4"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single" w:sz="4" w:space="0" w:color="auto"/>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2.183**</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(1.461)</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(0.715)</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mkt</w:t>
            </w:r>
            <w:r>
              <w:rPr>
                <w:rFonts w:ascii="Calibri" w:hAnsi="Calibri"/>
                <w:color w:val="000000"/>
                <w:sz w:val="18"/>
                <w:szCs w:val="18"/>
              </w:rPr>
              <w:t>_</w:t>
            </w:r>
            <w:r w:rsidRPr="009E5BB2">
              <w:rPr>
                <w:rFonts w:ascii="Calibri" w:hAnsi="Calibri"/>
                <w:color w:val="000000"/>
                <w:sz w:val="18"/>
                <w:szCs w:val="18"/>
              </w:rPr>
              <w:t xml:space="preserve"> </w:t>
            </w:r>
            <w:r>
              <w:rPr>
                <w:rFonts w:ascii="Calibri" w:hAnsi="Calibri"/>
                <w:color w:val="000000"/>
                <w:sz w:val="18"/>
                <w:szCs w:val="18"/>
              </w:rPr>
              <w:t>t_2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-10.67***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-3.389***</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(1.542)</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(0.716)</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cat</w:t>
            </w:r>
            <w:r>
              <w:rPr>
                <w:rFonts w:ascii="Calibri" w:hAnsi="Calibri"/>
                <w:color w:val="000000"/>
                <w:sz w:val="18"/>
                <w:szCs w:val="18"/>
              </w:rPr>
              <w:t>_</w:t>
            </w:r>
            <w:r w:rsidRPr="009E5BB2">
              <w:rPr>
                <w:rFonts w:ascii="Calibri" w:hAnsi="Calibri"/>
                <w:color w:val="000000"/>
                <w:sz w:val="18"/>
                <w:szCs w:val="18"/>
              </w:rPr>
              <w:t xml:space="preserve"> </w:t>
            </w:r>
            <w:r>
              <w:rPr>
                <w:rFonts w:ascii="Calibri" w:hAnsi="Calibri"/>
                <w:color w:val="000000"/>
                <w:sz w:val="18"/>
                <w:szCs w:val="18"/>
              </w:rPr>
              <w:t>t_2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5.944</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8.493***</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(3.521)</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(0.747)</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prod</w:t>
            </w:r>
            <w:r>
              <w:rPr>
                <w:rFonts w:ascii="Calibri" w:hAnsi="Calibri"/>
                <w:color w:val="000000"/>
                <w:sz w:val="18"/>
                <w:szCs w:val="18"/>
              </w:rPr>
              <w:t>_</w:t>
            </w:r>
            <w:r w:rsidRPr="009E5BB2">
              <w:rPr>
                <w:rFonts w:ascii="Calibri" w:hAnsi="Calibri"/>
                <w:color w:val="000000"/>
                <w:sz w:val="18"/>
                <w:szCs w:val="18"/>
              </w:rPr>
              <w:t xml:space="preserve"> </w:t>
            </w:r>
            <w:r>
              <w:rPr>
                <w:rFonts w:ascii="Calibri" w:hAnsi="Calibri"/>
                <w:color w:val="000000"/>
                <w:sz w:val="18"/>
                <w:szCs w:val="18"/>
              </w:rPr>
              <w:t>t_2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3.423***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6.002</w:t>
            </w:r>
          </w:p>
        </w:tc>
      </w:tr>
      <w:tr w:rsidR="00EC2A52" w:rsidRPr="009E5BB2" w:rsidTr="00EC2A52">
        <w:trPr>
          <w:trHeight w:val="300"/>
        </w:trPr>
        <w:tc>
          <w:tcPr>
            <w:tcW w:w="1970" w:type="dxa"/>
            <w:tcBorders>
              <w:top w:val="nil"/>
              <w:left w:val="single" w:sz="8" w:space="0" w:color="auto"/>
              <w:bottom w:val="single" w:sz="4" w:space="0" w:color="auto"/>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(0.526)</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8"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53"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1039" w:type="dxa"/>
            <w:tcBorders>
              <w:top w:val="nil"/>
              <w:left w:val="nil"/>
              <w:bottom w:val="single" w:sz="4"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4"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(3.904)</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Cross</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1.700***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1.563***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0.381</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1.735***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0.407</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0.629***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1.700***</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1.563***</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0.381*</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1.735***</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0.407</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0.233**</w:t>
            </w:r>
          </w:p>
        </w:tc>
      </w:tr>
      <w:tr w:rsidR="00EC2A52" w:rsidRPr="009E5BB2" w:rsidTr="00EC2A52">
        <w:trPr>
          <w:trHeight w:val="315"/>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(0.343)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(0.414)</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(0.207)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(0.268)</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(0.280)</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(0.108)</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(0.331)</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(0.399)</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(0.195)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(0.259)</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(0.263)</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(0.0826)</w:t>
            </w:r>
          </w:p>
        </w:tc>
      </w:tr>
      <w:tr w:rsidR="00EC2A52" w:rsidRPr="009E5BB2" w:rsidTr="00EC2A52">
        <w:trPr>
          <w:trHeight w:val="315"/>
        </w:trPr>
        <w:tc>
          <w:tcPr>
            <w:tcW w:w="1970" w:type="dxa"/>
            <w:tcBorders>
              <w:top w:val="double" w:sz="6" w:space="0" w:color="auto"/>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lastRenderedPageBreak/>
              <w:t>Observations</w:t>
            </w:r>
          </w:p>
        </w:tc>
        <w:tc>
          <w:tcPr>
            <w:tcW w:w="960" w:type="dxa"/>
            <w:tcBorders>
              <w:top w:val="double" w:sz="6" w:space="0" w:color="auto"/>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w:t>
            </w:r>
          </w:p>
        </w:tc>
        <w:tc>
          <w:tcPr>
            <w:tcW w:w="960"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w:t>
            </w:r>
          </w:p>
        </w:tc>
        <w:tc>
          <w:tcPr>
            <w:tcW w:w="960"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w:t>
            </w:r>
          </w:p>
        </w:tc>
        <w:tc>
          <w:tcPr>
            <w:tcW w:w="960"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w:t>
            </w:r>
          </w:p>
        </w:tc>
        <w:tc>
          <w:tcPr>
            <w:tcW w:w="960"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w:t>
            </w:r>
          </w:p>
        </w:tc>
        <w:tc>
          <w:tcPr>
            <w:tcW w:w="960" w:type="dxa"/>
            <w:tcBorders>
              <w:top w:val="double" w:sz="6" w:space="0" w:color="auto"/>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w:t>
            </w:r>
          </w:p>
        </w:tc>
        <w:tc>
          <w:tcPr>
            <w:tcW w:w="960"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26</w:t>
            </w:r>
          </w:p>
        </w:tc>
        <w:tc>
          <w:tcPr>
            <w:tcW w:w="958"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26</w:t>
            </w:r>
          </w:p>
        </w:tc>
        <w:tc>
          <w:tcPr>
            <w:tcW w:w="953"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26</w:t>
            </w:r>
          </w:p>
        </w:tc>
        <w:tc>
          <w:tcPr>
            <w:tcW w:w="960"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26</w:t>
            </w:r>
          </w:p>
        </w:tc>
        <w:tc>
          <w:tcPr>
            <w:tcW w:w="1039" w:type="dxa"/>
            <w:tcBorders>
              <w:top w:val="double" w:sz="6" w:space="0" w:color="auto"/>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26</w:t>
            </w:r>
          </w:p>
        </w:tc>
        <w:tc>
          <w:tcPr>
            <w:tcW w:w="960" w:type="dxa"/>
            <w:tcBorders>
              <w:top w:val="double" w:sz="6" w:space="0" w:color="auto"/>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26</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R2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0.722</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0.652</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0.808</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0.774</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0.808</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0.814</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0.869</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0.733</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0.889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0.667</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0.913</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0.924</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Adjusted R-squared</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0.635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0.543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0.689</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0.704</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0.689</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0.675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0.837</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0.670</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0.840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0.588</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0.875</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0.883</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Likelihood</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-44.36</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-46.72</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-40.50</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-42.17</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-40.49</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-40.13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-72.41</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-81.63</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-70.21</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-84.51</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-67.02</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-65.36</w:t>
            </w:r>
          </w:p>
        </w:tc>
      </w:tr>
      <w:tr w:rsidR="00EC2A52" w:rsidRPr="009E5BB2" w:rsidTr="00EC2A52">
        <w:trPr>
          <w:trHeight w:val="300"/>
        </w:trPr>
        <w:tc>
          <w:tcPr>
            <w:tcW w:w="1970" w:type="dxa"/>
            <w:tcBorders>
              <w:top w:val="nil"/>
              <w:left w:val="single" w:sz="8" w:space="0" w:color="auto"/>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F-statistic</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21.95</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16.82</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28.3</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776.2</w:t>
            </w:r>
          </w:p>
        </w:tc>
        <w:tc>
          <w:tcPr>
            <w:tcW w:w="958"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9.733</w:t>
            </w:r>
          </w:p>
        </w:tc>
        <w:tc>
          <w:tcPr>
            <w:tcW w:w="953"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10952</w:t>
            </w:r>
          </w:p>
        </w:tc>
        <w:tc>
          <w:tcPr>
            <w:tcW w:w="1039" w:type="dxa"/>
            <w:tcBorders>
              <w:top w:val="nil"/>
              <w:left w:val="nil"/>
              <w:bottom w:val="nil"/>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15"/>
        </w:trPr>
        <w:tc>
          <w:tcPr>
            <w:tcW w:w="1970" w:type="dxa"/>
            <w:tcBorders>
              <w:top w:val="nil"/>
              <w:left w:val="single" w:sz="8" w:space="0" w:color="auto"/>
              <w:bottom w:val="single" w:sz="8" w:space="0" w:color="auto"/>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Prob&gt;F</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0.000</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0.000</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0.000</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0.000</w:t>
            </w:r>
          </w:p>
        </w:tc>
        <w:tc>
          <w:tcPr>
            <w:tcW w:w="958"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0.001</w:t>
            </w:r>
          </w:p>
        </w:tc>
        <w:tc>
          <w:tcPr>
            <w:tcW w:w="953"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0.000</w:t>
            </w:r>
          </w:p>
        </w:tc>
        <w:tc>
          <w:tcPr>
            <w:tcW w:w="1039" w:type="dxa"/>
            <w:tcBorders>
              <w:top w:val="nil"/>
              <w:left w:val="nil"/>
              <w:bottom w:val="single" w:sz="8" w:space="0" w:color="auto"/>
              <w:right w:val="single" w:sz="4"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vAlign w:val="bottom"/>
            <w:hideMark/>
          </w:tcPr>
          <w:p w:rsidR="00EC2A52" w:rsidRPr="009E5BB2" w:rsidRDefault="00EC2A52" w:rsidP="00EC2A52">
            <w:pPr>
              <w:jc w:val="center"/>
              <w:rPr>
                <w:rFonts w:ascii="Calibri" w:hAnsi="Calibri"/>
                <w:color w:val="000000"/>
                <w:sz w:val="18"/>
                <w:szCs w:val="18"/>
              </w:rPr>
            </w:pPr>
            <w:r w:rsidRPr="009E5BB2">
              <w:rPr>
                <w:rFonts w:ascii="Calibri" w:hAnsi="Calibri"/>
                <w:color w:val="000000"/>
                <w:sz w:val="18"/>
                <w:szCs w:val="18"/>
              </w:rPr>
              <w:t> </w:t>
            </w:r>
          </w:p>
        </w:tc>
      </w:tr>
      <w:tr w:rsidR="00EC2A52" w:rsidRPr="009E5BB2" w:rsidTr="00EC2A52">
        <w:trPr>
          <w:trHeight w:val="300"/>
        </w:trPr>
        <w:tc>
          <w:tcPr>
            <w:tcW w:w="3890" w:type="dxa"/>
            <w:gridSpan w:val="3"/>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Robust standard errors in parentheses</w:t>
            </w: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58"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53"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1039"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r>
      <w:tr w:rsidR="00EC2A52" w:rsidRPr="009E5BB2" w:rsidTr="00EC2A52">
        <w:trPr>
          <w:trHeight w:val="300"/>
        </w:trPr>
        <w:tc>
          <w:tcPr>
            <w:tcW w:w="2930" w:type="dxa"/>
            <w:gridSpan w:val="2"/>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r w:rsidRPr="009E5BB2">
              <w:rPr>
                <w:rFonts w:ascii="Calibri" w:hAnsi="Calibri"/>
                <w:color w:val="000000"/>
                <w:sz w:val="18"/>
                <w:szCs w:val="18"/>
              </w:rPr>
              <w:t>*** p&lt;0.01, ** p&lt;0.05, * p&lt;0.1</w:t>
            </w: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58"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53"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1039"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rsidR="00EC2A52" w:rsidRPr="009E5BB2" w:rsidRDefault="00EC2A52" w:rsidP="00EC2A52">
            <w:pPr>
              <w:rPr>
                <w:rFonts w:ascii="Calibri" w:hAnsi="Calibri"/>
                <w:color w:val="000000"/>
                <w:sz w:val="18"/>
                <w:szCs w:val="18"/>
              </w:rPr>
            </w:pPr>
          </w:p>
        </w:tc>
      </w:tr>
    </w:tbl>
    <w:p w:rsidR="00EC2A52" w:rsidRPr="009263A5" w:rsidRDefault="00EC2A52" w:rsidP="00EC2A52">
      <w:pPr>
        <w:spacing w:after="120"/>
        <w:rPr>
          <w:b/>
          <w:i/>
          <w:sz w:val="20"/>
          <w:szCs w:val="20"/>
        </w:rPr>
      </w:pPr>
    </w:p>
    <w:p w:rsidR="00EC2A52" w:rsidRPr="002D03A9" w:rsidRDefault="00EC2A52" w:rsidP="00EC2A52">
      <w:pPr>
        <w:spacing w:after="120"/>
        <w:rPr>
          <w:rFonts w:asciiTheme="minorHAnsi" w:hAnsiTheme="minorHAnsi"/>
          <w:i/>
          <w:color w:val="000000"/>
          <w:sz w:val="20"/>
          <w:szCs w:val="20"/>
        </w:rPr>
      </w:pPr>
      <w:r w:rsidRPr="002D03A9">
        <w:rPr>
          <w:rFonts w:asciiTheme="minorHAnsi" w:hAnsiTheme="minorHAnsi"/>
          <w:i/>
          <w:sz w:val="20"/>
          <w:szCs w:val="20"/>
          <w:vertAlign w:val="superscript"/>
        </w:rPr>
        <w:t xml:space="preserve">a </w:t>
      </w:r>
      <w:r w:rsidRPr="002D03A9">
        <w:rPr>
          <w:rFonts w:asciiTheme="minorHAnsi" w:hAnsiTheme="minorHAnsi"/>
          <w:i/>
          <w:sz w:val="20"/>
          <w:szCs w:val="20"/>
        </w:rPr>
        <w:t xml:space="preserve">See variable definitions in Table A2 in Appendix A. These names are slightly modified for the corresponding polynomial, each of which is adjusted for its base period. The exceptions are </w:t>
      </w:r>
      <w:r w:rsidRPr="002D03A9">
        <w:rPr>
          <w:rFonts w:asciiTheme="minorHAnsi" w:hAnsiTheme="minorHAnsi" w:cs="Arial"/>
          <w:i/>
          <w:sz w:val="20"/>
          <w:szCs w:val="20"/>
        </w:rPr>
        <w:t>t_1 and t_2</w:t>
      </w:r>
      <w:r w:rsidRPr="002D03A9">
        <w:rPr>
          <w:rFonts w:asciiTheme="minorHAnsi" w:hAnsiTheme="minorHAnsi"/>
          <w:i/>
          <w:color w:val="000000"/>
          <w:sz w:val="20"/>
          <w:szCs w:val="20"/>
        </w:rPr>
        <w:t>, which represent the piecewise linear coefficients below and above, respectively, the temperature breakpoint (i.e., 0.8°C or 1.7°C)</w:t>
      </w:r>
      <w:r w:rsidRPr="000E1CEE">
        <w:rPr>
          <w:rFonts w:asciiTheme="minorHAnsi" w:hAnsiTheme="minorHAnsi"/>
          <w:i/>
          <w:color w:val="000000"/>
          <w:sz w:val="20"/>
          <w:szCs w:val="20"/>
        </w:rPr>
        <w:t>, such that cat_ t_1 represents</w:t>
      </w:r>
      <w:r w:rsidRPr="002D03A9">
        <w:rPr>
          <w:rFonts w:asciiTheme="minorHAnsi" w:hAnsiTheme="minorHAnsi"/>
          <w:i/>
          <w:color w:val="000000"/>
          <w:sz w:val="20"/>
          <w:szCs w:val="20"/>
        </w:rPr>
        <w:t xml:space="preserve"> the Interaction of cat with t_1.</w:t>
      </w:r>
    </w:p>
    <w:p w:rsidR="00EC2A52" w:rsidRPr="009263A5" w:rsidRDefault="00EC2A52" w:rsidP="00EC2A52">
      <w:pPr>
        <w:spacing w:after="120"/>
        <w:rPr>
          <w:i/>
          <w:sz w:val="20"/>
          <w:szCs w:val="20"/>
        </w:rPr>
        <w:sectPr w:rsidR="00EC2A52" w:rsidRPr="009263A5" w:rsidSect="00EC2A52">
          <w:pgSz w:w="15840" w:h="12240" w:orient="landscape"/>
          <w:pgMar w:top="1440" w:right="1440" w:bottom="1440" w:left="1440" w:header="720" w:footer="720" w:gutter="0"/>
          <w:cols w:space="720"/>
          <w:docGrid w:linePitch="360"/>
        </w:sectPr>
      </w:pPr>
      <w:r w:rsidRPr="002D03A9">
        <w:rPr>
          <w:rFonts w:asciiTheme="minorHAnsi" w:hAnsiTheme="minorHAnsi"/>
          <w:i/>
          <w:color w:val="000000"/>
          <w:sz w:val="20"/>
          <w:szCs w:val="20"/>
          <w:vertAlign w:val="superscript"/>
        </w:rPr>
        <w:t xml:space="preserve">b </w:t>
      </w:r>
      <w:r w:rsidRPr="002D03A9">
        <w:rPr>
          <w:rFonts w:asciiTheme="minorHAnsi" w:hAnsiTheme="minorHAnsi"/>
          <w:i/>
          <w:color w:val="000000"/>
          <w:sz w:val="20"/>
          <w:szCs w:val="20"/>
        </w:rPr>
        <w:t>In Appendix C2, the notation for the piecewise linear damage function (Newbold and Marten, 2014) assumes marginal coefficients. Instead, the above results present the coefficients as cumulative for ease of comparison, such that the marginal coefficients are t_1 be</w:t>
      </w:r>
      <w:r>
        <w:rPr>
          <w:rFonts w:asciiTheme="minorHAnsi" w:hAnsiTheme="minorHAnsi"/>
          <w:i/>
          <w:color w:val="000000"/>
          <w:sz w:val="20"/>
          <w:szCs w:val="20"/>
        </w:rPr>
        <w:t>low the breaking point</w:t>
      </w:r>
      <w:r w:rsidRPr="002D03A9">
        <w:rPr>
          <w:rFonts w:asciiTheme="minorHAnsi" w:hAnsiTheme="minorHAnsi"/>
          <w:i/>
          <w:color w:val="000000"/>
          <w:sz w:val="20"/>
          <w:szCs w:val="20"/>
        </w:rPr>
        <w:t xml:space="preserve"> and t_2-t_1 thereafter.</w:t>
      </w:r>
    </w:p>
    <w:p w:rsidR="00EC2A52" w:rsidRPr="009263A5" w:rsidRDefault="00EC2A52" w:rsidP="00EC2A52">
      <w:pPr>
        <w:rPr>
          <w:sz w:val="20"/>
          <w:szCs w:val="20"/>
        </w:rPr>
      </w:pPr>
      <w:r w:rsidRPr="009263A5">
        <w:rPr>
          <w:b/>
          <w:sz w:val="20"/>
          <w:szCs w:val="20"/>
        </w:rPr>
        <w:lastRenderedPageBreak/>
        <w:t>Table C</w:t>
      </w:r>
      <w:r>
        <w:rPr>
          <w:b/>
          <w:sz w:val="20"/>
          <w:szCs w:val="20"/>
        </w:rPr>
        <w:t>5</w:t>
      </w:r>
      <w:r w:rsidRPr="009263A5">
        <w:rPr>
          <w:b/>
          <w:sz w:val="20"/>
          <w:szCs w:val="20"/>
        </w:rPr>
        <w:t xml:space="preserve">. </w:t>
      </w:r>
      <w:r w:rsidRPr="009263A5">
        <w:rPr>
          <w:b/>
          <w:i/>
          <w:sz w:val="20"/>
          <w:szCs w:val="20"/>
        </w:rPr>
        <w:t>Sensitivity Analysis: Re-estimating the Preferred Specification for Low</w:t>
      </w:r>
      <w:r>
        <w:rPr>
          <w:b/>
          <w:i/>
          <w:sz w:val="20"/>
          <w:szCs w:val="20"/>
        </w:rPr>
        <w:t>-</w:t>
      </w:r>
      <w:r w:rsidRPr="009263A5">
        <w:rPr>
          <w:b/>
          <w:i/>
          <w:sz w:val="20"/>
          <w:szCs w:val="20"/>
        </w:rPr>
        <w:t>Temperature Data (Specification (4) in Table 2), by Specification</w:t>
      </w:r>
    </w:p>
    <w:p w:rsidR="00EC2A52" w:rsidRPr="009263A5" w:rsidRDefault="00EC2A52" w:rsidP="00EC2A52">
      <w:pPr>
        <w:spacing w:after="120"/>
        <w:rPr>
          <w:sz w:val="20"/>
          <w:szCs w:val="20"/>
        </w:rPr>
      </w:pPr>
      <w:r w:rsidRPr="009263A5">
        <w:rPr>
          <w:sz w:val="20"/>
          <w:szCs w:val="20"/>
        </w:rPr>
        <w:t xml:space="preserve"> </w:t>
      </w:r>
    </w:p>
    <w:tbl>
      <w:tblPr>
        <w:tblW w:w="10095" w:type="dxa"/>
        <w:tblInd w:w="93" w:type="dxa"/>
        <w:tblLook w:val="04A0"/>
      </w:tblPr>
      <w:tblGrid>
        <w:gridCol w:w="1720"/>
        <w:gridCol w:w="1254"/>
        <w:gridCol w:w="1221"/>
        <w:gridCol w:w="1180"/>
        <w:gridCol w:w="1180"/>
        <w:gridCol w:w="1180"/>
        <w:gridCol w:w="1180"/>
        <w:gridCol w:w="1180"/>
      </w:tblGrid>
      <w:tr w:rsidR="00EC2A52" w:rsidRPr="00FF3E4B" w:rsidTr="00EC2A52">
        <w:trPr>
          <w:trHeight w:val="315"/>
        </w:trPr>
        <w:tc>
          <w:tcPr>
            <w:tcW w:w="1720" w:type="dxa"/>
            <w:tcBorders>
              <w:top w:val="single" w:sz="8" w:space="0" w:color="auto"/>
              <w:left w:val="single" w:sz="8" w:space="0" w:color="auto"/>
              <w:bottom w:val="double" w:sz="6" w:space="0" w:color="auto"/>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Dataset</w:t>
            </w:r>
          </w:p>
        </w:tc>
        <w:tc>
          <w:tcPr>
            <w:tcW w:w="8375" w:type="dxa"/>
            <w:gridSpan w:val="7"/>
            <w:tcBorders>
              <w:top w:val="single" w:sz="8" w:space="0" w:color="auto"/>
              <w:left w:val="single" w:sz="8" w:space="0" w:color="auto"/>
              <w:bottom w:val="double" w:sz="6" w:space="0" w:color="auto"/>
              <w:right w:val="single" w:sz="8" w:space="0" w:color="000000"/>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 xml:space="preserve"> Damages for Temp. Increases≤4 </w:t>
            </w:r>
            <w:r w:rsidRPr="00FF3E4B">
              <w:rPr>
                <w:rFonts w:ascii="Cambria" w:hAnsi="Cambria"/>
                <w:color w:val="000000"/>
                <w:sz w:val="20"/>
                <w:szCs w:val="20"/>
              </w:rPr>
              <w:t>°C and Excludes Duplicates</w:t>
            </w:r>
          </w:p>
        </w:tc>
      </w:tr>
      <w:tr w:rsidR="00EC2A52" w:rsidRPr="00FF3E4B" w:rsidTr="00EC2A52">
        <w:trPr>
          <w:trHeight w:val="315"/>
        </w:trPr>
        <w:tc>
          <w:tcPr>
            <w:tcW w:w="17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EC2A52" w:rsidRPr="002D03A9" w:rsidRDefault="00EC2A52" w:rsidP="00EC2A52">
            <w:pPr>
              <w:rPr>
                <w:rFonts w:ascii="Calibri" w:hAnsi="Calibri"/>
                <w:color w:val="000000"/>
                <w:sz w:val="20"/>
                <w:szCs w:val="20"/>
                <w:vertAlign w:val="superscript"/>
              </w:rPr>
            </w:pPr>
            <w:r w:rsidRPr="00FF3E4B">
              <w:rPr>
                <w:rFonts w:ascii="Calibri" w:hAnsi="Calibri"/>
                <w:color w:val="000000"/>
                <w:sz w:val="20"/>
                <w:szCs w:val="20"/>
              </w:rPr>
              <w:t>Specifications</w:t>
            </w:r>
            <w:r>
              <w:rPr>
                <w:rFonts w:ascii="Calibri" w:hAnsi="Calibri"/>
                <w:color w:val="000000"/>
                <w:sz w:val="20"/>
                <w:szCs w:val="20"/>
                <w:vertAlign w:val="superscript"/>
              </w:rPr>
              <w:t>a</w:t>
            </w:r>
          </w:p>
        </w:tc>
        <w:tc>
          <w:tcPr>
            <w:tcW w:w="1254" w:type="dxa"/>
            <w:vMerge w:val="restart"/>
            <w:tcBorders>
              <w:top w:val="nil"/>
              <w:left w:val="single" w:sz="8" w:space="0" w:color="auto"/>
              <w:bottom w:val="single" w:sz="4" w:space="0" w:color="000000"/>
              <w:right w:val="single" w:sz="4" w:space="0" w:color="auto"/>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Preferred Specification</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rsidR="00EC2A52" w:rsidRPr="00FF3E4B" w:rsidRDefault="00EC2A52" w:rsidP="00EC2A52">
            <w:pPr>
              <w:jc w:val="center"/>
              <w:rPr>
                <w:rFonts w:ascii="Calibri" w:hAnsi="Calibri"/>
                <w:color w:val="000000"/>
                <w:sz w:val="20"/>
                <w:szCs w:val="20"/>
              </w:rPr>
            </w:pPr>
            <w:r>
              <w:rPr>
                <w:rFonts w:ascii="Calibri" w:hAnsi="Calibri"/>
                <w:color w:val="000000"/>
                <w:sz w:val="20"/>
                <w:szCs w:val="20"/>
              </w:rPr>
              <w:t xml:space="preserve"> Alt. Variable Definition</w:t>
            </w:r>
          </w:p>
        </w:tc>
        <w:tc>
          <w:tcPr>
            <w:tcW w:w="2360" w:type="dxa"/>
            <w:gridSpan w:val="2"/>
            <w:tcBorders>
              <w:top w:val="single" w:sz="4" w:space="0" w:color="auto"/>
              <w:left w:val="nil"/>
              <w:bottom w:val="single" w:sz="4" w:space="0" w:color="auto"/>
              <w:right w:val="single" w:sz="4" w:space="0" w:color="000000"/>
            </w:tcBorders>
            <w:shd w:val="clear" w:color="auto" w:fill="auto"/>
            <w:vAlign w:val="center"/>
            <w:hideMark/>
          </w:tcPr>
          <w:p w:rsidR="00EC2A52" w:rsidRPr="00FF3E4B" w:rsidRDefault="00EC2A52" w:rsidP="00EC2A52">
            <w:pPr>
              <w:jc w:val="center"/>
              <w:rPr>
                <w:rFonts w:ascii="Calibri" w:hAnsi="Calibri"/>
                <w:color w:val="000000"/>
                <w:sz w:val="20"/>
                <w:szCs w:val="20"/>
              </w:rPr>
            </w:pPr>
            <w:r>
              <w:rPr>
                <w:rFonts w:ascii="Calibri" w:hAnsi="Calibri"/>
                <w:color w:val="000000"/>
                <w:sz w:val="20"/>
                <w:szCs w:val="20"/>
              </w:rPr>
              <w:t>High-</w:t>
            </w:r>
            <w:r w:rsidRPr="00FF3E4B">
              <w:rPr>
                <w:rFonts w:ascii="Calibri" w:hAnsi="Calibri"/>
                <w:color w:val="000000"/>
                <w:sz w:val="20"/>
                <w:szCs w:val="20"/>
              </w:rPr>
              <w:t>Temperature Cut Off</w:t>
            </w:r>
          </w:p>
        </w:tc>
        <w:tc>
          <w:tcPr>
            <w:tcW w:w="2360" w:type="dxa"/>
            <w:gridSpan w:val="2"/>
            <w:tcBorders>
              <w:top w:val="single" w:sz="4" w:space="0" w:color="auto"/>
              <w:left w:val="nil"/>
              <w:bottom w:val="single" w:sz="4" w:space="0" w:color="auto"/>
              <w:right w:val="single" w:sz="8" w:space="0" w:color="000000"/>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Drop Estimates</w:t>
            </w:r>
          </w:p>
        </w:tc>
      </w:tr>
      <w:tr w:rsidR="00EC2A52" w:rsidRPr="00FF3E4B" w:rsidTr="00EC2A52">
        <w:trPr>
          <w:trHeight w:val="1020"/>
        </w:trPr>
        <w:tc>
          <w:tcPr>
            <w:tcW w:w="1720" w:type="dxa"/>
            <w:vMerge/>
            <w:tcBorders>
              <w:top w:val="nil"/>
              <w:left w:val="single" w:sz="8" w:space="0" w:color="auto"/>
              <w:bottom w:val="single" w:sz="4" w:space="0" w:color="000000"/>
              <w:right w:val="single" w:sz="8" w:space="0" w:color="auto"/>
            </w:tcBorders>
            <w:vAlign w:val="center"/>
            <w:hideMark/>
          </w:tcPr>
          <w:p w:rsidR="00EC2A52" w:rsidRPr="00FF3E4B" w:rsidRDefault="00EC2A52" w:rsidP="00EC2A52">
            <w:pPr>
              <w:rPr>
                <w:rFonts w:ascii="Calibri" w:hAnsi="Calibri"/>
                <w:color w:val="000000"/>
                <w:sz w:val="20"/>
                <w:szCs w:val="20"/>
              </w:rPr>
            </w:pPr>
          </w:p>
        </w:tc>
        <w:tc>
          <w:tcPr>
            <w:tcW w:w="1254" w:type="dxa"/>
            <w:vMerge/>
            <w:tcBorders>
              <w:top w:val="nil"/>
              <w:left w:val="single" w:sz="8" w:space="0" w:color="auto"/>
              <w:bottom w:val="single" w:sz="4" w:space="0" w:color="000000"/>
              <w:right w:val="single" w:sz="4" w:space="0" w:color="auto"/>
            </w:tcBorders>
            <w:vAlign w:val="center"/>
            <w:hideMark/>
          </w:tcPr>
          <w:p w:rsidR="00EC2A52" w:rsidRPr="00FF3E4B" w:rsidRDefault="00EC2A52" w:rsidP="00EC2A52">
            <w:pPr>
              <w:rPr>
                <w:rFonts w:ascii="Calibri" w:hAnsi="Calibri"/>
                <w:color w:val="000000"/>
                <w:sz w:val="20"/>
                <w:szCs w:val="20"/>
              </w:rPr>
            </w:pPr>
          </w:p>
        </w:tc>
        <w:tc>
          <w:tcPr>
            <w:tcW w:w="1221" w:type="dxa"/>
            <w:tcBorders>
              <w:top w:val="nil"/>
              <w:left w:val="nil"/>
              <w:bottom w:val="single" w:sz="4" w:space="0" w:color="auto"/>
              <w:right w:val="single" w:sz="4" w:space="0" w:color="auto"/>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Non-catastrophic Damages Only</w:t>
            </w:r>
          </w:p>
        </w:tc>
        <w:tc>
          <w:tcPr>
            <w:tcW w:w="1180" w:type="dxa"/>
            <w:tcBorders>
              <w:top w:val="nil"/>
              <w:left w:val="nil"/>
              <w:bottom w:val="single" w:sz="4" w:space="0" w:color="auto"/>
              <w:right w:val="single" w:sz="4" w:space="0" w:color="auto"/>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Ecosystem Services Reclassified</w:t>
            </w:r>
          </w:p>
        </w:tc>
        <w:tc>
          <w:tcPr>
            <w:tcW w:w="1180" w:type="dxa"/>
            <w:tcBorders>
              <w:top w:val="nil"/>
              <w:left w:val="nil"/>
              <w:bottom w:val="single" w:sz="4" w:space="0" w:color="auto"/>
              <w:right w:val="nil"/>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3 Degree Celsius</w:t>
            </w:r>
          </w:p>
        </w:tc>
        <w:tc>
          <w:tcPr>
            <w:tcW w:w="1180" w:type="dxa"/>
            <w:tcBorders>
              <w:top w:val="nil"/>
              <w:left w:val="single" w:sz="4" w:space="0" w:color="auto"/>
              <w:bottom w:val="single" w:sz="4" w:space="0" w:color="auto"/>
              <w:right w:val="nil"/>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4.5 Degree Celsius</w:t>
            </w:r>
          </w:p>
        </w:tc>
        <w:tc>
          <w:tcPr>
            <w:tcW w:w="1180" w:type="dxa"/>
            <w:tcBorders>
              <w:top w:val="nil"/>
              <w:left w:val="single" w:sz="4" w:space="0" w:color="auto"/>
              <w:bottom w:val="single" w:sz="4" w:space="0" w:color="auto"/>
              <w:right w:val="nil"/>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More Restrictive Definition of Duplication</w:t>
            </w:r>
          </w:p>
        </w:tc>
        <w:tc>
          <w:tcPr>
            <w:tcW w:w="1180" w:type="dxa"/>
            <w:tcBorders>
              <w:top w:val="nil"/>
              <w:left w:val="single" w:sz="4" w:space="0" w:color="auto"/>
              <w:bottom w:val="single" w:sz="4" w:space="0" w:color="auto"/>
              <w:right w:val="single" w:sz="8" w:space="0" w:color="auto"/>
            </w:tcBorders>
            <w:shd w:val="clear" w:color="auto" w:fill="auto"/>
            <w:vAlign w:val="center"/>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More Restrictive Definition of Citation</w:t>
            </w:r>
          </w:p>
        </w:tc>
      </w:tr>
      <w:tr w:rsidR="00EC2A52" w:rsidRPr="00FF3E4B" w:rsidTr="00EC2A52">
        <w:trPr>
          <w:trHeight w:val="315"/>
        </w:trPr>
        <w:tc>
          <w:tcPr>
            <w:tcW w:w="1720" w:type="dxa"/>
            <w:vMerge/>
            <w:tcBorders>
              <w:top w:val="nil"/>
              <w:left w:val="single" w:sz="8" w:space="0" w:color="auto"/>
              <w:bottom w:val="single" w:sz="4" w:space="0" w:color="000000"/>
              <w:right w:val="single" w:sz="8" w:space="0" w:color="auto"/>
            </w:tcBorders>
            <w:vAlign w:val="center"/>
            <w:hideMark/>
          </w:tcPr>
          <w:p w:rsidR="00EC2A52" w:rsidRPr="00FF3E4B" w:rsidRDefault="00EC2A52" w:rsidP="00EC2A52">
            <w:pPr>
              <w:rPr>
                <w:rFonts w:ascii="Calibri" w:hAnsi="Calibri"/>
                <w:color w:val="000000"/>
                <w:sz w:val="20"/>
                <w:szCs w:val="20"/>
              </w:rPr>
            </w:pPr>
          </w:p>
        </w:tc>
        <w:tc>
          <w:tcPr>
            <w:tcW w:w="1254" w:type="dxa"/>
            <w:tcBorders>
              <w:top w:val="nil"/>
              <w:left w:val="nil"/>
              <w:bottom w:val="single" w:sz="4"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(1)</w:t>
            </w:r>
          </w:p>
        </w:tc>
        <w:tc>
          <w:tcPr>
            <w:tcW w:w="1221" w:type="dxa"/>
            <w:tcBorders>
              <w:top w:val="nil"/>
              <w:left w:val="nil"/>
              <w:bottom w:val="single" w:sz="4"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(2)</w:t>
            </w:r>
          </w:p>
        </w:tc>
        <w:tc>
          <w:tcPr>
            <w:tcW w:w="1180" w:type="dxa"/>
            <w:tcBorders>
              <w:top w:val="nil"/>
              <w:left w:val="nil"/>
              <w:bottom w:val="single" w:sz="4"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(3)</w:t>
            </w:r>
          </w:p>
        </w:tc>
        <w:tc>
          <w:tcPr>
            <w:tcW w:w="1180" w:type="dxa"/>
            <w:tcBorders>
              <w:top w:val="nil"/>
              <w:left w:val="nil"/>
              <w:bottom w:val="single" w:sz="4"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(4)</w:t>
            </w:r>
          </w:p>
        </w:tc>
        <w:tc>
          <w:tcPr>
            <w:tcW w:w="1180" w:type="dxa"/>
            <w:tcBorders>
              <w:top w:val="nil"/>
              <w:left w:val="nil"/>
              <w:bottom w:val="single" w:sz="4"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(5)</w:t>
            </w:r>
          </w:p>
        </w:tc>
        <w:tc>
          <w:tcPr>
            <w:tcW w:w="1180" w:type="dxa"/>
            <w:tcBorders>
              <w:top w:val="nil"/>
              <w:left w:val="nil"/>
              <w:bottom w:val="single" w:sz="4"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(6)</w:t>
            </w:r>
          </w:p>
        </w:tc>
        <w:tc>
          <w:tcPr>
            <w:tcW w:w="1180" w:type="dxa"/>
            <w:tcBorders>
              <w:top w:val="nil"/>
              <w:left w:val="single" w:sz="4" w:space="0" w:color="auto"/>
              <w:bottom w:val="single" w:sz="4" w:space="0" w:color="auto"/>
              <w:right w:val="single" w:sz="8"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(7)</w:t>
            </w:r>
          </w:p>
        </w:tc>
      </w:tr>
      <w:tr w:rsidR="00EC2A52" w:rsidRPr="00FF3E4B" w:rsidTr="00EC2A52">
        <w:trPr>
          <w:trHeight w:val="315"/>
        </w:trPr>
        <w:tc>
          <w:tcPr>
            <w:tcW w:w="1720" w:type="dxa"/>
            <w:tcBorders>
              <w:top w:val="nil"/>
              <w:left w:val="single" w:sz="8" w:space="0" w:color="auto"/>
              <w:bottom w:val="double" w:sz="6" w:space="0" w:color="auto"/>
              <w:right w:val="single" w:sz="8" w:space="0" w:color="auto"/>
            </w:tcBorders>
            <w:shd w:val="clear" w:color="auto" w:fill="auto"/>
            <w:noWrap/>
            <w:vAlign w:val="center"/>
            <w:hideMark/>
          </w:tcPr>
          <w:p w:rsidR="00EC2A52" w:rsidRPr="002D03A9" w:rsidRDefault="00EC2A52" w:rsidP="00EC2A52">
            <w:pPr>
              <w:rPr>
                <w:rFonts w:ascii="Calibri" w:hAnsi="Calibri"/>
                <w:color w:val="000000"/>
                <w:sz w:val="20"/>
                <w:szCs w:val="20"/>
                <w:vertAlign w:val="superscript"/>
              </w:rPr>
            </w:pPr>
            <w:r w:rsidRPr="00FF3E4B">
              <w:rPr>
                <w:rFonts w:ascii="Calibri" w:hAnsi="Calibri"/>
                <w:color w:val="000000"/>
                <w:sz w:val="20"/>
                <w:szCs w:val="20"/>
              </w:rPr>
              <w:t>VARIABLES</w:t>
            </w:r>
            <w:r>
              <w:rPr>
                <w:rFonts w:ascii="Calibri" w:hAnsi="Calibri"/>
                <w:color w:val="000000"/>
                <w:sz w:val="20"/>
                <w:szCs w:val="20"/>
                <w:vertAlign w:val="superscript"/>
              </w:rPr>
              <w:t>b</w:t>
            </w:r>
          </w:p>
        </w:tc>
        <w:tc>
          <w:tcPr>
            <w:tcW w:w="1254"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D_new</w:t>
            </w:r>
          </w:p>
        </w:tc>
        <w:tc>
          <w:tcPr>
            <w:tcW w:w="1221"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Damage</w:t>
            </w:r>
          </w:p>
        </w:tc>
        <w:tc>
          <w:tcPr>
            <w:tcW w:w="1180"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D_new</w:t>
            </w:r>
          </w:p>
        </w:tc>
        <w:tc>
          <w:tcPr>
            <w:tcW w:w="1180"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D_new</w:t>
            </w:r>
          </w:p>
        </w:tc>
        <w:tc>
          <w:tcPr>
            <w:tcW w:w="1180"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D_new</w:t>
            </w:r>
          </w:p>
        </w:tc>
        <w:tc>
          <w:tcPr>
            <w:tcW w:w="1180" w:type="dxa"/>
            <w:tcBorders>
              <w:top w:val="nil"/>
              <w:left w:val="nil"/>
              <w:bottom w:val="double" w:sz="6"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D_new</w:t>
            </w:r>
          </w:p>
        </w:tc>
        <w:tc>
          <w:tcPr>
            <w:tcW w:w="1180" w:type="dxa"/>
            <w:tcBorders>
              <w:top w:val="nil"/>
              <w:left w:val="single" w:sz="4" w:space="0" w:color="auto"/>
              <w:bottom w:val="double" w:sz="6" w:space="0" w:color="auto"/>
              <w:right w:val="single" w:sz="8"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D_new</w:t>
            </w:r>
          </w:p>
        </w:tc>
      </w:tr>
      <w:tr w:rsidR="00EC2A52" w:rsidRPr="00FF3E4B" w:rsidTr="00EC2A52">
        <w:trPr>
          <w:trHeight w:val="315"/>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t2</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0.595**</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0.482**</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0.507**</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0.595**</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0.595**</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0.601**</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0.595**</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(0.190)</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(0.155)</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(0.186)</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(0.192)</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(0.214)</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(0.186)</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(0.193)</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mkt_t2</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-0.622**</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-0.508**</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-0.315</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-0.622**</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-0.622**</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-0.523**</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-0.622**</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(0.226)</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(0.195)</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(0.230)</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(0.228)</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(0.246)</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(0.183)</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(0.229)</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cat_t2</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0.260</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0.348</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0.260</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0.260</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0.352</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0.137</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(0.267)</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(0.256)</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(0.269)</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(0.296)</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(0.258)</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(0.193)</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prod_t2</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0.113</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0.113</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-0.205</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0.167</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0.550**</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0.009</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0.113</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(0.125)</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(0.123)</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(0.176)</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(0.123)</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(0.216)</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(0.088)</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(0.127)</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cross</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1.318**</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1.813***</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r>
      <w:tr w:rsidR="00EC2A52" w:rsidRPr="00FF3E4B" w:rsidTr="00EC2A52">
        <w:trPr>
          <w:trHeight w:val="315"/>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(0.343)</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(0.336)</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(0.488)</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(0.345)</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(0.341)</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(0.088)</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(0.348)</w:t>
            </w:r>
          </w:p>
        </w:tc>
      </w:tr>
      <w:tr w:rsidR="00EC2A52" w:rsidRPr="00FF3E4B" w:rsidTr="00EC2A52">
        <w:trPr>
          <w:trHeight w:val="315"/>
        </w:trPr>
        <w:tc>
          <w:tcPr>
            <w:tcW w:w="1720" w:type="dxa"/>
            <w:tcBorders>
              <w:top w:val="double" w:sz="6" w:space="0" w:color="auto"/>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Observations</w:t>
            </w:r>
          </w:p>
        </w:tc>
        <w:tc>
          <w:tcPr>
            <w:tcW w:w="1254" w:type="dxa"/>
            <w:tcBorders>
              <w:top w:val="double" w:sz="6" w:space="0" w:color="auto"/>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21</w:t>
            </w:r>
          </w:p>
        </w:tc>
        <w:tc>
          <w:tcPr>
            <w:tcW w:w="1221" w:type="dxa"/>
            <w:tcBorders>
              <w:top w:val="double" w:sz="6" w:space="0" w:color="auto"/>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19</w:t>
            </w:r>
          </w:p>
        </w:tc>
        <w:tc>
          <w:tcPr>
            <w:tcW w:w="1180" w:type="dxa"/>
            <w:tcBorders>
              <w:top w:val="double" w:sz="6" w:space="0" w:color="auto"/>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21</w:t>
            </w:r>
          </w:p>
        </w:tc>
        <w:tc>
          <w:tcPr>
            <w:tcW w:w="1180" w:type="dxa"/>
            <w:tcBorders>
              <w:top w:val="double" w:sz="6" w:space="0" w:color="auto"/>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20</w:t>
            </w:r>
          </w:p>
        </w:tc>
        <w:tc>
          <w:tcPr>
            <w:tcW w:w="1180" w:type="dxa"/>
            <w:tcBorders>
              <w:top w:val="double" w:sz="6" w:space="0" w:color="auto"/>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22</w:t>
            </w:r>
          </w:p>
        </w:tc>
        <w:tc>
          <w:tcPr>
            <w:tcW w:w="1180" w:type="dxa"/>
            <w:tcBorders>
              <w:top w:val="double" w:sz="6" w:space="0" w:color="auto"/>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18</w:t>
            </w:r>
          </w:p>
        </w:tc>
        <w:tc>
          <w:tcPr>
            <w:tcW w:w="1180" w:type="dxa"/>
            <w:tcBorders>
              <w:top w:val="double" w:sz="6" w:space="0" w:color="auto"/>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19</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R2</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0.722</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0.550</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0.691</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0.725</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0.664</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0.741</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0.660</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center"/>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Adjusted R-squared</w:t>
            </w:r>
          </w:p>
        </w:tc>
        <w:tc>
          <w:tcPr>
            <w:tcW w:w="1254"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0.635</w:t>
            </w:r>
          </w:p>
        </w:tc>
        <w:tc>
          <w:tcPr>
            <w:tcW w:w="1221"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0.430</w:t>
            </w:r>
          </w:p>
        </w:tc>
        <w:tc>
          <w:tcPr>
            <w:tcW w:w="118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0.594</w:t>
            </w:r>
          </w:p>
        </w:tc>
        <w:tc>
          <w:tcPr>
            <w:tcW w:w="118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0.633</w:t>
            </w:r>
          </w:p>
        </w:tc>
        <w:tc>
          <w:tcPr>
            <w:tcW w:w="118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0.565</w:t>
            </w:r>
          </w:p>
        </w:tc>
        <w:tc>
          <w:tcPr>
            <w:tcW w:w="1180" w:type="dxa"/>
            <w:tcBorders>
              <w:top w:val="nil"/>
              <w:left w:val="nil"/>
              <w:bottom w:val="nil"/>
              <w:right w:val="nil"/>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0.641</w:t>
            </w:r>
          </w:p>
        </w:tc>
        <w:tc>
          <w:tcPr>
            <w:tcW w:w="1180" w:type="dxa"/>
            <w:tcBorders>
              <w:top w:val="nil"/>
              <w:left w:val="single" w:sz="4" w:space="0" w:color="auto"/>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0.539</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Likelihood</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-44.36</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-38.34</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-45.49</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-42.39</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-54.13</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-38.35</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-39.40</w:t>
            </w:r>
          </w:p>
        </w:tc>
      </w:tr>
      <w:tr w:rsidR="00EC2A52" w:rsidRPr="00FF3E4B" w:rsidTr="00EC2A52">
        <w:trPr>
          <w:trHeight w:val="300"/>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F-statistic</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21.95</w:t>
            </w:r>
          </w:p>
        </w:tc>
        <w:tc>
          <w:tcPr>
            <w:tcW w:w="1221"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18.09</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83.36</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8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25.28</w:t>
            </w:r>
          </w:p>
        </w:tc>
        <w:tc>
          <w:tcPr>
            <w:tcW w:w="118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r>
      <w:tr w:rsidR="00EC2A52" w:rsidRPr="00FF3E4B" w:rsidTr="00EC2A52">
        <w:trPr>
          <w:trHeight w:val="315"/>
        </w:trPr>
        <w:tc>
          <w:tcPr>
            <w:tcW w:w="17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Prob&gt;F</w:t>
            </w:r>
          </w:p>
        </w:tc>
        <w:tc>
          <w:tcPr>
            <w:tcW w:w="1254" w:type="dxa"/>
            <w:tcBorders>
              <w:top w:val="nil"/>
              <w:left w:val="single" w:sz="8" w:space="0" w:color="auto"/>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0.000</w:t>
            </w:r>
          </w:p>
        </w:tc>
        <w:tc>
          <w:tcPr>
            <w:tcW w:w="1221"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0.000</w:t>
            </w:r>
          </w:p>
        </w:tc>
        <w:tc>
          <w:tcPr>
            <w:tcW w:w="118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0.000</w:t>
            </w:r>
          </w:p>
        </w:tc>
        <w:tc>
          <w:tcPr>
            <w:tcW w:w="118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8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0.000</w:t>
            </w:r>
          </w:p>
        </w:tc>
        <w:tc>
          <w:tcPr>
            <w:tcW w:w="1180" w:type="dxa"/>
            <w:tcBorders>
              <w:top w:val="nil"/>
              <w:left w:val="nil"/>
              <w:bottom w:val="single" w:sz="8" w:space="0" w:color="auto"/>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80" w:type="dxa"/>
            <w:tcBorders>
              <w:top w:val="nil"/>
              <w:left w:val="single" w:sz="4" w:space="0" w:color="auto"/>
              <w:bottom w:val="single" w:sz="8" w:space="0" w:color="auto"/>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r>
      <w:tr w:rsidR="00EC2A52" w:rsidRPr="00FF3E4B" w:rsidTr="00EC2A52">
        <w:trPr>
          <w:trHeight w:val="315"/>
        </w:trPr>
        <w:tc>
          <w:tcPr>
            <w:tcW w:w="10095" w:type="dxa"/>
            <w:gridSpan w:val="8"/>
            <w:tcBorders>
              <w:top w:val="single" w:sz="8" w:space="0" w:color="auto"/>
              <w:left w:val="single" w:sz="8" w:space="0" w:color="auto"/>
              <w:bottom w:val="double" w:sz="6" w:space="0" w:color="auto"/>
              <w:right w:val="single" w:sz="8" w:space="0" w:color="000000"/>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Hypothesis: non-catastrophic impacts (captured by t2) equal No</w:t>
            </w:r>
            <w:r>
              <w:rPr>
                <w:rFonts w:ascii="Calibri" w:hAnsi="Calibri"/>
                <w:color w:val="000000"/>
                <w:sz w:val="20"/>
                <w:szCs w:val="20"/>
              </w:rPr>
              <w:t>rdhaus (2013)'s estimate of 0.</w:t>
            </w:r>
            <w:r w:rsidRPr="00FF3E4B">
              <w:rPr>
                <w:rFonts w:ascii="Calibri" w:hAnsi="Calibri"/>
                <w:color w:val="000000"/>
                <w:sz w:val="20"/>
                <w:szCs w:val="20"/>
              </w:rPr>
              <w:t>2136</w:t>
            </w:r>
          </w:p>
        </w:tc>
      </w:tr>
      <w:tr w:rsidR="00EC2A52" w:rsidRPr="00FF3E4B" w:rsidTr="00EC2A52">
        <w:trPr>
          <w:trHeight w:val="330"/>
        </w:trPr>
        <w:tc>
          <w:tcPr>
            <w:tcW w:w="1720" w:type="dxa"/>
            <w:tcBorders>
              <w:top w:val="nil"/>
              <w:left w:val="single" w:sz="8" w:space="0" w:color="auto"/>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p-value</w:t>
            </w:r>
          </w:p>
        </w:tc>
        <w:tc>
          <w:tcPr>
            <w:tcW w:w="1254" w:type="dxa"/>
            <w:tcBorders>
              <w:top w:val="nil"/>
              <w:left w:val="single" w:sz="8" w:space="0" w:color="auto"/>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0.0800</w:t>
            </w:r>
          </w:p>
        </w:tc>
        <w:tc>
          <w:tcPr>
            <w:tcW w:w="1221"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0.1210</w:t>
            </w:r>
          </w:p>
        </w:tc>
        <w:tc>
          <w:tcPr>
            <w:tcW w:w="1180"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Pr>
                <w:rFonts w:ascii="Calibri" w:hAnsi="Calibri"/>
                <w:color w:val="000000"/>
                <w:sz w:val="20"/>
                <w:szCs w:val="20"/>
              </w:rPr>
              <w:t>0.1531</w:t>
            </w:r>
          </w:p>
        </w:tc>
        <w:tc>
          <w:tcPr>
            <w:tcW w:w="1180"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0.0816</w:t>
            </w:r>
          </w:p>
        </w:tc>
        <w:tc>
          <w:tcPr>
            <w:tcW w:w="1180"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0.1124</w:t>
            </w:r>
          </w:p>
        </w:tc>
        <w:tc>
          <w:tcPr>
            <w:tcW w:w="1180" w:type="dxa"/>
            <w:tcBorders>
              <w:top w:val="nil"/>
              <w:left w:val="nil"/>
              <w:bottom w:val="double" w:sz="6"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0.083</w:t>
            </w:r>
          </w:p>
        </w:tc>
        <w:tc>
          <w:tcPr>
            <w:tcW w:w="1180" w:type="dxa"/>
            <w:tcBorders>
              <w:top w:val="nil"/>
              <w:left w:val="single" w:sz="4" w:space="0" w:color="auto"/>
              <w:bottom w:val="double" w:sz="6" w:space="0" w:color="auto"/>
              <w:right w:val="single" w:sz="8"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0.0835</w:t>
            </w:r>
          </w:p>
        </w:tc>
      </w:tr>
      <w:tr w:rsidR="00EC2A52" w:rsidRPr="00FF3E4B" w:rsidTr="00EC2A52">
        <w:trPr>
          <w:trHeight w:val="330"/>
        </w:trPr>
        <w:tc>
          <w:tcPr>
            <w:tcW w:w="10095" w:type="dxa"/>
            <w:gridSpan w:val="8"/>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Hypothesis: total impacts (captured by t2+cat_t2) equal No</w:t>
            </w:r>
            <w:r>
              <w:rPr>
                <w:rFonts w:ascii="Calibri" w:hAnsi="Calibri"/>
                <w:color w:val="000000"/>
                <w:sz w:val="20"/>
                <w:szCs w:val="20"/>
              </w:rPr>
              <w:t>rdhaus (2013)'s estimate of 0.</w:t>
            </w:r>
            <w:r w:rsidRPr="00FF3E4B">
              <w:rPr>
                <w:rFonts w:ascii="Calibri" w:hAnsi="Calibri"/>
                <w:color w:val="000000"/>
                <w:sz w:val="20"/>
                <w:szCs w:val="20"/>
              </w:rPr>
              <w:t>2136</w:t>
            </w:r>
          </w:p>
        </w:tc>
      </w:tr>
      <w:tr w:rsidR="00EC2A52" w:rsidRPr="00FF3E4B" w:rsidTr="00EC2A52">
        <w:trPr>
          <w:trHeight w:val="330"/>
        </w:trPr>
        <w:tc>
          <w:tcPr>
            <w:tcW w:w="1720" w:type="dxa"/>
            <w:tcBorders>
              <w:top w:val="nil"/>
              <w:left w:val="single" w:sz="8" w:space="0" w:color="auto"/>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p-value</w:t>
            </w:r>
          </w:p>
        </w:tc>
        <w:tc>
          <w:tcPr>
            <w:tcW w:w="1254" w:type="dxa"/>
            <w:tcBorders>
              <w:top w:val="nil"/>
              <w:left w:val="single" w:sz="8" w:space="0" w:color="auto"/>
              <w:bottom w:val="nil"/>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0.0031</w:t>
            </w:r>
          </w:p>
        </w:tc>
        <w:tc>
          <w:tcPr>
            <w:tcW w:w="1221" w:type="dxa"/>
            <w:tcBorders>
              <w:top w:val="nil"/>
              <w:left w:val="nil"/>
              <w:bottom w:val="nil"/>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Pr>
                <w:rFonts w:ascii="Calibri" w:hAnsi="Calibri"/>
                <w:color w:val="000000"/>
                <w:sz w:val="20"/>
                <w:szCs w:val="20"/>
              </w:rPr>
              <w:t>-</w:t>
            </w:r>
          </w:p>
        </w:tc>
        <w:tc>
          <w:tcPr>
            <w:tcW w:w="1180" w:type="dxa"/>
            <w:tcBorders>
              <w:top w:val="nil"/>
              <w:left w:val="nil"/>
              <w:bottom w:val="nil"/>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0.0031</w:t>
            </w:r>
          </w:p>
        </w:tc>
        <w:tc>
          <w:tcPr>
            <w:tcW w:w="1180" w:type="dxa"/>
            <w:tcBorders>
              <w:top w:val="nil"/>
              <w:left w:val="nil"/>
              <w:bottom w:val="nil"/>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0.0032</w:t>
            </w:r>
          </w:p>
        </w:tc>
        <w:tc>
          <w:tcPr>
            <w:tcW w:w="1180" w:type="dxa"/>
            <w:tcBorders>
              <w:top w:val="nil"/>
              <w:left w:val="nil"/>
              <w:bottom w:val="nil"/>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0.0010</w:t>
            </w:r>
          </w:p>
        </w:tc>
        <w:tc>
          <w:tcPr>
            <w:tcW w:w="118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0.078</w:t>
            </w:r>
          </w:p>
        </w:tc>
        <w:tc>
          <w:tcPr>
            <w:tcW w:w="1180" w:type="dxa"/>
            <w:tcBorders>
              <w:top w:val="nil"/>
              <w:left w:val="single" w:sz="4" w:space="0" w:color="auto"/>
              <w:bottom w:val="nil"/>
              <w:right w:val="single" w:sz="8"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Pr>
                <w:rFonts w:ascii="Calibri" w:hAnsi="Calibri"/>
                <w:color w:val="000000"/>
                <w:sz w:val="20"/>
                <w:szCs w:val="20"/>
              </w:rPr>
              <w:t>-</w:t>
            </w:r>
          </w:p>
        </w:tc>
      </w:tr>
      <w:tr w:rsidR="00EC2A52" w:rsidRPr="00FF3E4B" w:rsidTr="00EC2A52">
        <w:trPr>
          <w:trHeight w:val="330"/>
        </w:trPr>
        <w:tc>
          <w:tcPr>
            <w:tcW w:w="10095" w:type="dxa"/>
            <w:gridSpan w:val="8"/>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Hypothesis: non-catastrophic impacts (captured by t2 + prod_t2) equal No</w:t>
            </w:r>
            <w:r>
              <w:rPr>
                <w:rFonts w:ascii="Calibri" w:hAnsi="Calibri"/>
                <w:color w:val="000000"/>
                <w:sz w:val="20"/>
                <w:szCs w:val="20"/>
              </w:rPr>
              <w:t>rdhaus (2013)'s estimate of 0.</w:t>
            </w:r>
            <w:r w:rsidRPr="00FF3E4B">
              <w:rPr>
                <w:rFonts w:ascii="Calibri" w:hAnsi="Calibri"/>
                <w:color w:val="000000"/>
                <w:sz w:val="20"/>
                <w:szCs w:val="20"/>
              </w:rPr>
              <w:t>2136</w:t>
            </w:r>
          </w:p>
        </w:tc>
      </w:tr>
      <w:tr w:rsidR="00EC2A52" w:rsidRPr="00FF3E4B" w:rsidTr="00EC2A52">
        <w:trPr>
          <w:trHeight w:val="330"/>
        </w:trPr>
        <w:tc>
          <w:tcPr>
            <w:tcW w:w="1720" w:type="dxa"/>
            <w:tcBorders>
              <w:top w:val="nil"/>
              <w:left w:val="single" w:sz="8" w:space="0" w:color="auto"/>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p-value</w:t>
            </w:r>
          </w:p>
        </w:tc>
        <w:tc>
          <w:tcPr>
            <w:tcW w:w="1254" w:type="dxa"/>
            <w:tcBorders>
              <w:top w:val="nil"/>
              <w:left w:val="single" w:sz="8" w:space="0" w:color="auto"/>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0.0618</w:t>
            </w:r>
          </w:p>
        </w:tc>
        <w:tc>
          <w:tcPr>
            <w:tcW w:w="1221"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0.0895</w:t>
            </w:r>
          </w:p>
        </w:tc>
        <w:tc>
          <w:tcPr>
            <w:tcW w:w="1180" w:type="dxa"/>
            <w:tcBorders>
              <w:top w:val="nil"/>
              <w:left w:val="nil"/>
              <w:bottom w:val="double" w:sz="6"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w:t>
            </w:r>
            <w:r>
              <w:rPr>
                <w:rFonts w:ascii="Calibri" w:hAnsi="Calibri"/>
                <w:color w:val="000000"/>
                <w:sz w:val="20"/>
                <w:szCs w:val="20"/>
              </w:rPr>
              <w:t>6174</w:t>
            </w:r>
          </w:p>
        </w:tc>
        <w:tc>
          <w:tcPr>
            <w:tcW w:w="1180" w:type="dxa"/>
            <w:tcBorders>
              <w:top w:val="nil"/>
              <w:left w:val="nil"/>
              <w:bottom w:val="double" w:sz="6"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0.0424</w:t>
            </w:r>
          </w:p>
        </w:tc>
        <w:tc>
          <w:tcPr>
            <w:tcW w:w="1180" w:type="dxa"/>
            <w:tcBorders>
              <w:top w:val="nil"/>
              <w:left w:val="single" w:sz="4" w:space="0" w:color="auto"/>
              <w:bottom w:val="double" w:sz="6"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0.0154</w:t>
            </w:r>
          </w:p>
        </w:tc>
        <w:tc>
          <w:tcPr>
            <w:tcW w:w="1180" w:type="dxa"/>
            <w:tcBorders>
              <w:top w:val="nil"/>
              <w:left w:val="single" w:sz="4" w:space="0" w:color="auto"/>
              <w:bottom w:val="double" w:sz="6"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0.003</w:t>
            </w:r>
          </w:p>
        </w:tc>
        <w:tc>
          <w:tcPr>
            <w:tcW w:w="1180" w:type="dxa"/>
            <w:tcBorders>
              <w:top w:val="nil"/>
              <w:left w:val="single" w:sz="4" w:space="0" w:color="auto"/>
              <w:bottom w:val="double" w:sz="6" w:space="0" w:color="auto"/>
              <w:right w:val="single" w:sz="8"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0.0648</w:t>
            </w:r>
          </w:p>
        </w:tc>
      </w:tr>
      <w:tr w:rsidR="00EC2A52" w:rsidRPr="00FF3E4B" w:rsidTr="00EC2A52">
        <w:trPr>
          <w:trHeight w:val="330"/>
        </w:trPr>
        <w:tc>
          <w:tcPr>
            <w:tcW w:w="10095" w:type="dxa"/>
            <w:gridSpan w:val="8"/>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Hypothesis: total impacts (captured by t2 + prod_t2 + cat_t2) equal No</w:t>
            </w:r>
            <w:r>
              <w:rPr>
                <w:rFonts w:ascii="Calibri" w:hAnsi="Calibri"/>
                <w:color w:val="000000"/>
                <w:sz w:val="20"/>
                <w:szCs w:val="20"/>
              </w:rPr>
              <w:t>rdhaus (2013)'s estimate of 0.</w:t>
            </w:r>
            <w:r w:rsidRPr="00FF3E4B">
              <w:rPr>
                <w:rFonts w:ascii="Calibri" w:hAnsi="Calibri"/>
                <w:color w:val="000000"/>
                <w:sz w:val="20"/>
                <w:szCs w:val="20"/>
              </w:rPr>
              <w:t>2136</w:t>
            </w:r>
          </w:p>
        </w:tc>
      </w:tr>
      <w:tr w:rsidR="00EC2A52" w:rsidRPr="00FF3E4B" w:rsidTr="00EC2A52">
        <w:trPr>
          <w:trHeight w:val="330"/>
        </w:trPr>
        <w:tc>
          <w:tcPr>
            <w:tcW w:w="1720" w:type="dxa"/>
            <w:tcBorders>
              <w:top w:val="nil"/>
              <w:left w:val="single" w:sz="8" w:space="0" w:color="auto"/>
              <w:bottom w:val="single" w:sz="8" w:space="0" w:color="auto"/>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p-value</w:t>
            </w:r>
          </w:p>
        </w:tc>
        <w:tc>
          <w:tcPr>
            <w:tcW w:w="1254" w:type="dxa"/>
            <w:tcBorders>
              <w:top w:val="nil"/>
              <w:left w:val="single" w:sz="8" w:space="0" w:color="auto"/>
              <w:bottom w:val="single" w:sz="8"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0.0052</w:t>
            </w:r>
          </w:p>
        </w:tc>
        <w:tc>
          <w:tcPr>
            <w:tcW w:w="1221" w:type="dxa"/>
            <w:tcBorders>
              <w:top w:val="nil"/>
              <w:left w:val="nil"/>
              <w:bottom w:val="single" w:sz="8"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Pr>
                <w:rFonts w:ascii="Calibri" w:hAnsi="Calibri"/>
                <w:color w:val="000000"/>
                <w:sz w:val="20"/>
                <w:szCs w:val="20"/>
              </w:rPr>
              <w:t>-</w:t>
            </w:r>
          </w:p>
        </w:tc>
        <w:tc>
          <w:tcPr>
            <w:tcW w:w="1180" w:type="dxa"/>
            <w:tcBorders>
              <w:top w:val="nil"/>
              <w:left w:val="nil"/>
              <w:bottom w:val="single" w:sz="8" w:space="0" w:color="auto"/>
              <w:right w:val="single" w:sz="4"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w:t>
            </w:r>
            <w:r>
              <w:rPr>
                <w:rFonts w:ascii="Calibri" w:hAnsi="Calibri"/>
                <w:color w:val="000000"/>
                <w:sz w:val="20"/>
                <w:szCs w:val="20"/>
              </w:rPr>
              <w:t>1096</w:t>
            </w:r>
          </w:p>
        </w:tc>
        <w:tc>
          <w:tcPr>
            <w:tcW w:w="1180" w:type="dxa"/>
            <w:tcBorders>
              <w:top w:val="nil"/>
              <w:left w:val="nil"/>
              <w:bottom w:val="single" w:sz="8"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0.0035</w:t>
            </w:r>
          </w:p>
        </w:tc>
        <w:tc>
          <w:tcPr>
            <w:tcW w:w="1180" w:type="dxa"/>
            <w:tcBorders>
              <w:top w:val="nil"/>
              <w:left w:val="single" w:sz="4" w:space="0" w:color="auto"/>
              <w:bottom w:val="single" w:sz="8"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0.0014</w:t>
            </w:r>
          </w:p>
        </w:tc>
        <w:tc>
          <w:tcPr>
            <w:tcW w:w="1180" w:type="dxa"/>
            <w:tcBorders>
              <w:top w:val="nil"/>
              <w:left w:val="single" w:sz="4" w:space="0" w:color="auto"/>
              <w:bottom w:val="single" w:sz="8" w:space="0" w:color="auto"/>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0.004</w:t>
            </w:r>
          </w:p>
        </w:tc>
        <w:tc>
          <w:tcPr>
            <w:tcW w:w="1180" w:type="dxa"/>
            <w:tcBorders>
              <w:top w:val="nil"/>
              <w:left w:val="single" w:sz="4" w:space="0" w:color="auto"/>
              <w:bottom w:val="single" w:sz="8" w:space="0" w:color="auto"/>
              <w:right w:val="single" w:sz="8" w:space="0" w:color="auto"/>
            </w:tcBorders>
            <w:shd w:val="clear" w:color="auto" w:fill="auto"/>
            <w:noWrap/>
            <w:vAlign w:val="bottom"/>
            <w:hideMark/>
          </w:tcPr>
          <w:p w:rsidR="00EC2A52" w:rsidRPr="00FF3E4B" w:rsidRDefault="00EC2A52" w:rsidP="00EC2A52">
            <w:pPr>
              <w:jc w:val="center"/>
              <w:rPr>
                <w:rFonts w:ascii="Calibri" w:hAnsi="Calibri"/>
                <w:color w:val="000000"/>
                <w:sz w:val="20"/>
                <w:szCs w:val="20"/>
              </w:rPr>
            </w:pPr>
            <w:r w:rsidRPr="00FF3E4B">
              <w:rPr>
                <w:rFonts w:ascii="Calibri" w:hAnsi="Calibri"/>
                <w:color w:val="000000"/>
                <w:sz w:val="20"/>
                <w:szCs w:val="20"/>
              </w:rPr>
              <w:t>0.0011</w:t>
            </w:r>
          </w:p>
        </w:tc>
      </w:tr>
      <w:tr w:rsidR="00EC2A52" w:rsidRPr="00FF3E4B" w:rsidTr="00EC2A52">
        <w:trPr>
          <w:trHeight w:val="300"/>
        </w:trPr>
        <w:tc>
          <w:tcPr>
            <w:tcW w:w="10095" w:type="dxa"/>
            <w:gridSpan w:val="8"/>
            <w:tcBorders>
              <w:top w:val="single" w:sz="8" w:space="0" w:color="auto"/>
              <w:left w:val="nil"/>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Robust standard errors in parentheses</w:t>
            </w:r>
          </w:p>
        </w:tc>
      </w:tr>
      <w:tr w:rsidR="00EC2A52" w:rsidRPr="00FF3E4B" w:rsidTr="00EC2A52">
        <w:trPr>
          <w:trHeight w:val="300"/>
        </w:trPr>
        <w:tc>
          <w:tcPr>
            <w:tcW w:w="10095" w:type="dxa"/>
            <w:gridSpan w:val="8"/>
            <w:tcBorders>
              <w:top w:val="nil"/>
              <w:left w:val="nil"/>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 p&lt;0.01, ** p&lt;0.05, * p&lt;0.1</w:t>
            </w:r>
          </w:p>
        </w:tc>
      </w:tr>
    </w:tbl>
    <w:p w:rsidR="00EC2A52" w:rsidRPr="009263A5" w:rsidRDefault="00EC2A52" w:rsidP="00EC2A52">
      <w:pPr>
        <w:spacing w:after="120"/>
        <w:rPr>
          <w:sz w:val="20"/>
          <w:szCs w:val="20"/>
        </w:rPr>
      </w:pPr>
    </w:p>
    <w:p w:rsidR="00EC2A52" w:rsidRPr="00462FDF" w:rsidRDefault="00EC2A52" w:rsidP="00EC2A52">
      <w:pPr>
        <w:pStyle w:val="FootnoteText"/>
        <w:spacing w:after="120" w:line="276" w:lineRule="auto"/>
        <w:jc w:val="both"/>
        <w:rPr>
          <w:i/>
        </w:rPr>
      </w:pPr>
      <w:r w:rsidRPr="00462FDF">
        <w:rPr>
          <w:i/>
          <w:vertAlign w:val="superscript"/>
        </w:rPr>
        <w:t xml:space="preserve">a </w:t>
      </w:r>
      <w:r w:rsidRPr="00462FDF">
        <w:rPr>
          <w:i/>
        </w:rPr>
        <w:t>Specifications include: (1) Preferred estimate; (2) dropping science-based damage estimates and removing catastrophic impacts from non-science</w:t>
      </w:r>
      <w:r>
        <w:rPr>
          <w:i/>
        </w:rPr>
        <w:t>-</w:t>
      </w:r>
      <w:r w:rsidRPr="00462FDF">
        <w:rPr>
          <w:i/>
        </w:rPr>
        <w:t xml:space="preserve">based damage estimates; (3) assuming that CGE models that capture the </w:t>
      </w:r>
      <w:r w:rsidRPr="00462FDF">
        <w:rPr>
          <w:i/>
        </w:rPr>
        <w:lastRenderedPageBreak/>
        <w:t>impacts of ecosystem services on the market account for non-market impacts, (4) and (5) redefining the cutoff for high-temperatures at 3°C and 4.5 °C increases, respectively; (6) impos</w:t>
      </w:r>
      <w:r>
        <w:rPr>
          <w:i/>
        </w:rPr>
        <w:t>ing</w:t>
      </w:r>
      <w:r w:rsidRPr="00462FDF">
        <w:rPr>
          <w:i/>
        </w:rPr>
        <w:t xml:space="preserve"> a stricter definition of duplication</w:t>
      </w:r>
      <w:r>
        <w:rPr>
          <w:i/>
        </w:rPr>
        <w:t xml:space="preserve"> that</w:t>
      </w:r>
      <w:r w:rsidRPr="00462FDF">
        <w:rPr>
          <w:i/>
        </w:rPr>
        <w:t xml:space="preserve"> further limit</w:t>
      </w:r>
      <w:r>
        <w:rPr>
          <w:i/>
        </w:rPr>
        <w:t>s</w:t>
      </w:r>
      <w:r w:rsidRPr="00462FDF">
        <w:rPr>
          <w:i/>
        </w:rPr>
        <w:t xml:space="preserve"> data to one estimate per study; (7) impos</w:t>
      </w:r>
      <w:r>
        <w:rPr>
          <w:i/>
        </w:rPr>
        <w:t>ing</w:t>
      </w:r>
      <w:r w:rsidRPr="00462FDF">
        <w:rPr>
          <w:i/>
        </w:rPr>
        <w:t xml:space="preserve"> a stricter definition of citation </w:t>
      </w:r>
      <w:r>
        <w:rPr>
          <w:i/>
        </w:rPr>
        <w:t xml:space="preserve">that </w:t>
      </w:r>
      <w:r w:rsidRPr="00462FDF">
        <w:rPr>
          <w:i/>
        </w:rPr>
        <w:t>drop</w:t>
      </w:r>
      <w:r>
        <w:rPr>
          <w:i/>
        </w:rPr>
        <w:t>s</w:t>
      </w:r>
      <w:r w:rsidRPr="00462FDF">
        <w:rPr>
          <w:i/>
        </w:rPr>
        <w:t xml:space="preserve"> estimates that use other estimates as starting points for their unique estimates (Meyer and Cooper, 1995; Hanemann, 2008).</w:t>
      </w:r>
    </w:p>
    <w:p w:rsidR="00EC2A52" w:rsidRPr="00462FDF" w:rsidRDefault="00EC2A52" w:rsidP="00EC2A52">
      <w:pPr>
        <w:pStyle w:val="FootnoteText"/>
        <w:spacing w:after="120" w:line="276" w:lineRule="auto"/>
        <w:jc w:val="both"/>
        <w:rPr>
          <w:i/>
          <w:vertAlign w:val="superscript"/>
        </w:rPr>
      </w:pPr>
      <w:r w:rsidRPr="00462FDF">
        <w:rPr>
          <w:i/>
          <w:vertAlign w:val="superscript"/>
        </w:rPr>
        <w:t xml:space="preserve">b </w:t>
      </w:r>
      <w:r w:rsidRPr="00462FDF">
        <w:rPr>
          <w:i/>
        </w:rPr>
        <w:t>See variable definitions in Table A2 in Appendix A.</w:t>
      </w:r>
    </w:p>
    <w:p w:rsidR="00EC2A52" w:rsidRPr="009263A5" w:rsidRDefault="00EC2A52" w:rsidP="00EC2A52">
      <w:pPr>
        <w:pStyle w:val="FootnoteText"/>
        <w:spacing w:after="120" w:line="276" w:lineRule="auto"/>
        <w:jc w:val="both"/>
        <w:sectPr w:rsidR="00EC2A52" w:rsidRPr="009263A5" w:rsidSect="00EC2A52">
          <w:pgSz w:w="12240" w:h="15840"/>
          <w:pgMar w:top="1440" w:right="1440" w:bottom="1440" w:left="1440" w:header="720" w:footer="720" w:gutter="0"/>
          <w:cols w:space="720"/>
          <w:docGrid w:linePitch="360"/>
        </w:sectPr>
      </w:pPr>
    </w:p>
    <w:p w:rsidR="00EC2A52" w:rsidRPr="009263A5" w:rsidRDefault="00EC2A52" w:rsidP="00EC2A52">
      <w:pPr>
        <w:spacing w:after="120"/>
        <w:rPr>
          <w:b/>
          <w:i/>
          <w:sz w:val="20"/>
          <w:szCs w:val="20"/>
        </w:rPr>
      </w:pPr>
      <w:r w:rsidRPr="009263A5">
        <w:rPr>
          <w:b/>
          <w:i/>
          <w:sz w:val="20"/>
          <w:szCs w:val="20"/>
        </w:rPr>
        <w:lastRenderedPageBreak/>
        <w:t>Table C</w:t>
      </w:r>
      <w:r>
        <w:rPr>
          <w:b/>
          <w:i/>
          <w:sz w:val="20"/>
          <w:szCs w:val="20"/>
        </w:rPr>
        <w:t>6</w:t>
      </w:r>
      <w:r w:rsidRPr="009263A5">
        <w:rPr>
          <w:b/>
          <w:i/>
          <w:sz w:val="20"/>
          <w:szCs w:val="20"/>
        </w:rPr>
        <w:t>. Sensitivity Analysis: Re-estimating the Preferred Specification for Damage Estimates Corresponding to All Temperature Increases (Specification (8) in Table 2), by Specification</w:t>
      </w:r>
    </w:p>
    <w:tbl>
      <w:tblPr>
        <w:tblW w:w="9720" w:type="dxa"/>
        <w:tblInd w:w="93" w:type="dxa"/>
        <w:tblLook w:val="04A0"/>
      </w:tblPr>
      <w:tblGrid>
        <w:gridCol w:w="2020"/>
        <w:gridCol w:w="1540"/>
        <w:gridCol w:w="1540"/>
        <w:gridCol w:w="1540"/>
        <w:gridCol w:w="1540"/>
        <w:gridCol w:w="1540"/>
      </w:tblGrid>
      <w:tr w:rsidR="00EC2A52" w:rsidRPr="00FF5F3C" w:rsidTr="00EC2A52">
        <w:trPr>
          <w:trHeight w:val="315"/>
        </w:trPr>
        <w:tc>
          <w:tcPr>
            <w:tcW w:w="2020" w:type="dxa"/>
            <w:tcBorders>
              <w:top w:val="single" w:sz="8" w:space="0" w:color="auto"/>
              <w:left w:val="single" w:sz="8" w:space="0" w:color="auto"/>
              <w:bottom w:val="double" w:sz="6" w:space="0" w:color="auto"/>
              <w:right w:val="nil"/>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Dataset</w:t>
            </w:r>
          </w:p>
        </w:tc>
        <w:tc>
          <w:tcPr>
            <w:tcW w:w="7700" w:type="dxa"/>
            <w:gridSpan w:val="5"/>
            <w:tcBorders>
              <w:top w:val="single" w:sz="8" w:space="0" w:color="auto"/>
              <w:left w:val="single" w:sz="8" w:space="0" w:color="auto"/>
              <w:bottom w:val="double" w:sz="6" w:space="0" w:color="auto"/>
              <w:right w:val="single" w:sz="8" w:space="0" w:color="000000"/>
            </w:tcBorders>
            <w:shd w:val="clear" w:color="auto" w:fill="auto"/>
            <w:vAlign w:val="center"/>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Damages for All Temp. Increases and Excludes Duplicates</w:t>
            </w:r>
          </w:p>
        </w:tc>
      </w:tr>
      <w:tr w:rsidR="00EC2A52" w:rsidRPr="00FF5F3C" w:rsidTr="00EC2A52">
        <w:trPr>
          <w:trHeight w:val="315"/>
        </w:trPr>
        <w:tc>
          <w:tcPr>
            <w:tcW w:w="20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EC2A52" w:rsidRPr="002D03A9" w:rsidRDefault="00EC2A52" w:rsidP="00EC2A52">
            <w:pPr>
              <w:rPr>
                <w:rFonts w:ascii="Calibri" w:hAnsi="Calibri"/>
                <w:color w:val="000000"/>
                <w:sz w:val="20"/>
                <w:szCs w:val="20"/>
                <w:vertAlign w:val="superscript"/>
              </w:rPr>
            </w:pPr>
            <w:r w:rsidRPr="00FF5F3C">
              <w:rPr>
                <w:rFonts w:ascii="Calibri" w:hAnsi="Calibri"/>
                <w:color w:val="000000"/>
                <w:sz w:val="20"/>
                <w:szCs w:val="20"/>
              </w:rPr>
              <w:t>Specifications</w:t>
            </w:r>
            <w:r>
              <w:rPr>
                <w:rFonts w:ascii="Calibri" w:hAnsi="Calibri"/>
                <w:color w:val="000000"/>
                <w:sz w:val="20"/>
                <w:szCs w:val="20"/>
                <w:vertAlign w:val="superscript"/>
              </w:rPr>
              <w:t>a</w:t>
            </w:r>
          </w:p>
        </w:tc>
        <w:tc>
          <w:tcPr>
            <w:tcW w:w="1540" w:type="dxa"/>
            <w:vMerge w:val="restart"/>
            <w:tcBorders>
              <w:top w:val="nil"/>
              <w:left w:val="single" w:sz="8" w:space="0" w:color="auto"/>
              <w:bottom w:val="single" w:sz="4" w:space="0" w:color="000000"/>
              <w:right w:val="single" w:sz="4" w:space="0" w:color="auto"/>
            </w:tcBorders>
            <w:shd w:val="clear" w:color="auto" w:fill="auto"/>
            <w:vAlign w:val="center"/>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Preferred Specification</w:t>
            </w:r>
          </w:p>
        </w:tc>
        <w:tc>
          <w:tcPr>
            <w:tcW w:w="3080" w:type="dxa"/>
            <w:gridSpan w:val="2"/>
            <w:tcBorders>
              <w:top w:val="single" w:sz="4" w:space="0" w:color="auto"/>
              <w:left w:val="nil"/>
              <w:bottom w:val="single" w:sz="4" w:space="0" w:color="auto"/>
              <w:right w:val="single" w:sz="4" w:space="0" w:color="000000"/>
            </w:tcBorders>
            <w:shd w:val="clear" w:color="auto" w:fill="auto"/>
            <w:vAlign w:val="center"/>
            <w:hideMark/>
          </w:tcPr>
          <w:p w:rsidR="00EC2A52" w:rsidRPr="00FF5F3C" w:rsidRDefault="00EC2A52" w:rsidP="00EC2A52">
            <w:pPr>
              <w:jc w:val="center"/>
              <w:rPr>
                <w:rFonts w:ascii="Calibri" w:hAnsi="Calibri"/>
                <w:color w:val="000000"/>
                <w:sz w:val="20"/>
                <w:szCs w:val="20"/>
              </w:rPr>
            </w:pPr>
            <w:r>
              <w:rPr>
                <w:rFonts w:ascii="Calibri" w:hAnsi="Calibri"/>
                <w:color w:val="000000"/>
                <w:sz w:val="20"/>
                <w:szCs w:val="20"/>
              </w:rPr>
              <w:t>Alt. Variable Definition</w:t>
            </w:r>
          </w:p>
        </w:tc>
        <w:tc>
          <w:tcPr>
            <w:tcW w:w="3080" w:type="dxa"/>
            <w:gridSpan w:val="2"/>
            <w:tcBorders>
              <w:top w:val="single" w:sz="4" w:space="0" w:color="auto"/>
              <w:left w:val="nil"/>
              <w:bottom w:val="single" w:sz="4" w:space="0" w:color="auto"/>
              <w:right w:val="single" w:sz="8" w:space="0" w:color="000000"/>
            </w:tcBorders>
            <w:shd w:val="clear" w:color="auto" w:fill="auto"/>
            <w:vAlign w:val="center"/>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Drop Estimates</w:t>
            </w:r>
          </w:p>
        </w:tc>
      </w:tr>
      <w:tr w:rsidR="00EC2A52" w:rsidRPr="00FF5F3C" w:rsidTr="00EC2A52">
        <w:trPr>
          <w:trHeight w:val="765"/>
        </w:trPr>
        <w:tc>
          <w:tcPr>
            <w:tcW w:w="2020" w:type="dxa"/>
            <w:vMerge/>
            <w:tcBorders>
              <w:top w:val="nil"/>
              <w:left w:val="single" w:sz="8" w:space="0" w:color="auto"/>
              <w:bottom w:val="single" w:sz="4" w:space="0" w:color="000000"/>
              <w:right w:val="single" w:sz="8" w:space="0" w:color="auto"/>
            </w:tcBorders>
            <w:vAlign w:val="center"/>
            <w:hideMark/>
          </w:tcPr>
          <w:p w:rsidR="00EC2A52" w:rsidRPr="00FF5F3C" w:rsidRDefault="00EC2A52" w:rsidP="00EC2A52">
            <w:pPr>
              <w:rPr>
                <w:rFonts w:ascii="Calibri" w:hAnsi="Calibri"/>
                <w:color w:val="000000"/>
                <w:sz w:val="20"/>
                <w:szCs w:val="20"/>
              </w:rPr>
            </w:pPr>
          </w:p>
        </w:tc>
        <w:tc>
          <w:tcPr>
            <w:tcW w:w="1540" w:type="dxa"/>
            <w:vMerge/>
            <w:tcBorders>
              <w:top w:val="nil"/>
              <w:left w:val="single" w:sz="8" w:space="0" w:color="auto"/>
              <w:bottom w:val="single" w:sz="4" w:space="0" w:color="000000"/>
              <w:right w:val="single" w:sz="4" w:space="0" w:color="auto"/>
            </w:tcBorders>
            <w:vAlign w:val="center"/>
            <w:hideMark/>
          </w:tcPr>
          <w:p w:rsidR="00EC2A52" w:rsidRPr="00FF5F3C" w:rsidRDefault="00EC2A52" w:rsidP="00EC2A52">
            <w:pPr>
              <w:rPr>
                <w:rFonts w:ascii="Calibri" w:hAnsi="Calibri"/>
                <w:color w:val="000000"/>
                <w:sz w:val="20"/>
                <w:szCs w:val="20"/>
              </w:rPr>
            </w:pPr>
          </w:p>
        </w:tc>
        <w:tc>
          <w:tcPr>
            <w:tcW w:w="1540" w:type="dxa"/>
            <w:tcBorders>
              <w:top w:val="nil"/>
              <w:left w:val="nil"/>
              <w:bottom w:val="single" w:sz="4" w:space="0" w:color="auto"/>
              <w:right w:val="single" w:sz="4" w:space="0" w:color="auto"/>
            </w:tcBorders>
            <w:shd w:val="clear" w:color="auto" w:fill="auto"/>
            <w:vAlign w:val="center"/>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Non-catastrophic Damages Only</w:t>
            </w:r>
          </w:p>
        </w:tc>
        <w:tc>
          <w:tcPr>
            <w:tcW w:w="1540" w:type="dxa"/>
            <w:tcBorders>
              <w:top w:val="nil"/>
              <w:left w:val="nil"/>
              <w:bottom w:val="single" w:sz="4" w:space="0" w:color="auto"/>
              <w:right w:val="single" w:sz="4" w:space="0" w:color="auto"/>
            </w:tcBorders>
            <w:shd w:val="clear" w:color="auto" w:fill="auto"/>
            <w:vAlign w:val="center"/>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Ecosystem Services Reclassified</w:t>
            </w:r>
          </w:p>
        </w:tc>
        <w:tc>
          <w:tcPr>
            <w:tcW w:w="1540" w:type="dxa"/>
            <w:tcBorders>
              <w:top w:val="nil"/>
              <w:left w:val="nil"/>
              <w:bottom w:val="single" w:sz="4" w:space="0" w:color="auto"/>
              <w:right w:val="nil"/>
            </w:tcBorders>
            <w:shd w:val="clear" w:color="auto" w:fill="auto"/>
            <w:vAlign w:val="center"/>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More Restrictive Definition of Duplication</w:t>
            </w:r>
          </w:p>
        </w:tc>
        <w:tc>
          <w:tcPr>
            <w:tcW w:w="1540" w:type="dxa"/>
            <w:tcBorders>
              <w:top w:val="nil"/>
              <w:left w:val="single" w:sz="4" w:space="0" w:color="auto"/>
              <w:bottom w:val="single" w:sz="4" w:space="0" w:color="auto"/>
              <w:right w:val="single" w:sz="8" w:space="0" w:color="auto"/>
            </w:tcBorders>
            <w:shd w:val="clear" w:color="auto" w:fill="auto"/>
            <w:vAlign w:val="center"/>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More Restrictive Definition of Citation</w:t>
            </w:r>
          </w:p>
        </w:tc>
      </w:tr>
      <w:tr w:rsidR="00EC2A52" w:rsidRPr="00FF5F3C" w:rsidTr="00EC2A52">
        <w:trPr>
          <w:trHeight w:val="315"/>
        </w:trPr>
        <w:tc>
          <w:tcPr>
            <w:tcW w:w="2020" w:type="dxa"/>
            <w:vMerge/>
            <w:tcBorders>
              <w:top w:val="nil"/>
              <w:left w:val="single" w:sz="8" w:space="0" w:color="auto"/>
              <w:bottom w:val="single" w:sz="4" w:space="0" w:color="000000"/>
              <w:right w:val="single" w:sz="8" w:space="0" w:color="auto"/>
            </w:tcBorders>
            <w:vAlign w:val="center"/>
            <w:hideMark/>
          </w:tcPr>
          <w:p w:rsidR="00EC2A52" w:rsidRPr="00FF5F3C" w:rsidRDefault="00EC2A52" w:rsidP="00EC2A52">
            <w:pPr>
              <w:rPr>
                <w:rFonts w:ascii="Calibri" w:hAnsi="Calibri"/>
                <w:color w:val="000000"/>
                <w:sz w:val="20"/>
                <w:szCs w:val="20"/>
              </w:rPr>
            </w:pPr>
          </w:p>
        </w:tc>
        <w:tc>
          <w:tcPr>
            <w:tcW w:w="1540" w:type="dxa"/>
            <w:tcBorders>
              <w:top w:val="nil"/>
              <w:left w:val="nil"/>
              <w:bottom w:val="single" w:sz="4"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(1)</w:t>
            </w:r>
          </w:p>
        </w:tc>
        <w:tc>
          <w:tcPr>
            <w:tcW w:w="1540" w:type="dxa"/>
            <w:tcBorders>
              <w:top w:val="nil"/>
              <w:left w:val="nil"/>
              <w:bottom w:val="single" w:sz="4"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(2)</w:t>
            </w:r>
          </w:p>
        </w:tc>
        <w:tc>
          <w:tcPr>
            <w:tcW w:w="1540" w:type="dxa"/>
            <w:tcBorders>
              <w:top w:val="nil"/>
              <w:left w:val="nil"/>
              <w:bottom w:val="single" w:sz="4"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(3)</w:t>
            </w:r>
          </w:p>
        </w:tc>
        <w:tc>
          <w:tcPr>
            <w:tcW w:w="1540" w:type="dxa"/>
            <w:tcBorders>
              <w:top w:val="nil"/>
              <w:left w:val="nil"/>
              <w:bottom w:val="single" w:sz="4" w:space="0" w:color="auto"/>
              <w:right w:val="nil"/>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(6)</w:t>
            </w:r>
          </w:p>
        </w:tc>
        <w:tc>
          <w:tcPr>
            <w:tcW w:w="1540" w:type="dxa"/>
            <w:tcBorders>
              <w:top w:val="nil"/>
              <w:left w:val="single" w:sz="4" w:space="0" w:color="auto"/>
              <w:bottom w:val="single" w:sz="4" w:space="0" w:color="auto"/>
              <w:right w:val="single" w:sz="8"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(7)</w:t>
            </w:r>
          </w:p>
        </w:tc>
      </w:tr>
      <w:tr w:rsidR="00EC2A52" w:rsidRPr="00FF5F3C" w:rsidTr="00EC2A52">
        <w:trPr>
          <w:trHeight w:val="315"/>
        </w:trPr>
        <w:tc>
          <w:tcPr>
            <w:tcW w:w="2020" w:type="dxa"/>
            <w:tcBorders>
              <w:top w:val="nil"/>
              <w:left w:val="single" w:sz="8" w:space="0" w:color="auto"/>
              <w:bottom w:val="double" w:sz="6" w:space="0" w:color="auto"/>
              <w:right w:val="single" w:sz="8" w:space="0" w:color="auto"/>
            </w:tcBorders>
            <w:shd w:val="clear" w:color="auto" w:fill="auto"/>
            <w:noWrap/>
            <w:vAlign w:val="center"/>
            <w:hideMark/>
          </w:tcPr>
          <w:p w:rsidR="00EC2A52" w:rsidRPr="002D03A9" w:rsidRDefault="00EC2A52" w:rsidP="00EC2A52">
            <w:pPr>
              <w:rPr>
                <w:rFonts w:ascii="Calibri" w:hAnsi="Calibri"/>
                <w:color w:val="000000"/>
                <w:sz w:val="20"/>
                <w:szCs w:val="20"/>
                <w:vertAlign w:val="superscript"/>
              </w:rPr>
            </w:pPr>
            <w:r w:rsidRPr="00FF5F3C">
              <w:rPr>
                <w:rFonts w:ascii="Calibri" w:hAnsi="Calibri"/>
                <w:color w:val="000000"/>
                <w:sz w:val="20"/>
                <w:szCs w:val="20"/>
              </w:rPr>
              <w:t>VARIABLES</w:t>
            </w:r>
            <w:r>
              <w:rPr>
                <w:rFonts w:ascii="Calibri" w:hAnsi="Calibri"/>
                <w:color w:val="000000"/>
                <w:sz w:val="20"/>
                <w:szCs w:val="20"/>
                <w:vertAlign w:val="superscript"/>
              </w:rPr>
              <w:t>b</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D_new</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Damage</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D_new</w:t>
            </w:r>
          </w:p>
        </w:tc>
        <w:tc>
          <w:tcPr>
            <w:tcW w:w="1540" w:type="dxa"/>
            <w:tcBorders>
              <w:top w:val="nil"/>
              <w:left w:val="nil"/>
              <w:bottom w:val="double" w:sz="6" w:space="0" w:color="auto"/>
              <w:right w:val="nil"/>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D_new</w:t>
            </w:r>
          </w:p>
        </w:tc>
        <w:tc>
          <w:tcPr>
            <w:tcW w:w="1540" w:type="dxa"/>
            <w:tcBorders>
              <w:top w:val="nil"/>
              <w:left w:val="single" w:sz="4" w:space="0" w:color="auto"/>
              <w:bottom w:val="double" w:sz="6" w:space="0" w:color="auto"/>
              <w:right w:val="single" w:sz="8"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D_new</w:t>
            </w:r>
          </w:p>
        </w:tc>
      </w:tr>
      <w:tr w:rsidR="00EC2A52" w:rsidRPr="00FF5F3C"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t2</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0.318**</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0.312***</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0.280***</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0.601**</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0.318**</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(0.102)</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w:t>
            </w:r>
            <w:r>
              <w:rPr>
                <w:rFonts w:asciiTheme="minorHAnsi" w:hAnsiTheme="minorHAnsi"/>
                <w:color w:val="000000"/>
                <w:sz w:val="20"/>
                <w:szCs w:val="20"/>
              </w:rPr>
              <w:t>5</w:t>
            </w:r>
            <w:r w:rsidRPr="002D03A9">
              <w:rPr>
                <w:rFonts w:asciiTheme="minorHAnsi" w:hAnsiTheme="minorHAnsi"/>
                <w:color w:val="000000"/>
                <w:sz w:val="20"/>
                <w:szCs w:val="20"/>
              </w:rPr>
              <w:t>)</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(0.085)</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(0.180)</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(0.103)</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mkt_t2</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-0.345*</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-0.339**</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-0.009</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-0.523**</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-0.345*</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(0.156)</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(0.144)</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(0.193)</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(0.177)</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(0.157)</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cat_t2</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0.362***</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0.401***</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0.018</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0.356***</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(0.103)</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w:t>
            </w:r>
            <w:r>
              <w:rPr>
                <w:rFonts w:asciiTheme="minorHAnsi" w:hAnsiTheme="minorHAnsi"/>
                <w:color w:val="000000"/>
                <w:sz w:val="20"/>
                <w:szCs w:val="20"/>
              </w:rPr>
              <w:t>6</w:t>
            </w:r>
            <w:r w:rsidRPr="002D03A9">
              <w:rPr>
                <w:rFonts w:asciiTheme="minorHAnsi" w:hAnsiTheme="minorHAnsi"/>
                <w:color w:val="000000"/>
                <w:sz w:val="20"/>
                <w:szCs w:val="20"/>
              </w:rPr>
              <w:t>)</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(0.184)</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(0.103)</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prod_t2</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0.398</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0.398</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0.100</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0.446*</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0.398</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(0.237)</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(0.235)</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(0.283)</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(0.196)</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(0.239)</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Cross</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1.181**</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1.813***</w:t>
            </w:r>
          </w:p>
        </w:tc>
        <w:tc>
          <w:tcPr>
            <w:tcW w:w="154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r>
      <w:tr w:rsidR="00EC2A52" w:rsidRPr="00FF5F3C"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5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(0.331)</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(0.327)</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(0.526)</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(0.085)</w:t>
            </w:r>
          </w:p>
        </w:tc>
        <w:tc>
          <w:tcPr>
            <w:tcW w:w="154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(0.333)</w:t>
            </w:r>
          </w:p>
        </w:tc>
      </w:tr>
      <w:tr w:rsidR="00EC2A52" w:rsidRPr="00FF5F3C" w:rsidTr="00EC2A52">
        <w:trPr>
          <w:trHeight w:val="315"/>
        </w:trPr>
        <w:tc>
          <w:tcPr>
            <w:tcW w:w="2020" w:type="dxa"/>
            <w:tcBorders>
              <w:top w:val="double" w:sz="6" w:space="0" w:color="auto"/>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Observations</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26</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22</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26</w:t>
            </w:r>
          </w:p>
        </w:tc>
        <w:tc>
          <w:tcPr>
            <w:tcW w:w="154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20</w:t>
            </w:r>
          </w:p>
        </w:tc>
        <w:tc>
          <w:tcPr>
            <w:tcW w:w="154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24</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R2</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0.869</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0.487</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0.866</w:t>
            </w:r>
          </w:p>
        </w:tc>
        <w:tc>
          <w:tcPr>
            <w:tcW w:w="154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0.905</w:t>
            </w:r>
          </w:p>
        </w:tc>
        <w:tc>
          <w:tcPr>
            <w:tcW w:w="154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0.871</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Adjusted R-squared</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0.837</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0.374</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0.834</w:t>
            </w:r>
          </w:p>
        </w:tc>
        <w:tc>
          <w:tcPr>
            <w:tcW w:w="154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0.873</w:t>
            </w:r>
          </w:p>
        </w:tc>
        <w:tc>
          <w:tcPr>
            <w:tcW w:w="154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0.837</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Likelihood</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-72.41</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-55.64</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-72.69</w:t>
            </w:r>
          </w:p>
        </w:tc>
        <w:tc>
          <w:tcPr>
            <w:tcW w:w="154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-51.06</w:t>
            </w:r>
          </w:p>
        </w:tc>
        <w:tc>
          <w:tcPr>
            <w:tcW w:w="154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-66.94</w:t>
            </w:r>
          </w:p>
        </w:tc>
      </w:tr>
      <w:tr w:rsidR="00EC2A52" w:rsidRPr="00FF5F3C" w:rsidTr="00EC2A52">
        <w:trPr>
          <w:trHeight w:val="300"/>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F-statistic</w:t>
            </w:r>
          </w:p>
        </w:tc>
        <w:tc>
          <w:tcPr>
            <w:tcW w:w="154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776.2</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11.65</w:t>
            </w:r>
          </w:p>
        </w:tc>
        <w:tc>
          <w:tcPr>
            <w:tcW w:w="154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770.4</w:t>
            </w:r>
          </w:p>
        </w:tc>
        <w:tc>
          <w:tcPr>
            <w:tcW w:w="1540" w:type="dxa"/>
            <w:tcBorders>
              <w:top w:val="nil"/>
              <w:left w:val="nil"/>
              <w:bottom w:val="nil"/>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w:t>
            </w:r>
          </w:p>
        </w:tc>
        <w:tc>
          <w:tcPr>
            <w:tcW w:w="1540" w:type="dxa"/>
            <w:tcBorders>
              <w:top w:val="nil"/>
              <w:left w:val="single" w:sz="4" w:space="0" w:color="auto"/>
              <w:bottom w:val="nil"/>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14486</w:t>
            </w:r>
          </w:p>
        </w:tc>
      </w:tr>
      <w:tr w:rsidR="00EC2A52" w:rsidRPr="00FF5F3C" w:rsidTr="00EC2A52">
        <w:trPr>
          <w:trHeight w:val="315"/>
        </w:trPr>
        <w:tc>
          <w:tcPr>
            <w:tcW w:w="202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Prob&gt;F</w:t>
            </w:r>
          </w:p>
        </w:tc>
        <w:tc>
          <w:tcPr>
            <w:tcW w:w="1540" w:type="dxa"/>
            <w:tcBorders>
              <w:top w:val="nil"/>
              <w:left w:val="single" w:sz="8" w:space="0" w:color="auto"/>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0.000</w:t>
            </w:r>
          </w:p>
        </w:tc>
        <w:tc>
          <w:tcPr>
            <w:tcW w:w="154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0.001</w:t>
            </w:r>
          </w:p>
        </w:tc>
        <w:tc>
          <w:tcPr>
            <w:tcW w:w="154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0.000</w:t>
            </w:r>
          </w:p>
        </w:tc>
        <w:tc>
          <w:tcPr>
            <w:tcW w:w="1540" w:type="dxa"/>
            <w:tcBorders>
              <w:top w:val="nil"/>
              <w:left w:val="nil"/>
              <w:bottom w:val="single" w:sz="8" w:space="0" w:color="auto"/>
              <w:right w:val="nil"/>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w:t>
            </w:r>
          </w:p>
        </w:tc>
        <w:tc>
          <w:tcPr>
            <w:tcW w:w="1540" w:type="dxa"/>
            <w:tcBorders>
              <w:top w:val="nil"/>
              <w:left w:val="single" w:sz="4" w:space="0" w:color="auto"/>
              <w:bottom w:val="single" w:sz="8" w:space="0" w:color="auto"/>
              <w:right w:val="single" w:sz="8" w:space="0" w:color="auto"/>
            </w:tcBorders>
            <w:shd w:val="clear" w:color="auto" w:fill="auto"/>
            <w:noWrap/>
            <w:vAlign w:val="bottom"/>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0.000</w:t>
            </w:r>
          </w:p>
        </w:tc>
      </w:tr>
      <w:tr w:rsidR="00EC2A52" w:rsidRPr="00FF5F3C" w:rsidTr="00EC2A52">
        <w:trPr>
          <w:trHeight w:val="315"/>
        </w:trPr>
        <w:tc>
          <w:tcPr>
            <w:tcW w:w="9720" w:type="dxa"/>
            <w:gridSpan w:val="6"/>
            <w:tcBorders>
              <w:top w:val="single" w:sz="8" w:space="0" w:color="auto"/>
              <w:left w:val="single" w:sz="8" w:space="0" w:color="auto"/>
              <w:bottom w:val="double" w:sz="6" w:space="0" w:color="auto"/>
              <w:right w:val="single" w:sz="8" w:space="0" w:color="000000"/>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 xml:space="preserve">Hypothesis: non-catastrophic impacts (captured by t2) equal Nordhaus </w:t>
            </w:r>
            <w:r>
              <w:rPr>
                <w:rFonts w:ascii="Calibri" w:hAnsi="Calibri"/>
                <w:color w:val="000000"/>
                <w:sz w:val="20"/>
                <w:szCs w:val="20"/>
              </w:rPr>
              <w:t>(2013)'s estimate of 0.</w:t>
            </w:r>
            <w:r w:rsidRPr="00FF5F3C">
              <w:rPr>
                <w:rFonts w:ascii="Calibri" w:hAnsi="Calibri"/>
                <w:color w:val="000000"/>
                <w:sz w:val="20"/>
                <w:szCs w:val="20"/>
              </w:rPr>
              <w:t xml:space="preserve">2136 </w:t>
            </w:r>
          </w:p>
        </w:tc>
      </w:tr>
      <w:tr w:rsidR="00EC2A52" w:rsidRPr="00FF5F3C" w:rsidTr="00EC2A52">
        <w:trPr>
          <w:trHeight w:val="330"/>
        </w:trPr>
        <w:tc>
          <w:tcPr>
            <w:tcW w:w="2020" w:type="dxa"/>
            <w:tcBorders>
              <w:top w:val="nil"/>
              <w:left w:val="single" w:sz="8" w:space="0" w:color="auto"/>
              <w:bottom w:val="nil"/>
              <w:right w:val="nil"/>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p-value</w:t>
            </w:r>
          </w:p>
        </w:tc>
        <w:tc>
          <w:tcPr>
            <w:tcW w:w="15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0.3303</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0.2696</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w:t>
            </w:r>
            <w:r>
              <w:rPr>
                <w:rFonts w:ascii="Calibri" w:hAnsi="Calibri"/>
                <w:color w:val="000000"/>
                <w:sz w:val="20"/>
                <w:szCs w:val="20"/>
              </w:rPr>
              <w:t>4552</w:t>
            </w:r>
          </w:p>
        </w:tc>
        <w:tc>
          <w:tcPr>
            <w:tcW w:w="1540" w:type="dxa"/>
            <w:tcBorders>
              <w:top w:val="nil"/>
              <w:left w:val="nil"/>
              <w:bottom w:val="double" w:sz="6" w:space="0" w:color="auto"/>
              <w:right w:val="nil"/>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0.064</w:t>
            </w:r>
          </w:p>
        </w:tc>
        <w:tc>
          <w:tcPr>
            <w:tcW w:w="1540" w:type="dxa"/>
            <w:tcBorders>
              <w:top w:val="nil"/>
              <w:left w:val="single" w:sz="4" w:space="0" w:color="auto"/>
              <w:bottom w:val="double" w:sz="6" w:space="0" w:color="auto"/>
              <w:right w:val="single" w:sz="8"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0.3342</w:t>
            </w:r>
          </w:p>
        </w:tc>
      </w:tr>
      <w:tr w:rsidR="00EC2A52" w:rsidRPr="00FF5F3C" w:rsidTr="00EC2A52">
        <w:trPr>
          <w:trHeight w:val="330"/>
        </w:trPr>
        <w:tc>
          <w:tcPr>
            <w:tcW w:w="9720" w:type="dxa"/>
            <w:gridSpan w:val="6"/>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Hypothesis: total impacts (captured by t2+cat_t2) equal No</w:t>
            </w:r>
            <w:r>
              <w:rPr>
                <w:rFonts w:ascii="Calibri" w:hAnsi="Calibri"/>
                <w:color w:val="000000"/>
                <w:sz w:val="20"/>
                <w:szCs w:val="20"/>
              </w:rPr>
              <w:t>rdhaus (2013)'s estimate of 0.</w:t>
            </w:r>
            <w:r w:rsidRPr="00FF5F3C">
              <w:rPr>
                <w:rFonts w:ascii="Calibri" w:hAnsi="Calibri"/>
                <w:color w:val="000000"/>
                <w:sz w:val="20"/>
                <w:szCs w:val="20"/>
              </w:rPr>
              <w:t xml:space="preserve">2132 </w:t>
            </w:r>
          </w:p>
        </w:tc>
      </w:tr>
      <w:tr w:rsidR="00EC2A52" w:rsidRPr="00FF5F3C" w:rsidTr="00EC2A52">
        <w:trPr>
          <w:trHeight w:val="330"/>
        </w:trPr>
        <w:tc>
          <w:tcPr>
            <w:tcW w:w="2020" w:type="dxa"/>
            <w:tcBorders>
              <w:top w:val="nil"/>
              <w:left w:val="single" w:sz="8" w:space="0" w:color="auto"/>
              <w:bottom w:val="single" w:sz="8" w:space="0" w:color="auto"/>
              <w:right w:val="nil"/>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p-value</w:t>
            </w:r>
          </w:p>
        </w:tc>
        <w:tc>
          <w:tcPr>
            <w:tcW w:w="1540" w:type="dxa"/>
            <w:tcBorders>
              <w:top w:val="nil"/>
              <w:left w:val="single" w:sz="8" w:space="0" w:color="auto"/>
              <w:bottom w:val="single" w:sz="8"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0.0000</w:t>
            </w:r>
          </w:p>
        </w:tc>
        <w:tc>
          <w:tcPr>
            <w:tcW w:w="1540" w:type="dxa"/>
            <w:tcBorders>
              <w:top w:val="nil"/>
              <w:left w:val="nil"/>
              <w:bottom w:val="single" w:sz="8"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w:t>
            </w:r>
          </w:p>
        </w:tc>
        <w:tc>
          <w:tcPr>
            <w:tcW w:w="1540" w:type="dxa"/>
            <w:tcBorders>
              <w:top w:val="nil"/>
              <w:left w:val="nil"/>
              <w:bottom w:val="single" w:sz="8"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0.0000</w:t>
            </w:r>
          </w:p>
        </w:tc>
        <w:tc>
          <w:tcPr>
            <w:tcW w:w="1540" w:type="dxa"/>
            <w:tcBorders>
              <w:top w:val="nil"/>
              <w:left w:val="nil"/>
              <w:bottom w:val="single" w:sz="8" w:space="0" w:color="auto"/>
              <w:right w:val="nil"/>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0.000</w:t>
            </w:r>
          </w:p>
        </w:tc>
        <w:tc>
          <w:tcPr>
            <w:tcW w:w="1540" w:type="dxa"/>
            <w:tcBorders>
              <w:top w:val="nil"/>
              <w:left w:val="single" w:sz="4" w:space="0" w:color="auto"/>
              <w:bottom w:val="single" w:sz="8" w:space="0" w:color="auto"/>
              <w:right w:val="single" w:sz="8"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0.0000</w:t>
            </w:r>
          </w:p>
        </w:tc>
      </w:tr>
      <w:tr w:rsidR="00EC2A52" w:rsidRPr="00FF5F3C" w:rsidTr="00EC2A52">
        <w:trPr>
          <w:trHeight w:val="315"/>
        </w:trPr>
        <w:tc>
          <w:tcPr>
            <w:tcW w:w="9720" w:type="dxa"/>
            <w:gridSpan w:val="6"/>
            <w:tcBorders>
              <w:top w:val="single" w:sz="8" w:space="0" w:color="auto"/>
              <w:left w:val="single" w:sz="8" w:space="0" w:color="auto"/>
              <w:bottom w:val="double" w:sz="6" w:space="0" w:color="auto"/>
              <w:right w:val="single" w:sz="8" w:space="0" w:color="000000"/>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Hypothesis: non-catastrophic impacts (captured by t2 + prod_t2) equal No</w:t>
            </w:r>
            <w:r>
              <w:rPr>
                <w:rFonts w:ascii="Calibri" w:hAnsi="Calibri"/>
                <w:color w:val="000000"/>
                <w:sz w:val="20"/>
                <w:szCs w:val="20"/>
              </w:rPr>
              <w:t>rdhaus (2013)'s estimate of 0.</w:t>
            </w:r>
            <w:r w:rsidRPr="00FF5F3C">
              <w:rPr>
                <w:rFonts w:ascii="Calibri" w:hAnsi="Calibri"/>
                <w:color w:val="000000"/>
                <w:sz w:val="20"/>
                <w:szCs w:val="20"/>
              </w:rPr>
              <w:t>2136</w:t>
            </w:r>
          </w:p>
        </w:tc>
      </w:tr>
      <w:tr w:rsidR="00EC2A52" w:rsidRPr="00FF5F3C" w:rsidTr="00EC2A52">
        <w:trPr>
          <w:trHeight w:val="330"/>
        </w:trPr>
        <w:tc>
          <w:tcPr>
            <w:tcW w:w="2020" w:type="dxa"/>
            <w:tcBorders>
              <w:top w:val="nil"/>
              <w:left w:val="single" w:sz="8" w:space="0" w:color="auto"/>
              <w:bottom w:val="nil"/>
              <w:right w:val="nil"/>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p-value</w:t>
            </w:r>
          </w:p>
        </w:tc>
        <w:tc>
          <w:tcPr>
            <w:tcW w:w="1540" w:type="dxa"/>
            <w:tcBorders>
              <w:top w:val="nil"/>
              <w:left w:val="single" w:sz="8" w:space="0" w:color="auto"/>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0.0804</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0.0746</w:t>
            </w:r>
          </w:p>
        </w:tc>
        <w:tc>
          <w:tcPr>
            <w:tcW w:w="1540" w:type="dxa"/>
            <w:tcBorders>
              <w:top w:val="nil"/>
              <w:left w:val="nil"/>
              <w:bottom w:val="double" w:sz="6"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w:t>
            </w:r>
            <w:r>
              <w:rPr>
                <w:rFonts w:ascii="Calibri" w:hAnsi="Calibri"/>
                <w:color w:val="000000"/>
                <w:sz w:val="20"/>
                <w:szCs w:val="20"/>
              </w:rPr>
              <w:t>5685</w:t>
            </w:r>
          </w:p>
        </w:tc>
        <w:tc>
          <w:tcPr>
            <w:tcW w:w="1540" w:type="dxa"/>
            <w:tcBorders>
              <w:top w:val="nil"/>
              <w:left w:val="nil"/>
              <w:bottom w:val="double" w:sz="6" w:space="0" w:color="auto"/>
              <w:right w:val="nil"/>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0.011</w:t>
            </w:r>
          </w:p>
        </w:tc>
        <w:tc>
          <w:tcPr>
            <w:tcW w:w="1540" w:type="dxa"/>
            <w:tcBorders>
              <w:top w:val="nil"/>
              <w:left w:val="single" w:sz="4" w:space="0" w:color="auto"/>
              <w:bottom w:val="double" w:sz="6" w:space="0" w:color="auto"/>
              <w:right w:val="single" w:sz="8"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0.0825</w:t>
            </w:r>
          </w:p>
        </w:tc>
      </w:tr>
      <w:tr w:rsidR="00EC2A52" w:rsidRPr="00FF5F3C" w:rsidTr="00EC2A52">
        <w:trPr>
          <w:trHeight w:val="330"/>
        </w:trPr>
        <w:tc>
          <w:tcPr>
            <w:tcW w:w="9720" w:type="dxa"/>
            <w:gridSpan w:val="6"/>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Hypothesis: total impacts (captured by t2 + prod_t2 + cat_t2) equal No</w:t>
            </w:r>
            <w:r>
              <w:rPr>
                <w:rFonts w:ascii="Calibri" w:hAnsi="Calibri"/>
                <w:color w:val="000000"/>
                <w:sz w:val="20"/>
                <w:szCs w:val="20"/>
              </w:rPr>
              <w:t>rdhaus (2013)'s estimate of 0.</w:t>
            </w:r>
            <w:r w:rsidRPr="00FF5F3C">
              <w:rPr>
                <w:rFonts w:ascii="Calibri" w:hAnsi="Calibri"/>
                <w:color w:val="000000"/>
                <w:sz w:val="20"/>
                <w:szCs w:val="20"/>
              </w:rPr>
              <w:t xml:space="preserve">2136 </w:t>
            </w:r>
          </w:p>
        </w:tc>
      </w:tr>
      <w:tr w:rsidR="00EC2A52" w:rsidRPr="00FF5F3C" w:rsidTr="00EC2A52">
        <w:trPr>
          <w:trHeight w:val="330"/>
        </w:trPr>
        <w:tc>
          <w:tcPr>
            <w:tcW w:w="2020" w:type="dxa"/>
            <w:tcBorders>
              <w:top w:val="nil"/>
              <w:left w:val="single" w:sz="8" w:space="0" w:color="auto"/>
              <w:bottom w:val="single" w:sz="8" w:space="0" w:color="auto"/>
              <w:right w:val="nil"/>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p-value</w:t>
            </w:r>
          </w:p>
        </w:tc>
        <w:tc>
          <w:tcPr>
            <w:tcW w:w="1540" w:type="dxa"/>
            <w:tcBorders>
              <w:top w:val="nil"/>
              <w:left w:val="single" w:sz="8" w:space="0" w:color="auto"/>
              <w:bottom w:val="single" w:sz="8"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0.0045</w:t>
            </w:r>
          </w:p>
        </w:tc>
        <w:tc>
          <w:tcPr>
            <w:tcW w:w="1540" w:type="dxa"/>
            <w:tcBorders>
              <w:top w:val="nil"/>
              <w:left w:val="nil"/>
              <w:bottom w:val="single" w:sz="8"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w:t>
            </w:r>
          </w:p>
        </w:tc>
        <w:tc>
          <w:tcPr>
            <w:tcW w:w="1540" w:type="dxa"/>
            <w:tcBorders>
              <w:top w:val="nil"/>
              <w:left w:val="nil"/>
              <w:bottom w:val="single" w:sz="8" w:space="0" w:color="auto"/>
              <w:right w:val="single" w:sz="4"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w:t>
            </w:r>
            <w:r>
              <w:rPr>
                <w:rFonts w:ascii="Calibri" w:hAnsi="Calibri"/>
                <w:color w:val="000000"/>
                <w:sz w:val="20"/>
                <w:szCs w:val="20"/>
              </w:rPr>
              <w:t>727</w:t>
            </w:r>
          </w:p>
        </w:tc>
        <w:tc>
          <w:tcPr>
            <w:tcW w:w="1540" w:type="dxa"/>
            <w:tcBorders>
              <w:top w:val="nil"/>
              <w:left w:val="nil"/>
              <w:bottom w:val="single" w:sz="8" w:space="0" w:color="auto"/>
              <w:right w:val="nil"/>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0.003</w:t>
            </w:r>
          </w:p>
        </w:tc>
        <w:tc>
          <w:tcPr>
            <w:tcW w:w="1540" w:type="dxa"/>
            <w:tcBorders>
              <w:top w:val="nil"/>
              <w:left w:val="single" w:sz="4" w:space="0" w:color="auto"/>
              <w:bottom w:val="single" w:sz="8" w:space="0" w:color="auto"/>
              <w:right w:val="single" w:sz="8" w:space="0" w:color="auto"/>
            </w:tcBorders>
            <w:shd w:val="clear" w:color="auto" w:fill="auto"/>
            <w:noWrap/>
            <w:vAlign w:val="bottom"/>
            <w:hideMark/>
          </w:tcPr>
          <w:p w:rsidR="00EC2A52" w:rsidRPr="00FF5F3C" w:rsidRDefault="00EC2A52" w:rsidP="00EC2A52">
            <w:pPr>
              <w:jc w:val="center"/>
              <w:rPr>
                <w:rFonts w:ascii="Calibri" w:hAnsi="Calibri"/>
                <w:color w:val="000000"/>
                <w:sz w:val="20"/>
                <w:szCs w:val="20"/>
              </w:rPr>
            </w:pPr>
            <w:r w:rsidRPr="00FF5F3C">
              <w:rPr>
                <w:rFonts w:ascii="Calibri" w:hAnsi="Calibri"/>
                <w:color w:val="000000"/>
                <w:sz w:val="20"/>
                <w:szCs w:val="20"/>
              </w:rPr>
              <w:t>0.0049</w:t>
            </w:r>
          </w:p>
        </w:tc>
      </w:tr>
      <w:tr w:rsidR="00EC2A52" w:rsidRPr="00FF5F3C" w:rsidTr="00EC2A52">
        <w:trPr>
          <w:trHeight w:val="300"/>
        </w:trPr>
        <w:tc>
          <w:tcPr>
            <w:tcW w:w="9720" w:type="dxa"/>
            <w:gridSpan w:val="6"/>
            <w:tcBorders>
              <w:top w:val="single" w:sz="8" w:space="0" w:color="auto"/>
              <w:left w:val="nil"/>
              <w:bottom w:val="nil"/>
              <w:right w:val="nil"/>
            </w:tcBorders>
            <w:shd w:val="clear" w:color="auto" w:fill="auto"/>
            <w:noWrap/>
            <w:vAlign w:val="bottom"/>
            <w:hideMark/>
          </w:tcPr>
          <w:p w:rsidR="00EC2A52" w:rsidRPr="00FF5F3C" w:rsidRDefault="00EC2A52" w:rsidP="00EC2A52">
            <w:pPr>
              <w:rPr>
                <w:rFonts w:ascii="Calibri" w:hAnsi="Calibri"/>
                <w:color w:val="000000"/>
                <w:sz w:val="20"/>
                <w:szCs w:val="20"/>
              </w:rPr>
            </w:pPr>
            <w:r w:rsidRPr="00FF5F3C">
              <w:rPr>
                <w:rFonts w:ascii="Calibri" w:hAnsi="Calibri"/>
                <w:color w:val="000000"/>
                <w:sz w:val="20"/>
                <w:szCs w:val="20"/>
              </w:rPr>
              <w:t>Robust standard errors in parentheses</w:t>
            </w:r>
          </w:p>
        </w:tc>
      </w:tr>
      <w:tr w:rsidR="00EC2A52" w:rsidRPr="00FF5F3C" w:rsidTr="00EC2A52">
        <w:trPr>
          <w:trHeight w:val="300"/>
        </w:trPr>
        <w:tc>
          <w:tcPr>
            <w:tcW w:w="9720" w:type="dxa"/>
            <w:gridSpan w:val="6"/>
            <w:tcBorders>
              <w:top w:val="nil"/>
              <w:left w:val="nil"/>
              <w:bottom w:val="nil"/>
              <w:right w:val="nil"/>
            </w:tcBorders>
            <w:shd w:val="clear" w:color="auto" w:fill="auto"/>
            <w:noWrap/>
            <w:vAlign w:val="bottom"/>
            <w:hideMark/>
          </w:tcPr>
          <w:p w:rsidR="00EC2A52" w:rsidRPr="00FF5F3C" w:rsidRDefault="00EC2A52" w:rsidP="00EC2A52">
            <w:pPr>
              <w:spacing w:after="120"/>
              <w:rPr>
                <w:rFonts w:ascii="Calibri" w:hAnsi="Calibri"/>
                <w:color w:val="000000"/>
                <w:sz w:val="20"/>
                <w:szCs w:val="20"/>
              </w:rPr>
            </w:pPr>
            <w:r w:rsidRPr="00FF5F3C">
              <w:rPr>
                <w:rFonts w:ascii="Calibri" w:hAnsi="Calibri"/>
                <w:color w:val="000000"/>
                <w:sz w:val="20"/>
                <w:szCs w:val="20"/>
              </w:rPr>
              <w:t>*** p&lt;0.01, ** p&lt;0.05, * p&lt;0.1</w:t>
            </w:r>
          </w:p>
        </w:tc>
      </w:tr>
    </w:tbl>
    <w:p w:rsidR="00EC2A52" w:rsidRPr="00462FDF" w:rsidRDefault="00EC2A52" w:rsidP="00EC2A52">
      <w:pPr>
        <w:pStyle w:val="FootnoteText"/>
        <w:spacing w:after="120" w:line="276" w:lineRule="auto"/>
        <w:jc w:val="both"/>
        <w:rPr>
          <w:i/>
        </w:rPr>
      </w:pPr>
      <w:r>
        <w:rPr>
          <w:i/>
          <w:vertAlign w:val="superscript"/>
        </w:rPr>
        <w:t>a</w:t>
      </w:r>
      <w:r>
        <w:rPr>
          <w:i/>
        </w:rPr>
        <w:t xml:space="preserve"> </w:t>
      </w:r>
      <w:r w:rsidRPr="00902DE3">
        <w:rPr>
          <w:i/>
        </w:rPr>
        <w:t>See Table C</w:t>
      </w:r>
      <w:r>
        <w:rPr>
          <w:i/>
        </w:rPr>
        <w:t>5</w:t>
      </w:r>
      <w:r w:rsidRPr="00902DE3">
        <w:rPr>
          <w:i/>
        </w:rPr>
        <w:t xml:space="preserve"> for specification definitions.</w:t>
      </w:r>
    </w:p>
    <w:p w:rsidR="00EC2A52" w:rsidRPr="00462FDF" w:rsidRDefault="00EC2A52" w:rsidP="00EC2A52">
      <w:pPr>
        <w:pStyle w:val="FootnoteText"/>
        <w:spacing w:after="120" w:line="276" w:lineRule="auto"/>
        <w:jc w:val="both"/>
        <w:rPr>
          <w:i/>
          <w:vertAlign w:val="superscript"/>
        </w:rPr>
      </w:pPr>
      <w:r>
        <w:rPr>
          <w:i/>
          <w:vertAlign w:val="superscript"/>
        </w:rPr>
        <w:t xml:space="preserve">b </w:t>
      </w:r>
      <w:r w:rsidRPr="00462FDF">
        <w:rPr>
          <w:i/>
        </w:rPr>
        <w:t>See variable definitions in Table A2 in Appendix</w:t>
      </w:r>
      <w:r>
        <w:rPr>
          <w:i/>
        </w:rPr>
        <w:t xml:space="preserve"> A.</w:t>
      </w:r>
    </w:p>
    <w:p w:rsidR="00EC2A52" w:rsidRPr="009263A5" w:rsidRDefault="00EC2A52" w:rsidP="00EC2A52">
      <w:pPr>
        <w:rPr>
          <w:sz w:val="20"/>
          <w:szCs w:val="20"/>
        </w:rPr>
        <w:sectPr w:rsidR="00EC2A52" w:rsidRPr="009263A5" w:rsidSect="00EC2A52">
          <w:pgSz w:w="12240" w:h="15840"/>
          <w:pgMar w:top="1440" w:right="1440" w:bottom="1440" w:left="1440" w:header="720" w:footer="720" w:gutter="0"/>
          <w:cols w:space="720"/>
          <w:docGrid w:linePitch="360"/>
        </w:sectPr>
      </w:pPr>
    </w:p>
    <w:p w:rsidR="00EC2A52" w:rsidRPr="009263A5" w:rsidRDefault="00EC2A52" w:rsidP="00EC2A52">
      <w:pPr>
        <w:spacing w:after="120"/>
        <w:rPr>
          <w:b/>
          <w:i/>
          <w:sz w:val="20"/>
          <w:szCs w:val="20"/>
        </w:rPr>
      </w:pPr>
      <w:r w:rsidRPr="009263A5">
        <w:rPr>
          <w:b/>
          <w:i/>
          <w:sz w:val="20"/>
          <w:szCs w:val="20"/>
        </w:rPr>
        <w:lastRenderedPageBreak/>
        <w:t>Table C</w:t>
      </w:r>
      <w:r>
        <w:rPr>
          <w:b/>
          <w:i/>
          <w:sz w:val="20"/>
          <w:szCs w:val="20"/>
        </w:rPr>
        <w:t>7</w:t>
      </w:r>
      <w:r w:rsidRPr="009263A5">
        <w:rPr>
          <w:b/>
          <w:i/>
          <w:sz w:val="20"/>
          <w:szCs w:val="20"/>
        </w:rPr>
        <w:t>. Alternative Estimators: Re-estimating Preferred Specification Regressions (4) and (8) in Table 2 using Alternative Estimators, by Estimator</w:t>
      </w:r>
    </w:p>
    <w:tbl>
      <w:tblPr>
        <w:tblW w:w="13100" w:type="dxa"/>
        <w:tblInd w:w="93" w:type="dxa"/>
        <w:tblLook w:val="04A0"/>
      </w:tblPr>
      <w:tblGrid>
        <w:gridCol w:w="3500"/>
        <w:gridCol w:w="960"/>
        <w:gridCol w:w="960"/>
        <w:gridCol w:w="960"/>
        <w:gridCol w:w="960"/>
        <w:gridCol w:w="960"/>
        <w:gridCol w:w="960"/>
        <w:gridCol w:w="960"/>
        <w:gridCol w:w="960"/>
        <w:gridCol w:w="960"/>
        <w:gridCol w:w="960"/>
      </w:tblGrid>
      <w:tr w:rsidR="00EC2A52" w:rsidRPr="00FF3E4B" w:rsidTr="00EC2A52">
        <w:trPr>
          <w:trHeight w:val="600"/>
        </w:trPr>
        <w:tc>
          <w:tcPr>
            <w:tcW w:w="35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Dataset</w:t>
            </w:r>
          </w:p>
        </w:tc>
        <w:tc>
          <w:tcPr>
            <w:tcW w:w="4800" w:type="dxa"/>
            <w:gridSpan w:val="5"/>
            <w:tcBorders>
              <w:top w:val="single" w:sz="8" w:space="0" w:color="auto"/>
              <w:left w:val="nil"/>
              <w:bottom w:val="double" w:sz="6" w:space="0" w:color="auto"/>
              <w:right w:val="single" w:sz="8" w:space="0" w:color="000000"/>
            </w:tcBorders>
            <w:shd w:val="clear" w:color="auto" w:fill="auto"/>
            <w:vAlign w:val="center"/>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xml:space="preserve"> Damages for Temp. Increases≤4 </w:t>
            </w:r>
            <w:r w:rsidRPr="002D03A9">
              <w:rPr>
                <w:rFonts w:ascii="Cambria" w:hAnsi="Cambria"/>
                <w:color w:val="000000"/>
                <w:sz w:val="18"/>
                <w:szCs w:val="18"/>
              </w:rPr>
              <w:t>°C and Excludes Duplicates</w:t>
            </w:r>
          </w:p>
        </w:tc>
        <w:tc>
          <w:tcPr>
            <w:tcW w:w="4800" w:type="dxa"/>
            <w:gridSpan w:val="5"/>
            <w:tcBorders>
              <w:top w:val="single" w:sz="8" w:space="0" w:color="auto"/>
              <w:left w:val="nil"/>
              <w:bottom w:val="double" w:sz="6" w:space="0" w:color="auto"/>
              <w:right w:val="single" w:sz="8" w:space="0" w:color="000000"/>
            </w:tcBorders>
            <w:shd w:val="clear" w:color="auto" w:fill="auto"/>
            <w:vAlign w:val="center"/>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Damages for All Temp. Increases and Excludes Duplicates</w:t>
            </w:r>
          </w:p>
        </w:tc>
      </w:tr>
      <w:tr w:rsidR="00EC2A52" w:rsidRPr="00FF3E4B" w:rsidTr="00EC2A52">
        <w:trPr>
          <w:trHeight w:val="795"/>
        </w:trPr>
        <w:tc>
          <w:tcPr>
            <w:tcW w:w="3500" w:type="dxa"/>
            <w:tcBorders>
              <w:top w:val="nil"/>
              <w:left w:val="single" w:sz="8" w:space="0" w:color="auto"/>
              <w:bottom w:val="double" w:sz="6" w:space="0" w:color="auto"/>
              <w:right w:val="single" w:sz="8" w:space="0" w:color="auto"/>
            </w:tcBorders>
            <w:shd w:val="clear" w:color="auto" w:fill="auto"/>
            <w:noWrap/>
            <w:vAlign w:val="center"/>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Estimator</w:t>
            </w:r>
          </w:p>
        </w:tc>
        <w:tc>
          <w:tcPr>
            <w:tcW w:w="960" w:type="dxa"/>
            <w:tcBorders>
              <w:top w:val="nil"/>
              <w:left w:val="nil"/>
              <w:bottom w:val="nil"/>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Preferred</w:t>
            </w:r>
          </w:p>
        </w:tc>
        <w:tc>
          <w:tcPr>
            <w:tcW w:w="960" w:type="dxa"/>
            <w:tcBorders>
              <w:top w:val="nil"/>
              <w:left w:val="nil"/>
              <w:bottom w:val="nil"/>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OLS</w:t>
            </w:r>
          </w:p>
        </w:tc>
        <w:tc>
          <w:tcPr>
            <w:tcW w:w="960" w:type="dxa"/>
            <w:tcBorders>
              <w:top w:val="nil"/>
              <w:left w:val="nil"/>
              <w:bottom w:val="nil"/>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GLS</w:t>
            </w:r>
          </w:p>
        </w:tc>
        <w:tc>
          <w:tcPr>
            <w:tcW w:w="960" w:type="dxa"/>
            <w:tcBorders>
              <w:top w:val="nil"/>
              <w:left w:val="nil"/>
              <w:bottom w:val="nil"/>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18"/>
                <w:szCs w:val="18"/>
                <w:vertAlign w:val="superscript"/>
              </w:rPr>
            </w:pPr>
            <w:r w:rsidRPr="002D03A9">
              <w:rPr>
                <w:rFonts w:ascii="Calibri" w:hAnsi="Calibri"/>
                <w:color w:val="000000"/>
                <w:sz w:val="18"/>
                <w:szCs w:val="18"/>
              </w:rPr>
              <w:t>Fixed Effects</w:t>
            </w:r>
            <w:r>
              <w:rPr>
                <w:rFonts w:ascii="Calibri" w:hAnsi="Calibri"/>
                <w:color w:val="000000"/>
                <w:sz w:val="18"/>
                <w:szCs w:val="18"/>
                <w:vertAlign w:val="superscript"/>
              </w:rPr>
              <w:t>b</w:t>
            </w:r>
          </w:p>
        </w:tc>
        <w:tc>
          <w:tcPr>
            <w:tcW w:w="960" w:type="dxa"/>
            <w:tcBorders>
              <w:top w:val="nil"/>
              <w:left w:val="nil"/>
              <w:bottom w:val="nil"/>
              <w:right w:val="single" w:sz="8" w:space="0" w:color="auto"/>
            </w:tcBorders>
            <w:shd w:val="clear" w:color="auto" w:fill="auto"/>
            <w:vAlign w:val="center"/>
            <w:hideMark/>
          </w:tcPr>
          <w:p w:rsidR="00EC2A52" w:rsidRPr="002D03A9" w:rsidRDefault="00EC2A52" w:rsidP="00EC2A52">
            <w:pPr>
              <w:jc w:val="center"/>
              <w:rPr>
                <w:rFonts w:ascii="Calibri" w:hAnsi="Calibri"/>
                <w:color w:val="000000"/>
                <w:sz w:val="18"/>
                <w:szCs w:val="18"/>
                <w:vertAlign w:val="superscript"/>
              </w:rPr>
            </w:pPr>
            <w:r w:rsidRPr="002D03A9">
              <w:rPr>
                <w:rFonts w:ascii="Calibri" w:hAnsi="Calibri"/>
                <w:color w:val="000000"/>
                <w:sz w:val="18"/>
                <w:szCs w:val="18"/>
              </w:rPr>
              <w:t>GLS and Fixed Effects</w:t>
            </w:r>
            <w:r>
              <w:rPr>
                <w:rFonts w:ascii="Calibri" w:hAnsi="Calibri"/>
                <w:color w:val="000000"/>
                <w:sz w:val="18"/>
                <w:szCs w:val="18"/>
                <w:vertAlign w:val="superscript"/>
              </w:rPr>
              <w:t>b</w:t>
            </w:r>
          </w:p>
        </w:tc>
        <w:tc>
          <w:tcPr>
            <w:tcW w:w="960" w:type="dxa"/>
            <w:tcBorders>
              <w:top w:val="single" w:sz="8" w:space="0" w:color="auto"/>
              <w:left w:val="nil"/>
              <w:bottom w:val="nil"/>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Preferred</w:t>
            </w:r>
          </w:p>
        </w:tc>
        <w:tc>
          <w:tcPr>
            <w:tcW w:w="960" w:type="dxa"/>
            <w:tcBorders>
              <w:top w:val="single" w:sz="8" w:space="0" w:color="auto"/>
              <w:left w:val="nil"/>
              <w:bottom w:val="nil"/>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OLS</w:t>
            </w:r>
          </w:p>
        </w:tc>
        <w:tc>
          <w:tcPr>
            <w:tcW w:w="960" w:type="dxa"/>
            <w:tcBorders>
              <w:top w:val="single" w:sz="8" w:space="0" w:color="auto"/>
              <w:left w:val="nil"/>
              <w:bottom w:val="nil"/>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GLS</w:t>
            </w:r>
          </w:p>
        </w:tc>
        <w:tc>
          <w:tcPr>
            <w:tcW w:w="960" w:type="dxa"/>
            <w:tcBorders>
              <w:top w:val="single" w:sz="8" w:space="0" w:color="auto"/>
              <w:left w:val="nil"/>
              <w:bottom w:val="nil"/>
              <w:right w:val="single" w:sz="4" w:space="0" w:color="auto"/>
            </w:tcBorders>
            <w:shd w:val="clear" w:color="auto" w:fill="auto"/>
            <w:vAlign w:val="center"/>
            <w:hideMark/>
          </w:tcPr>
          <w:p w:rsidR="00EC2A52" w:rsidRPr="002D03A9" w:rsidRDefault="00EC2A52" w:rsidP="00EC2A52">
            <w:pPr>
              <w:jc w:val="center"/>
              <w:rPr>
                <w:rFonts w:ascii="Calibri" w:hAnsi="Calibri"/>
                <w:color w:val="000000"/>
                <w:sz w:val="18"/>
                <w:szCs w:val="18"/>
                <w:vertAlign w:val="superscript"/>
              </w:rPr>
            </w:pPr>
            <w:r w:rsidRPr="002D03A9">
              <w:rPr>
                <w:rFonts w:ascii="Calibri" w:hAnsi="Calibri"/>
                <w:color w:val="000000"/>
                <w:sz w:val="18"/>
                <w:szCs w:val="18"/>
              </w:rPr>
              <w:t>Fixed Effects</w:t>
            </w:r>
            <w:r>
              <w:rPr>
                <w:rFonts w:ascii="Calibri" w:hAnsi="Calibri"/>
                <w:color w:val="000000"/>
                <w:sz w:val="18"/>
                <w:szCs w:val="18"/>
                <w:vertAlign w:val="superscript"/>
              </w:rPr>
              <w:t>b</w:t>
            </w:r>
          </w:p>
        </w:tc>
        <w:tc>
          <w:tcPr>
            <w:tcW w:w="960" w:type="dxa"/>
            <w:tcBorders>
              <w:top w:val="single" w:sz="8" w:space="0" w:color="auto"/>
              <w:left w:val="nil"/>
              <w:bottom w:val="nil"/>
              <w:right w:val="single" w:sz="8" w:space="0" w:color="auto"/>
            </w:tcBorders>
            <w:shd w:val="clear" w:color="auto" w:fill="auto"/>
            <w:vAlign w:val="center"/>
            <w:hideMark/>
          </w:tcPr>
          <w:p w:rsidR="00EC2A52" w:rsidRPr="002D03A9" w:rsidRDefault="00EC2A52" w:rsidP="00EC2A52">
            <w:pPr>
              <w:jc w:val="center"/>
              <w:rPr>
                <w:rFonts w:ascii="Calibri" w:hAnsi="Calibri"/>
                <w:color w:val="000000"/>
                <w:sz w:val="18"/>
                <w:szCs w:val="18"/>
                <w:vertAlign w:val="superscript"/>
              </w:rPr>
            </w:pPr>
            <w:r w:rsidRPr="002D03A9">
              <w:rPr>
                <w:rFonts w:ascii="Calibri" w:hAnsi="Calibri"/>
                <w:color w:val="000000"/>
                <w:sz w:val="18"/>
                <w:szCs w:val="18"/>
              </w:rPr>
              <w:t>GLS and Fixed Effects</w:t>
            </w:r>
            <w:r>
              <w:rPr>
                <w:rFonts w:ascii="Calibri" w:hAnsi="Calibri"/>
                <w:color w:val="000000"/>
                <w:sz w:val="18"/>
                <w:szCs w:val="18"/>
                <w:vertAlign w:val="superscript"/>
              </w:rPr>
              <w:t>b</w:t>
            </w:r>
          </w:p>
        </w:tc>
      </w:tr>
      <w:tr w:rsidR="00EC2A52" w:rsidRPr="00FF3E4B" w:rsidTr="00EC2A52">
        <w:trPr>
          <w:trHeight w:val="315"/>
        </w:trPr>
        <w:tc>
          <w:tcPr>
            <w:tcW w:w="3500" w:type="dxa"/>
            <w:tcBorders>
              <w:top w:val="nil"/>
              <w:left w:val="single" w:sz="8" w:space="0" w:color="auto"/>
              <w:bottom w:val="single" w:sz="4" w:space="0" w:color="auto"/>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Specification</w:t>
            </w:r>
          </w:p>
        </w:tc>
        <w:tc>
          <w:tcPr>
            <w:tcW w:w="960" w:type="dxa"/>
            <w:tcBorders>
              <w:top w:val="double" w:sz="6" w:space="0" w:color="auto"/>
              <w:left w:val="single" w:sz="8" w:space="0" w:color="auto"/>
              <w:bottom w:val="single" w:sz="4"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w:t>
            </w:r>
          </w:p>
        </w:tc>
        <w:tc>
          <w:tcPr>
            <w:tcW w:w="960" w:type="dxa"/>
            <w:tcBorders>
              <w:top w:val="double" w:sz="6" w:space="0" w:color="auto"/>
              <w:left w:val="nil"/>
              <w:bottom w:val="single" w:sz="4"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w:t>
            </w:r>
          </w:p>
        </w:tc>
        <w:tc>
          <w:tcPr>
            <w:tcW w:w="960" w:type="dxa"/>
            <w:tcBorders>
              <w:top w:val="double" w:sz="6" w:space="0" w:color="auto"/>
              <w:left w:val="nil"/>
              <w:bottom w:val="single" w:sz="4"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(3)</w:t>
            </w:r>
          </w:p>
        </w:tc>
        <w:tc>
          <w:tcPr>
            <w:tcW w:w="960" w:type="dxa"/>
            <w:tcBorders>
              <w:top w:val="double" w:sz="6" w:space="0" w:color="auto"/>
              <w:left w:val="nil"/>
              <w:bottom w:val="single" w:sz="4"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(4)</w:t>
            </w:r>
          </w:p>
        </w:tc>
        <w:tc>
          <w:tcPr>
            <w:tcW w:w="960" w:type="dxa"/>
            <w:tcBorders>
              <w:top w:val="double" w:sz="6" w:space="0" w:color="auto"/>
              <w:left w:val="nil"/>
              <w:bottom w:val="single" w:sz="4"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(5)</w:t>
            </w:r>
          </w:p>
        </w:tc>
        <w:tc>
          <w:tcPr>
            <w:tcW w:w="960" w:type="dxa"/>
            <w:tcBorders>
              <w:top w:val="double" w:sz="6" w:space="0" w:color="auto"/>
              <w:left w:val="nil"/>
              <w:bottom w:val="single" w:sz="4"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(6)</w:t>
            </w:r>
          </w:p>
        </w:tc>
        <w:tc>
          <w:tcPr>
            <w:tcW w:w="960" w:type="dxa"/>
            <w:tcBorders>
              <w:top w:val="double" w:sz="6" w:space="0" w:color="auto"/>
              <w:left w:val="nil"/>
              <w:bottom w:val="single" w:sz="4"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(7)</w:t>
            </w:r>
          </w:p>
        </w:tc>
        <w:tc>
          <w:tcPr>
            <w:tcW w:w="960" w:type="dxa"/>
            <w:tcBorders>
              <w:top w:val="double" w:sz="6" w:space="0" w:color="auto"/>
              <w:left w:val="nil"/>
              <w:bottom w:val="single" w:sz="4"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(8)</w:t>
            </w:r>
          </w:p>
        </w:tc>
        <w:tc>
          <w:tcPr>
            <w:tcW w:w="960" w:type="dxa"/>
            <w:tcBorders>
              <w:top w:val="double" w:sz="6" w:space="0" w:color="auto"/>
              <w:left w:val="nil"/>
              <w:bottom w:val="single" w:sz="4"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(9)</w:t>
            </w:r>
          </w:p>
        </w:tc>
        <w:tc>
          <w:tcPr>
            <w:tcW w:w="960" w:type="dxa"/>
            <w:tcBorders>
              <w:top w:val="double" w:sz="6" w:space="0" w:color="auto"/>
              <w:left w:val="nil"/>
              <w:bottom w:val="single" w:sz="4"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(10)</w:t>
            </w:r>
          </w:p>
        </w:tc>
      </w:tr>
      <w:tr w:rsidR="00EC2A52" w:rsidRPr="00FF3E4B" w:rsidTr="00EC2A52">
        <w:trPr>
          <w:trHeight w:val="315"/>
        </w:trPr>
        <w:tc>
          <w:tcPr>
            <w:tcW w:w="3500" w:type="dxa"/>
            <w:tcBorders>
              <w:top w:val="nil"/>
              <w:left w:val="single" w:sz="8" w:space="0" w:color="auto"/>
              <w:bottom w:val="double" w:sz="6" w:space="0" w:color="auto"/>
              <w:right w:val="nil"/>
            </w:tcBorders>
            <w:shd w:val="clear" w:color="auto" w:fill="auto"/>
            <w:noWrap/>
            <w:vAlign w:val="bottom"/>
            <w:hideMark/>
          </w:tcPr>
          <w:p w:rsidR="00EC2A52" w:rsidRPr="002D03A9" w:rsidRDefault="00EC2A52" w:rsidP="00EC2A52">
            <w:pPr>
              <w:rPr>
                <w:rFonts w:ascii="Calibri" w:hAnsi="Calibri"/>
                <w:color w:val="000000"/>
                <w:sz w:val="18"/>
                <w:szCs w:val="18"/>
                <w:vertAlign w:val="superscript"/>
              </w:rPr>
            </w:pPr>
            <w:r w:rsidRPr="002D03A9">
              <w:rPr>
                <w:rFonts w:ascii="Calibri" w:hAnsi="Calibri"/>
                <w:color w:val="000000"/>
                <w:sz w:val="18"/>
                <w:szCs w:val="18"/>
              </w:rPr>
              <w:t>VARIABLES</w:t>
            </w:r>
            <w:r>
              <w:rPr>
                <w:rFonts w:ascii="Calibri" w:hAnsi="Calibri"/>
                <w:color w:val="000000"/>
                <w:sz w:val="18"/>
                <w:szCs w:val="18"/>
                <w:vertAlign w:val="superscript"/>
              </w:rPr>
              <w:t>a</w:t>
            </w:r>
          </w:p>
        </w:tc>
        <w:tc>
          <w:tcPr>
            <w:tcW w:w="960" w:type="dxa"/>
            <w:tcBorders>
              <w:top w:val="nil"/>
              <w:left w:val="single" w:sz="8" w:space="0" w:color="auto"/>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D_new</w:t>
            </w:r>
          </w:p>
        </w:tc>
      </w:tr>
      <w:tr w:rsidR="00EC2A52" w:rsidRPr="00FF3E4B" w:rsidTr="00EC2A52">
        <w:trPr>
          <w:trHeight w:val="315"/>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t2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0.595**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0.626**</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0.545***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0.825**</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0.718***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0.318**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0.264***</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0.265***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0.226</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0.132</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(0.190)</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(0.198)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(0.124)</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(0.288)</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(0.150)</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(0.102)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(0.0711)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(0.0938)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(0.168)</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(0.0902)</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mkt_t2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-0.622**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-0.670**</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-0.598***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-1.184***</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-1.002***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-0.345*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-0.309**</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-0.305*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-0.577**</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-0.411***</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(0.226)</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(0.212)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(0.191)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(0.297)</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(0.161)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(0.156)</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(0.101)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(0.175)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(0.247)</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(0.105)</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cat_t2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0.260</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0.248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0.292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0.444</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0.407**</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0.362***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0.380***</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0.442***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0.403**</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0.527***</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(0.267)</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(0.275)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(0.208)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(0.397)</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(0.162)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(0.103)</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(0.0712)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(0.127)</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(0.171)</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(0.124)</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prod_t2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0.113</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0.120</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0.188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0.233***</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Pr>
                <w:rFonts w:ascii="Calibri" w:hAnsi="Calibri"/>
                <w:color w:val="000000"/>
                <w:sz w:val="18"/>
                <w:szCs w:val="18"/>
              </w:rPr>
              <w:t>0.002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0.398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0.433*</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0.245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0.809***</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0.524***</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(0.125)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(0.0767)</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(0.155)</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(0.0650)</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(0.188)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(0.237)</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(0.234)</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(0.192)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(0.0655)</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(0.168)</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152C0A">
              <w:rPr>
                <w:rFonts w:ascii="Calibri" w:hAnsi="Calibri"/>
                <w:color w:val="000000"/>
                <w:sz w:val="18"/>
                <w:szCs w:val="18"/>
              </w:rPr>
              <w:t>C</w:t>
            </w:r>
            <w:r w:rsidRPr="002D03A9">
              <w:rPr>
                <w:rFonts w:ascii="Calibri" w:hAnsi="Calibri"/>
                <w:color w:val="000000"/>
                <w:sz w:val="18"/>
                <w:szCs w:val="18"/>
              </w:rPr>
              <w:t>ross</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1.700***</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1.358*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1.132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0.245***</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-0.196</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1.700***</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1.358*</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0.911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0.284</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-0.213</w:t>
            </w:r>
          </w:p>
        </w:tc>
      </w:tr>
      <w:tr w:rsidR="00EC2A52" w:rsidRPr="00FF3E4B" w:rsidTr="00EC2A52">
        <w:trPr>
          <w:trHeight w:val="315"/>
        </w:trPr>
        <w:tc>
          <w:tcPr>
            <w:tcW w:w="3500" w:type="dxa"/>
            <w:tcBorders>
              <w:top w:val="nil"/>
              <w:left w:val="single" w:sz="8" w:space="0" w:color="auto"/>
              <w:bottom w:val="double" w:sz="6" w:space="0" w:color="auto"/>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single" w:sz="8" w:space="0" w:color="auto"/>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(0.343)</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(0.693)</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(0.959)</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(0.0515)</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(0.288)</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(0.331)</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(0.669)</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(1.067)</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(0.797)</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(0.280)</w:t>
            </w:r>
          </w:p>
        </w:tc>
      </w:tr>
      <w:tr w:rsidR="00EC2A52" w:rsidRPr="00FF3E4B" w:rsidTr="00EC2A52">
        <w:trPr>
          <w:trHeight w:val="315"/>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Observations</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21</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21</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26</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26</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26</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26</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26</w:t>
            </w:r>
          </w:p>
        </w:tc>
      </w:tr>
      <w:tr w:rsidR="00EC2A52" w:rsidRPr="00FF3E4B" w:rsidTr="00EC2A52">
        <w:trPr>
          <w:trHeight w:val="30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R2</w:t>
            </w:r>
          </w:p>
        </w:tc>
        <w:tc>
          <w:tcPr>
            <w:tcW w:w="960" w:type="dxa"/>
            <w:tcBorders>
              <w:top w:val="nil"/>
              <w:left w:val="single" w:sz="8" w:space="0" w:color="auto"/>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0.722</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0.783</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0.824</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0.869</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0.933</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nil"/>
              <w:bottom w:val="nil"/>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0.897</w:t>
            </w:r>
          </w:p>
        </w:tc>
        <w:tc>
          <w:tcPr>
            <w:tcW w:w="960" w:type="dxa"/>
            <w:tcBorders>
              <w:top w:val="nil"/>
              <w:left w:val="nil"/>
              <w:bottom w:val="nil"/>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w:t>
            </w:r>
          </w:p>
        </w:tc>
      </w:tr>
      <w:tr w:rsidR="00EC2A52" w:rsidRPr="00FF3E4B" w:rsidTr="00EC2A52">
        <w:trPr>
          <w:trHeight w:val="315"/>
        </w:trPr>
        <w:tc>
          <w:tcPr>
            <w:tcW w:w="3500" w:type="dxa"/>
            <w:tcBorders>
              <w:top w:val="nil"/>
              <w:left w:val="single" w:sz="8" w:space="0" w:color="auto"/>
              <w:bottom w:val="single" w:sz="8" w:space="0" w:color="auto"/>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Adjusted R-squared</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0.635</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0.715</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0.631</w:t>
            </w:r>
          </w:p>
        </w:tc>
        <w:tc>
          <w:tcPr>
            <w:tcW w:w="960" w:type="dxa"/>
            <w:tcBorders>
              <w:top w:val="nil"/>
              <w:left w:val="nil"/>
              <w:bottom w:val="single" w:sz="8"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0.837</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0.916</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0.821</w:t>
            </w:r>
          </w:p>
        </w:tc>
        <w:tc>
          <w:tcPr>
            <w:tcW w:w="960" w:type="dxa"/>
            <w:tcBorders>
              <w:top w:val="nil"/>
              <w:left w:val="nil"/>
              <w:bottom w:val="single" w:sz="8"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 </w:t>
            </w:r>
          </w:p>
        </w:tc>
      </w:tr>
      <w:tr w:rsidR="00EC2A52" w:rsidRPr="00FF3E4B" w:rsidTr="00EC2A52">
        <w:trPr>
          <w:trHeight w:val="315"/>
        </w:trPr>
        <w:tc>
          <w:tcPr>
            <w:tcW w:w="13100" w:type="dxa"/>
            <w:gridSpan w:val="11"/>
            <w:tcBorders>
              <w:top w:val="single" w:sz="8" w:space="0" w:color="auto"/>
              <w:left w:val="single" w:sz="8" w:space="0" w:color="auto"/>
              <w:bottom w:val="double" w:sz="6" w:space="0" w:color="auto"/>
              <w:right w:val="single" w:sz="8" w:space="0" w:color="000000"/>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 xml:space="preserve">Hypothesis: non-catastrophic impacts (captured </w:t>
            </w:r>
            <w:r>
              <w:rPr>
                <w:rFonts w:ascii="Calibri" w:hAnsi="Calibri"/>
                <w:color w:val="000000"/>
                <w:sz w:val="18"/>
                <w:szCs w:val="18"/>
              </w:rPr>
              <w:t xml:space="preserve">by </w:t>
            </w:r>
            <w:r w:rsidRPr="002D03A9">
              <w:rPr>
                <w:rFonts w:ascii="Calibri" w:hAnsi="Calibri"/>
                <w:color w:val="000000"/>
                <w:sz w:val="18"/>
                <w:szCs w:val="18"/>
              </w:rPr>
              <w:t>t2) equal No</w:t>
            </w:r>
            <w:r>
              <w:rPr>
                <w:rFonts w:ascii="Calibri" w:hAnsi="Calibri"/>
                <w:color w:val="000000"/>
                <w:sz w:val="18"/>
                <w:szCs w:val="18"/>
              </w:rPr>
              <w:t>rdhaus (2013)'s estimate of 0.</w:t>
            </w:r>
            <w:r w:rsidRPr="002D03A9">
              <w:rPr>
                <w:rFonts w:ascii="Calibri" w:hAnsi="Calibri"/>
                <w:color w:val="000000"/>
                <w:sz w:val="18"/>
                <w:szCs w:val="18"/>
              </w:rPr>
              <w:t>2136</w:t>
            </w:r>
          </w:p>
        </w:tc>
      </w:tr>
      <w:tr w:rsidR="00EC2A52" w:rsidRPr="00FF3E4B" w:rsidTr="00EC2A52">
        <w:trPr>
          <w:trHeight w:val="33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p-value</w:t>
            </w:r>
          </w:p>
        </w:tc>
        <w:tc>
          <w:tcPr>
            <w:tcW w:w="960" w:type="dxa"/>
            <w:tcBorders>
              <w:top w:val="nil"/>
              <w:left w:val="single" w:sz="8" w:space="0" w:color="auto"/>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0.0800</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0.0710</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0.0078</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0.0666</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0.0008</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0.3303</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0.4906</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0.5812</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0.9409</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0.3673</w:t>
            </w:r>
          </w:p>
        </w:tc>
      </w:tr>
      <w:tr w:rsidR="00EC2A52" w:rsidRPr="00FF3E4B" w:rsidTr="00EC2A52">
        <w:trPr>
          <w:trHeight w:val="330"/>
        </w:trPr>
        <w:tc>
          <w:tcPr>
            <w:tcW w:w="13100" w:type="dxa"/>
            <w:gridSpan w:val="11"/>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Hypothesis: total impacts (captured by t2 + cat_t2) equal No</w:t>
            </w:r>
            <w:r>
              <w:rPr>
                <w:rFonts w:ascii="Calibri" w:hAnsi="Calibri"/>
                <w:color w:val="000000"/>
                <w:sz w:val="18"/>
                <w:szCs w:val="18"/>
              </w:rPr>
              <w:t>rdhaus (2013)'s estimate of 0.</w:t>
            </w:r>
            <w:r w:rsidRPr="002D03A9">
              <w:rPr>
                <w:rFonts w:ascii="Calibri" w:hAnsi="Calibri"/>
                <w:color w:val="000000"/>
                <w:sz w:val="18"/>
                <w:szCs w:val="18"/>
              </w:rPr>
              <w:t>2136</w:t>
            </w:r>
          </w:p>
        </w:tc>
      </w:tr>
      <w:tr w:rsidR="00EC2A52" w:rsidRPr="00FF3E4B" w:rsidTr="00EC2A52">
        <w:trPr>
          <w:trHeight w:val="33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p-value</w:t>
            </w:r>
          </w:p>
        </w:tc>
        <w:tc>
          <w:tcPr>
            <w:tcW w:w="960" w:type="dxa"/>
            <w:tcBorders>
              <w:top w:val="nil"/>
              <w:left w:val="single" w:sz="8" w:space="0" w:color="auto"/>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0.0031</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0.0027</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0.0002</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0.0295</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0.0000</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0.0000</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0.0000</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0.0000</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0.0000</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0.0000</w:t>
            </w:r>
          </w:p>
        </w:tc>
      </w:tr>
      <w:tr w:rsidR="00EC2A52" w:rsidRPr="00FF3E4B" w:rsidTr="00EC2A52">
        <w:trPr>
          <w:trHeight w:val="330"/>
        </w:trPr>
        <w:tc>
          <w:tcPr>
            <w:tcW w:w="13100" w:type="dxa"/>
            <w:gridSpan w:val="11"/>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Hypothesis: non-catastrophic impacts (captured</w:t>
            </w:r>
            <w:r>
              <w:rPr>
                <w:rFonts w:ascii="Calibri" w:hAnsi="Calibri"/>
                <w:color w:val="000000"/>
                <w:sz w:val="18"/>
                <w:szCs w:val="18"/>
              </w:rPr>
              <w:t xml:space="preserve"> by</w:t>
            </w:r>
            <w:r w:rsidRPr="002D03A9">
              <w:rPr>
                <w:rFonts w:ascii="Calibri" w:hAnsi="Calibri"/>
                <w:color w:val="000000"/>
                <w:sz w:val="18"/>
                <w:szCs w:val="18"/>
              </w:rPr>
              <w:t xml:space="preserve"> t2 + prod_t2) equal No</w:t>
            </w:r>
            <w:r>
              <w:rPr>
                <w:rFonts w:ascii="Calibri" w:hAnsi="Calibri"/>
                <w:color w:val="000000"/>
                <w:sz w:val="18"/>
                <w:szCs w:val="18"/>
              </w:rPr>
              <w:t>rdhaus (2013)'s estimate of 0.</w:t>
            </w:r>
            <w:r w:rsidRPr="002D03A9">
              <w:rPr>
                <w:rFonts w:ascii="Calibri" w:hAnsi="Calibri"/>
                <w:color w:val="000000"/>
                <w:sz w:val="18"/>
                <w:szCs w:val="18"/>
              </w:rPr>
              <w:t>2136</w:t>
            </w:r>
          </w:p>
        </w:tc>
      </w:tr>
      <w:tr w:rsidR="00EC2A52" w:rsidRPr="00FF3E4B" w:rsidTr="00EC2A52">
        <w:trPr>
          <w:trHeight w:val="330"/>
        </w:trPr>
        <w:tc>
          <w:tcPr>
            <w:tcW w:w="350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p-value</w:t>
            </w:r>
          </w:p>
        </w:tc>
        <w:tc>
          <w:tcPr>
            <w:tcW w:w="960" w:type="dxa"/>
            <w:tcBorders>
              <w:top w:val="nil"/>
              <w:left w:val="single" w:sz="8" w:space="0" w:color="auto"/>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0.0618</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0.0367</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0.0091</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0.0212</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0.0349</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0.0804</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0.0766</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0.1652</w:t>
            </w:r>
          </w:p>
        </w:tc>
        <w:tc>
          <w:tcPr>
            <w:tcW w:w="960" w:type="dxa"/>
            <w:tcBorders>
              <w:top w:val="nil"/>
              <w:left w:val="nil"/>
              <w:bottom w:val="double" w:sz="6"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0.0010</w:t>
            </w:r>
          </w:p>
        </w:tc>
        <w:tc>
          <w:tcPr>
            <w:tcW w:w="960" w:type="dxa"/>
            <w:tcBorders>
              <w:top w:val="nil"/>
              <w:left w:val="nil"/>
              <w:bottom w:val="double" w:sz="6"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0.0201</w:t>
            </w:r>
          </w:p>
        </w:tc>
      </w:tr>
      <w:tr w:rsidR="00EC2A52" w:rsidRPr="00FF3E4B" w:rsidTr="00EC2A52">
        <w:trPr>
          <w:trHeight w:val="330"/>
        </w:trPr>
        <w:tc>
          <w:tcPr>
            <w:tcW w:w="13100" w:type="dxa"/>
            <w:gridSpan w:val="11"/>
            <w:tcBorders>
              <w:top w:val="double" w:sz="6" w:space="0" w:color="auto"/>
              <w:left w:val="single" w:sz="8" w:space="0" w:color="auto"/>
              <w:bottom w:val="double" w:sz="6" w:space="0" w:color="auto"/>
              <w:right w:val="single" w:sz="8" w:space="0" w:color="000000"/>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t>Hypothesis: total impacts (captured by t2 + prod_t2 + cat_t2) equal Nor</w:t>
            </w:r>
            <w:r>
              <w:rPr>
                <w:rFonts w:ascii="Calibri" w:hAnsi="Calibri"/>
                <w:color w:val="000000"/>
                <w:sz w:val="18"/>
                <w:szCs w:val="18"/>
              </w:rPr>
              <w:t>dhaus  (2013)'s estimate of 0.</w:t>
            </w:r>
            <w:r w:rsidRPr="002D03A9">
              <w:rPr>
                <w:rFonts w:ascii="Calibri" w:hAnsi="Calibri"/>
                <w:color w:val="000000"/>
                <w:sz w:val="18"/>
                <w:szCs w:val="18"/>
              </w:rPr>
              <w:t>2136</w:t>
            </w:r>
          </w:p>
        </w:tc>
      </w:tr>
      <w:tr w:rsidR="00EC2A52" w:rsidRPr="00FF3E4B" w:rsidTr="00EC2A52">
        <w:trPr>
          <w:trHeight w:val="330"/>
        </w:trPr>
        <w:tc>
          <w:tcPr>
            <w:tcW w:w="3500" w:type="dxa"/>
            <w:tcBorders>
              <w:top w:val="nil"/>
              <w:left w:val="single" w:sz="8" w:space="0" w:color="auto"/>
              <w:bottom w:val="single" w:sz="8" w:space="0" w:color="auto"/>
              <w:right w:val="nil"/>
            </w:tcBorders>
            <w:shd w:val="clear" w:color="auto" w:fill="auto"/>
            <w:noWrap/>
            <w:vAlign w:val="bottom"/>
            <w:hideMark/>
          </w:tcPr>
          <w:p w:rsidR="00EC2A52" w:rsidRPr="002D03A9" w:rsidRDefault="00EC2A52" w:rsidP="00EC2A52">
            <w:pPr>
              <w:rPr>
                <w:rFonts w:ascii="Calibri" w:hAnsi="Calibri"/>
                <w:color w:val="000000"/>
                <w:sz w:val="18"/>
                <w:szCs w:val="18"/>
              </w:rPr>
            </w:pPr>
            <w:r w:rsidRPr="002D03A9">
              <w:rPr>
                <w:rFonts w:ascii="Calibri" w:hAnsi="Calibri"/>
                <w:color w:val="000000"/>
                <w:sz w:val="18"/>
                <w:szCs w:val="18"/>
              </w:rPr>
              <w:lastRenderedPageBreak/>
              <w:t>p-value</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0.0052</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0.0020</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0.0004</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0.0128</w:t>
            </w:r>
          </w:p>
        </w:tc>
        <w:tc>
          <w:tcPr>
            <w:tcW w:w="960" w:type="dxa"/>
            <w:tcBorders>
              <w:top w:val="nil"/>
              <w:left w:val="nil"/>
              <w:bottom w:val="single" w:sz="8"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0.0001</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0.0045</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0.0042</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0.0004</w:t>
            </w:r>
          </w:p>
        </w:tc>
        <w:tc>
          <w:tcPr>
            <w:tcW w:w="960" w:type="dxa"/>
            <w:tcBorders>
              <w:top w:val="nil"/>
              <w:left w:val="nil"/>
              <w:bottom w:val="single" w:sz="8" w:space="0" w:color="auto"/>
              <w:right w:val="single" w:sz="4"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0.0000</w:t>
            </w:r>
          </w:p>
        </w:tc>
        <w:tc>
          <w:tcPr>
            <w:tcW w:w="960" w:type="dxa"/>
            <w:tcBorders>
              <w:top w:val="nil"/>
              <w:left w:val="nil"/>
              <w:bottom w:val="single" w:sz="8" w:space="0" w:color="auto"/>
              <w:right w:val="single" w:sz="8" w:space="0" w:color="auto"/>
            </w:tcBorders>
            <w:shd w:val="clear" w:color="auto" w:fill="auto"/>
            <w:noWrap/>
            <w:vAlign w:val="bottom"/>
            <w:hideMark/>
          </w:tcPr>
          <w:p w:rsidR="00EC2A52" w:rsidRPr="002D03A9" w:rsidRDefault="00EC2A52" w:rsidP="00EC2A52">
            <w:pPr>
              <w:jc w:val="center"/>
              <w:rPr>
                <w:rFonts w:ascii="Calibri" w:hAnsi="Calibri"/>
                <w:color w:val="000000"/>
                <w:sz w:val="18"/>
                <w:szCs w:val="18"/>
              </w:rPr>
            </w:pPr>
            <w:r w:rsidRPr="002D03A9">
              <w:rPr>
                <w:rFonts w:ascii="Calibri" w:hAnsi="Calibri"/>
                <w:color w:val="000000"/>
                <w:sz w:val="18"/>
                <w:szCs w:val="18"/>
              </w:rPr>
              <w:t>0.0000</w:t>
            </w:r>
          </w:p>
        </w:tc>
      </w:tr>
      <w:tr w:rsidR="00EC2A52" w:rsidRPr="00FF3E4B" w:rsidTr="00EC2A52">
        <w:trPr>
          <w:trHeight w:val="300"/>
        </w:trPr>
        <w:tc>
          <w:tcPr>
            <w:tcW w:w="3500" w:type="dxa"/>
            <w:tcBorders>
              <w:top w:val="nil"/>
              <w:left w:val="nil"/>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Robust standard errors in parentheses</w:t>
            </w: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p>
        </w:tc>
      </w:tr>
      <w:tr w:rsidR="00EC2A52" w:rsidRPr="00FF3E4B" w:rsidTr="00EC2A52">
        <w:trPr>
          <w:trHeight w:val="300"/>
        </w:trPr>
        <w:tc>
          <w:tcPr>
            <w:tcW w:w="3500" w:type="dxa"/>
            <w:tcBorders>
              <w:top w:val="nil"/>
              <w:left w:val="nil"/>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r w:rsidRPr="00FF3E4B">
              <w:rPr>
                <w:rFonts w:ascii="Calibri" w:hAnsi="Calibri"/>
                <w:color w:val="000000"/>
                <w:sz w:val="20"/>
                <w:szCs w:val="20"/>
              </w:rPr>
              <w:t>*** p&lt;0.01, ** p&lt;0.05, * p&lt;0.1</w:t>
            </w: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EC2A52" w:rsidRPr="00FF3E4B" w:rsidRDefault="00EC2A52" w:rsidP="00EC2A52">
            <w:pPr>
              <w:rPr>
                <w:rFonts w:ascii="Calibri" w:hAnsi="Calibri"/>
                <w:color w:val="000000"/>
                <w:sz w:val="20"/>
                <w:szCs w:val="20"/>
              </w:rPr>
            </w:pPr>
          </w:p>
        </w:tc>
      </w:tr>
    </w:tbl>
    <w:p w:rsidR="00EC2A52" w:rsidRPr="009263A5" w:rsidRDefault="00EC2A52" w:rsidP="00EC2A52">
      <w:pPr>
        <w:spacing w:after="120"/>
        <w:rPr>
          <w:b/>
          <w:i/>
          <w:sz w:val="20"/>
          <w:szCs w:val="20"/>
        </w:rPr>
      </w:pPr>
    </w:p>
    <w:p w:rsidR="00EC2A52" w:rsidRPr="00462FDF" w:rsidRDefault="00EC2A52" w:rsidP="00EC2A52">
      <w:pPr>
        <w:spacing w:after="120"/>
        <w:rPr>
          <w:i/>
          <w:sz w:val="20"/>
          <w:szCs w:val="20"/>
        </w:rPr>
      </w:pPr>
      <w:r w:rsidRPr="00462FDF">
        <w:rPr>
          <w:i/>
          <w:sz w:val="20"/>
          <w:szCs w:val="20"/>
          <w:vertAlign w:val="superscript"/>
        </w:rPr>
        <w:t xml:space="preserve">a </w:t>
      </w:r>
      <w:r w:rsidRPr="00462FDF">
        <w:rPr>
          <w:i/>
          <w:sz w:val="20"/>
          <w:szCs w:val="20"/>
        </w:rPr>
        <w:t>See variable definitions in Table A2 in Appendix</w:t>
      </w:r>
      <w:r>
        <w:rPr>
          <w:i/>
          <w:sz w:val="20"/>
          <w:szCs w:val="20"/>
        </w:rPr>
        <w:t xml:space="preserve"> A.</w:t>
      </w:r>
    </w:p>
    <w:p w:rsidR="00EC2A52" w:rsidRPr="009263A5" w:rsidRDefault="00EC2A52" w:rsidP="00EC2A52">
      <w:pPr>
        <w:spacing w:after="120"/>
        <w:rPr>
          <w:i/>
          <w:sz w:val="20"/>
          <w:szCs w:val="20"/>
        </w:rPr>
      </w:pPr>
      <w:r w:rsidRPr="00462FDF">
        <w:rPr>
          <w:i/>
          <w:sz w:val="20"/>
          <w:szCs w:val="20"/>
          <w:vertAlign w:val="superscript"/>
        </w:rPr>
        <w:t xml:space="preserve">b </w:t>
      </w:r>
      <w:r w:rsidRPr="00462FDF">
        <w:rPr>
          <w:i/>
          <w:sz w:val="20"/>
          <w:szCs w:val="20"/>
        </w:rPr>
        <w:t>Fixed effects are at the method level</w:t>
      </w:r>
      <w:r>
        <w:rPr>
          <w:i/>
          <w:sz w:val="20"/>
          <w:szCs w:val="20"/>
        </w:rPr>
        <w:t>.</w:t>
      </w:r>
      <w:r w:rsidRPr="00462FDF">
        <w:rPr>
          <w:i/>
          <w:sz w:val="20"/>
          <w:szCs w:val="20"/>
        </w:rPr>
        <w:t xml:space="preserve"> </w:t>
      </w:r>
    </w:p>
    <w:p w:rsidR="00EC2A52" w:rsidRDefault="00EC2A52" w:rsidP="00EC2A52">
      <w:pPr>
        <w:rPr>
          <w:b/>
          <w:i/>
          <w:sz w:val="20"/>
          <w:szCs w:val="20"/>
        </w:rPr>
      </w:pPr>
      <w:r>
        <w:rPr>
          <w:b/>
          <w:i/>
          <w:sz w:val="20"/>
          <w:szCs w:val="20"/>
        </w:rPr>
        <w:br w:type="page"/>
      </w:r>
    </w:p>
    <w:p w:rsidR="00EC2A52" w:rsidRDefault="00EC2A52" w:rsidP="00EC2A52">
      <w:pPr>
        <w:rPr>
          <w:b/>
          <w:i/>
          <w:sz w:val="20"/>
          <w:szCs w:val="20"/>
        </w:rPr>
      </w:pPr>
      <w:r w:rsidRPr="009263A5">
        <w:rPr>
          <w:b/>
          <w:i/>
          <w:sz w:val="20"/>
          <w:szCs w:val="20"/>
        </w:rPr>
        <w:lastRenderedPageBreak/>
        <w:t>Table C</w:t>
      </w:r>
      <w:r>
        <w:rPr>
          <w:b/>
          <w:i/>
          <w:sz w:val="20"/>
          <w:szCs w:val="20"/>
        </w:rPr>
        <w:t>8</w:t>
      </w:r>
      <w:r w:rsidRPr="009263A5">
        <w:rPr>
          <w:b/>
          <w:i/>
          <w:sz w:val="20"/>
          <w:szCs w:val="20"/>
        </w:rPr>
        <w:t xml:space="preserve">. Robust Regression for Preferred Specifications (4) </w:t>
      </w:r>
      <w:r>
        <w:rPr>
          <w:b/>
          <w:i/>
          <w:sz w:val="20"/>
          <w:szCs w:val="20"/>
        </w:rPr>
        <w:t xml:space="preserve">and (8) in </w:t>
      </w:r>
      <w:r w:rsidRPr="009263A5">
        <w:rPr>
          <w:b/>
          <w:i/>
          <w:sz w:val="20"/>
          <w:szCs w:val="20"/>
        </w:rPr>
        <w:t>Table 2, by Robust Estimators</w:t>
      </w:r>
    </w:p>
    <w:p w:rsidR="00EC2A52" w:rsidRPr="009263A5" w:rsidRDefault="00EC2A52" w:rsidP="00EC2A52">
      <w:pPr>
        <w:rPr>
          <w:b/>
          <w:i/>
          <w:sz w:val="20"/>
          <w:szCs w:val="20"/>
        </w:rPr>
      </w:pPr>
    </w:p>
    <w:tbl>
      <w:tblPr>
        <w:tblW w:w="12860" w:type="dxa"/>
        <w:tblInd w:w="93" w:type="dxa"/>
        <w:tblLook w:val="04A0"/>
      </w:tblPr>
      <w:tblGrid>
        <w:gridCol w:w="1655"/>
        <w:gridCol w:w="1237"/>
        <w:gridCol w:w="1117"/>
        <w:gridCol w:w="1118"/>
        <w:gridCol w:w="1123"/>
        <w:gridCol w:w="1118"/>
        <w:gridCol w:w="1238"/>
        <w:gridCol w:w="1118"/>
        <w:gridCol w:w="1118"/>
        <w:gridCol w:w="1123"/>
        <w:gridCol w:w="1118"/>
      </w:tblGrid>
      <w:tr w:rsidR="00EC2A52" w:rsidRPr="004353DD" w:rsidTr="00EC2A52">
        <w:trPr>
          <w:trHeight w:val="300"/>
        </w:trPr>
        <w:tc>
          <w:tcPr>
            <w:tcW w:w="1660" w:type="dxa"/>
            <w:tcBorders>
              <w:top w:val="single" w:sz="8" w:space="0" w:color="auto"/>
              <w:left w:val="single" w:sz="8" w:space="0" w:color="auto"/>
              <w:bottom w:val="single" w:sz="4" w:space="0" w:color="auto"/>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Dataset</w:t>
            </w:r>
          </w:p>
        </w:tc>
        <w:tc>
          <w:tcPr>
            <w:tcW w:w="5600"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Damages for Temp. Increases≤4 °C</w:t>
            </w:r>
            <w:r>
              <w:rPr>
                <w:rFonts w:asciiTheme="minorHAnsi" w:hAnsiTheme="minorHAnsi"/>
                <w:color w:val="000000"/>
                <w:sz w:val="20"/>
                <w:szCs w:val="20"/>
              </w:rPr>
              <w:t xml:space="preserve"> </w:t>
            </w:r>
            <w:r w:rsidRPr="00323B5C">
              <w:rPr>
                <w:rFonts w:asciiTheme="minorHAnsi" w:hAnsiTheme="minorHAnsi"/>
                <w:color w:val="000000"/>
                <w:sz w:val="20"/>
                <w:szCs w:val="20"/>
              </w:rPr>
              <w:t xml:space="preserve"> and Excludes Duplicates</w:t>
            </w:r>
          </w:p>
        </w:tc>
        <w:tc>
          <w:tcPr>
            <w:tcW w:w="5600" w:type="dxa"/>
            <w:gridSpan w:val="5"/>
            <w:tcBorders>
              <w:top w:val="single" w:sz="8" w:space="0" w:color="auto"/>
              <w:left w:val="nil"/>
              <w:bottom w:val="single" w:sz="4" w:space="0" w:color="auto"/>
              <w:right w:val="single" w:sz="8" w:space="0" w:color="000000"/>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Damages for All Temp. Increases</w:t>
            </w:r>
            <w:r>
              <w:rPr>
                <w:rFonts w:asciiTheme="minorHAnsi" w:hAnsiTheme="minorHAnsi"/>
                <w:color w:val="000000"/>
                <w:sz w:val="20"/>
                <w:szCs w:val="20"/>
              </w:rPr>
              <w:t xml:space="preserve"> </w:t>
            </w:r>
            <w:r w:rsidRPr="00323B5C">
              <w:rPr>
                <w:rFonts w:asciiTheme="minorHAnsi" w:hAnsiTheme="minorHAnsi"/>
                <w:color w:val="000000"/>
                <w:sz w:val="20"/>
                <w:szCs w:val="20"/>
              </w:rPr>
              <w:t xml:space="preserve"> and Excludes Duplicates</w:t>
            </w:r>
          </w:p>
        </w:tc>
      </w:tr>
      <w:tr w:rsidR="00EC2A52" w:rsidRPr="004353DD" w:rsidTr="00EC2A52">
        <w:trPr>
          <w:trHeight w:val="300"/>
        </w:trPr>
        <w:tc>
          <w:tcPr>
            <w:tcW w:w="1660" w:type="dxa"/>
            <w:tcBorders>
              <w:top w:val="nil"/>
              <w:left w:val="single" w:sz="8" w:space="0" w:color="auto"/>
              <w:bottom w:val="single" w:sz="4" w:space="0" w:color="auto"/>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Specification</w:t>
            </w:r>
          </w:p>
        </w:tc>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w:t>
            </w:r>
          </w:p>
        </w:tc>
        <w:tc>
          <w:tcPr>
            <w:tcW w:w="1120" w:type="dxa"/>
            <w:tcBorders>
              <w:top w:val="nil"/>
              <w:left w:val="nil"/>
              <w:bottom w:val="single" w:sz="4"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w:t>
            </w:r>
          </w:p>
        </w:tc>
        <w:tc>
          <w:tcPr>
            <w:tcW w:w="1120" w:type="dxa"/>
            <w:tcBorders>
              <w:top w:val="nil"/>
              <w:left w:val="nil"/>
              <w:bottom w:val="single" w:sz="4"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(3)</w:t>
            </w:r>
          </w:p>
        </w:tc>
        <w:tc>
          <w:tcPr>
            <w:tcW w:w="1120" w:type="dxa"/>
            <w:tcBorders>
              <w:top w:val="nil"/>
              <w:left w:val="nil"/>
              <w:bottom w:val="single" w:sz="4"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(4)</w:t>
            </w:r>
          </w:p>
        </w:tc>
        <w:tc>
          <w:tcPr>
            <w:tcW w:w="1120" w:type="dxa"/>
            <w:tcBorders>
              <w:top w:val="nil"/>
              <w:left w:val="nil"/>
              <w:bottom w:val="single" w:sz="4" w:space="0" w:color="auto"/>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(5)</w:t>
            </w:r>
          </w:p>
        </w:tc>
        <w:tc>
          <w:tcPr>
            <w:tcW w:w="1120" w:type="dxa"/>
            <w:tcBorders>
              <w:top w:val="nil"/>
              <w:left w:val="nil"/>
              <w:bottom w:val="single" w:sz="4"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w:t>
            </w:r>
          </w:p>
        </w:tc>
        <w:tc>
          <w:tcPr>
            <w:tcW w:w="1120" w:type="dxa"/>
            <w:tcBorders>
              <w:top w:val="nil"/>
              <w:left w:val="nil"/>
              <w:bottom w:val="single" w:sz="4"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w:t>
            </w:r>
          </w:p>
        </w:tc>
        <w:tc>
          <w:tcPr>
            <w:tcW w:w="1120" w:type="dxa"/>
            <w:tcBorders>
              <w:top w:val="nil"/>
              <w:left w:val="nil"/>
              <w:bottom w:val="single" w:sz="4"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(3)</w:t>
            </w:r>
          </w:p>
        </w:tc>
        <w:tc>
          <w:tcPr>
            <w:tcW w:w="1120" w:type="dxa"/>
            <w:tcBorders>
              <w:top w:val="nil"/>
              <w:left w:val="nil"/>
              <w:bottom w:val="single" w:sz="4"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(4)</w:t>
            </w:r>
          </w:p>
        </w:tc>
        <w:tc>
          <w:tcPr>
            <w:tcW w:w="1120" w:type="dxa"/>
            <w:tcBorders>
              <w:top w:val="nil"/>
              <w:left w:val="nil"/>
              <w:bottom w:val="single" w:sz="4" w:space="0" w:color="auto"/>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(5)</w:t>
            </w:r>
          </w:p>
        </w:tc>
      </w:tr>
      <w:tr w:rsidR="00EC2A52" w:rsidRPr="004353DD" w:rsidTr="00EC2A52">
        <w:trPr>
          <w:trHeight w:val="600"/>
        </w:trPr>
        <w:tc>
          <w:tcPr>
            <w:tcW w:w="1660" w:type="dxa"/>
            <w:vMerge w:val="restart"/>
            <w:tcBorders>
              <w:top w:val="nil"/>
              <w:left w:val="single" w:sz="8" w:space="0" w:color="auto"/>
              <w:bottom w:val="single" w:sz="4" w:space="0" w:color="auto"/>
              <w:right w:val="nil"/>
            </w:tcBorders>
            <w:shd w:val="clear" w:color="auto" w:fill="auto"/>
            <w:noWrap/>
            <w:vAlign w:val="center"/>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Regressor</w:t>
            </w:r>
          </w:p>
        </w:tc>
        <w:tc>
          <w:tcPr>
            <w:tcW w:w="1120" w:type="dxa"/>
            <w:tcBorders>
              <w:top w:val="nil"/>
              <w:left w:val="single" w:sz="8" w:space="0" w:color="auto"/>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OLS</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m regressor</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s regressor</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mm regressor</w:t>
            </w:r>
          </w:p>
        </w:tc>
        <w:tc>
          <w:tcPr>
            <w:tcW w:w="1120" w:type="dxa"/>
            <w:vMerge w:val="restart"/>
            <w:tcBorders>
              <w:top w:val="nil"/>
              <w:left w:val="single" w:sz="4" w:space="0" w:color="auto"/>
              <w:bottom w:val="single" w:sz="4" w:space="0" w:color="auto"/>
              <w:right w:val="single" w:sz="8" w:space="0" w:color="auto"/>
            </w:tcBorders>
            <w:shd w:val="clear" w:color="auto" w:fill="auto"/>
            <w:vAlign w:val="center"/>
            <w:hideMark/>
          </w:tcPr>
          <w:p w:rsidR="00EC2A52" w:rsidRPr="002D03A9" w:rsidRDefault="00EC2A52" w:rsidP="00EC2A52">
            <w:pPr>
              <w:jc w:val="center"/>
              <w:rPr>
                <w:rFonts w:asciiTheme="minorHAnsi" w:hAnsiTheme="minorHAnsi" w:cs="Arial"/>
                <w:sz w:val="20"/>
                <w:szCs w:val="20"/>
                <w:vertAlign w:val="superscript"/>
              </w:rPr>
            </w:pPr>
            <w:r w:rsidRPr="002D03A9">
              <w:rPr>
                <w:rFonts w:asciiTheme="minorHAnsi" w:hAnsiTheme="minorHAnsi" w:cs="Arial"/>
                <w:sz w:val="20"/>
                <w:szCs w:val="20"/>
              </w:rPr>
              <w:t>Drop Outliers</w:t>
            </w:r>
            <w:r w:rsidRPr="002D03A9">
              <w:rPr>
                <w:rFonts w:asciiTheme="minorHAnsi" w:hAnsiTheme="minorHAnsi" w:cs="Arial"/>
                <w:sz w:val="20"/>
                <w:szCs w:val="20"/>
                <w:vertAlign w:val="superscript"/>
              </w:rPr>
              <w:t>b</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OLS</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m regressor</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s regressor</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mm regressor</w:t>
            </w:r>
          </w:p>
        </w:tc>
        <w:tc>
          <w:tcPr>
            <w:tcW w:w="1120" w:type="dxa"/>
            <w:vMerge w:val="restart"/>
            <w:tcBorders>
              <w:top w:val="nil"/>
              <w:left w:val="single" w:sz="4" w:space="0" w:color="auto"/>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s="Arial"/>
                <w:sz w:val="20"/>
                <w:szCs w:val="20"/>
                <w:vertAlign w:val="superscript"/>
              </w:rPr>
            </w:pPr>
            <w:r w:rsidRPr="002D03A9">
              <w:rPr>
                <w:rFonts w:asciiTheme="minorHAnsi" w:hAnsiTheme="minorHAnsi" w:cs="Arial"/>
                <w:sz w:val="20"/>
                <w:szCs w:val="20"/>
              </w:rPr>
              <w:t>Drop Outliers</w:t>
            </w:r>
            <w:r w:rsidRPr="002D03A9">
              <w:rPr>
                <w:rFonts w:asciiTheme="minorHAnsi" w:hAnsiTheme="minorHAnsi" w:cs="Arial"/>
                <w:sz w:val="20"/>
                <w:szCs w:val="20"/>
                <w:vertAlign w:val="superscript"/>
              </w:rPr>
              <w:t>b</w:t>
            </w:r>
          </w:p>
        </w:tc>
      </w:tr>
      <w:tr w:rsidR="00EC2A52" w:rsidRPr="004353DD" w:rsidTr="00EC2A52">
        <w:trPr>
          <w:trHeight w:val="765"/>
        </w:trPr>
        <w:tc>
          <w:tcPr>
            <w:tcW w:w="1660" w:type="dxa"/>
            <w:vMerge/>
            <w:tcBorders>
              <w:top w:val="nil"/>
              <w:left w:val="single" w:sz="8" w:space="0" w:color="auto"/>
              <w:bottom w:val="single" w:sz="4" w:space="0" w:color="auto"/>
              <w:right w:val="nil"/>
            </w:tcBorders>
            <w:vAlign w:val="center"/>
            <w:hideMark/>
          </w:tcPr>
          <w:p w:rsidR="00EC2A52" w:rsidRPr="002D03A9" w:rsidRDefault="00EC2A52" w:rsidP="00EC2A52">
            <w:pPr>
              <w:rPr>
                <w:rFonts w:asciiTheme="minorHAnsi" w:hAnsiTheme="minorHAnsi"/>
                <w:color w:val="000000"/>
                <w:sz w:val="20"/>
                <w:szCs w:val="20"/>
              </w:rPr>
            </w:pPr>
          </w:p>
        </w:tc>
        <w:tc>
          <w:tcPr>
            <w:tcW w:w="1120" w:type="dxa"/>
            <w:tcBorders>
              <w:top w:val="nil"/>
              <w:left w:val="single" w:sz="8" w:space="0" w:color="auto"/>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Preferred specification</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mregress (Huber weights)</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s="Arial"/>
                <w:sz w:val="20"/>
                <w:szCs w:val="20"/>
              </w:rPr>
            </w:pPr>
            <w:r w:rsidRPr="002D03A9">
              <w:rPr>
                <w:rFonts w:asciiTheme="minorHAnsi" w:hAnsiTheme="minorHAnsi" w:cs="Arial"/>
                <w:sz w:val="20"/>
                <w:szCs w:val="20"/>
              </w:rPr>
              <w:t>sregress</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mmregress (efficiency 0.85)</w:t>
            </w:r>
          </w:p>
        </w:tc>
        <w:tc>
          <w:tcPr>
            <w:tcW w:w="1120" w:type="dxa"/>
            <w:vMerge/>
            <w:tcBorders>
              <w:top w:val="nil"/>
              <w:left w:val="single" w:sz="4" w:space="0" w:color="auto"/>
              <w:bottom w:val="single" w:sz="4" w:space="0" w:color="auto"/>
              <w:right w:val="single" w:sz="8" w:space="0" w:color="auto"/>
            </w:tcBorders>
            <w:vAlign w:val="center"/>
            <w:hideMark/>
          </w:tcPr>
          <w:p w:rsidR="00EC2A52" w:rsidRPr="002D03A9" w:rsidRDefault="00EC2A52" w:rsidP="00EC2A52">
            <w:pPr>
              <w:rPr>
                <w:rFonts w:asciiTheme="minorHAnsi" w:hAnsiTheme="minorHAnsi" w:cs="Arial"/>
                <w:sz w:val="20"/>
                <w:szCs w:val="20"/>
              </w:rPr>
            </w:pP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Preferred specification</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mregress (Huber weights)</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s="Arial"/>
                <w:sz w:val="20"/>
                <w:szCs w:val="20"/>
              </w:rPr>
            </w:pPr>
            <w:r w:rsidRPr="002D03A9">
              <w:rPr>
                <w:rFonts w:asciiTheme="minorHAnsi" w:hAnsiTheme="minorHAnsi" w:cs="Arial"/>
                <w:sz w:val="20"/>
                <w:szCs w:val="20"/>
              </w:rPr>
              <w:t>sregress</w:t>
            </w:r>
          </w:p>
        </w:tc>
        <w:tc>
          <w:tcPr>
            <w:tcW w:w="1120" w:type="dxa"/>
            <w:tcBorders>
              <w:top w:val="nil"/>
              <w:left w:val="nil"/>
              <w:bottom w:val="single" w:sz="4" w:space="0" w:color="auto"/>
              <w:right w:val="single" w:sz="4" w:space="0" w:color="auto"/>
            </w:tcBorders>
            <w:shd w:val="clear" w:color="auto" w:fill="auto"/>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mmregress (efficiency 0.85)</w:t>
            </w:r>
          </w:p>
        </w:tc>
        <w:tc>
          <w:tcPr>
            <w:tcW w:w="1120" w:type="dxa"/>
            <w:vMerge/>
            <w:tcBorders>
              <w:top w:val="nil"/>
              <w:left w:val="single" w:sz="4" w:space="0" w:color="auto"/>
              <w:bottom w:val="single" w:sz="4" w:space="0" w:color="auto"/>
              <w:right w:val="single" w:sz="4" w:space="0" w:color="auto"/>
            </w:tcBorders>
            <w:vAlign w:val="center"/>
            <w:hideMark/>
          </w:tcPr>
          <w:p w:rsidR="00EC2A52" w:rsidRPr="002D03A9" w:rsidRDefault="00EC2A52" w:rsidP="00EC2A52">
            <w:pPr>
              <w:rPr>
                <w:rFonts w:asciiTheme="minorHAnsi" w:hAnsiTheme="minorHAnsi" w:cs="Arial"/>
                <w:sz w:val="20"/>
                <w:szCs w:val="20"/>
              </w:rPr>
            </w:pPr>
          </w:p>
        </w:tc>
      </w:tr>
      <w:tr w:rsidR="00EC2A52" w:rsidRPr="004353DD" w:rsidTr="00EC2A52">
        <w:trPr>
          <w:trHeight w:val="315"/>
        </w:trPr>
        <w:tc>
          <w:tcPr>
            <w:tcW w:w="1660" w:type="dxa"/>
            <w:tcBorders>
              <w:top w:val="nil"/>
              <w:left w:val="single" w:sz="8" w:space="0" w:color="auto"/>
              <w:bottom w:val="double" w:sz="6" w:space="0" w:color="auto"/>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vertAlign w:val="superscript"/>
              </w:rPr>
            </w:pPr>
            <w:r w:rsidRPr="002D03A9">
              <w:rPr>
                <w:rFonts w:asciiTheme="minorHAnsi" w:hAnsiTheme="minorHAnsi"/>
                <w:color w:val="000000"/>
                <w:sz w:val="20"/>
                <w:szCs w:val="20"/>
              </w:rPr>
              <w:t>VARIABLES</w:t>
            </w:r>
            <w:r w:rsidRPr="002D03A9">
              <w:rPr>
                <w:rFonts w:asciiTheme="minorHAnsi" w:hAnsiTheme="minorHAnsi"/>
                <w:color w:val="000000"/>
                <w:sz w:val="20"/>
                <w:szCs w:val="20"/>
                <w:vertAlign w:val="superscript"/>
              </w:rPr>
              <w:t>a</w:t>
            </w:r>
          </w:p>
        </w:tc>
        <w:tc>
          <w:tcPr>
            <w:tcW w:w="1120" w:type="dxa"/>
            <w:tcBorders>
              <w:top w:val="nil"/>
              <w:left w:val="single" w:sz="8" w:space="0" w:color="auto"/>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c>
          <w:tcPr>
            <w:tcW w:w="1120" w:type="dxa"/>
            <w:tcBorders>
              <w:top w:val="nil"/>
              <w:left w:val="nil"/>
              <w:bottom w:val="double" w:sz="6" w:space="0" w:color="auto"/>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D_new</w:t>
            </w:r>
          </w:p>
        </w:tc>
      </w:tr>
      <w:tr w:rsidR="00EC2A52" w:rsidRPr="004353DD" w:rsidTr="00EC2A52">
        <w:trPr>
          <w:trHeight w:val="315"/>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t2</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0.595**</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0.546**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0.329***</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0.344***</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0.404**</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0.318**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0.231**</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0.200***</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0.209***</w:t>
            </w:r>
          </w:p>
        </w:tc>
      </w:tr>
      <w:tr w:rsidR="00EC2A52" w:rsidRPr="004353DD" w:rsidTr="00EC2A52">
        <w:trPr>
          <w:trHeight w:val="300"/>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(0.190)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(0.0746)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(0.0661)</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(0.132)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(0.102)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(0.0869)</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(0.00488)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(0.0171)</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(0.00153)</w:t>
            </w:r>
          </w:p>
        </w:tc>
      </w:tr>
      <w:tr w:rsidR="00EC2A52" w:rsidRPr="004353DD" w:rsidTr="00EC2A52">
        <w:trPr>
          <w:trHeight w:val="300"/>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mkt_t2</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-0.622**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-0.590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-0.312***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-0.315***</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-0.336*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-0.345*</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-0.275</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-0.170***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-0.189***</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-0.236*</w:t>
            </w:r>
          </w:p>
        </w:tc>
      </w:tr>
      <w:tr w:rsidR="00EC2A52" w:rsidRPr="004353DD" w:rsidTr="00EC2A52">
        <w:trPr>
          <w:trHeight w:val="300"/>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(0.226)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(0.387)</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(0.0764)</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(0.0692)</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(0.152)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(0.156)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(0.375)</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(0.0177)</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(0.0603)</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(0.122)</w:t>
            </w:r>
          </w:p>
        </w:tc>
      </w:tr>
      <w:tr w:rsidR="00EC2A52" w:rsidRPr="004353DD" w:rsidTr="00EC2A52">
        <w:trPr>
          <w:trHeight w:val="300"/>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cat_t2</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0.322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0.898***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0.875***</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0.362***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0.382***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0.417***</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0.406***</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0.397***</w:t>
            </w:r>
          </w:p>
        </w:tc>
      </w:tr>
      <w:tr w:rsidR="00EC2A52" w:rsidRPr="004353DD" w:rsidTr="00EC2A52">
        <w:trPr>
          <w:trHeight w:val="300"/>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(0.267)</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(0.260)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(0.0893)</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(0.0855)</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(0.132)</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-0.103</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(0.0893)</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(0.00488)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(0.0171)</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(0.00197)</w:t>
            </w:r>
          </w:p>
        </w:tc>
      </w:tr>
      <w:tr w:rsidR="00EC2A52" w:rsidRPr="004353DD" w:rsidTr="00EC2A52">
        <w:trPr>
          <w:trHeight w:val="300"/>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prod_t2</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0.113</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0.033</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0.044</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0.019</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0.398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0.228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0.131***</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0.124*</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0.153</w:t>
            </w:r>
          </w:p>
        </w:tc>
      </w:tr>
      <w:tr w:rsidR="00EC2A52" w:rsidRPr="004353DD" w:rsidTr="00EC2A52">
        <w:trPr>
          <w:trHeight w:val="300"/>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(0.125)</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(0.374)</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(0.0461)</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(0.0479)</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(0.0903)</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(0.237)</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(0.374)</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(0.0191)</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(0.0610)</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(0.127)</w:t>
            </w:r>
          </w:p>
        </w:tc>
      </w:tr>
      <w:tr w:rsidR="00EC2A52" w:rsidRPr="004353DD" w:rsidTr="00EC2A52">
        <w:trPr>
          <w:trHeight w:val="300"/>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cross</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1.358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-0.115</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-0.159</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-0.178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1.358</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-0.126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0.236</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1.700***</w:t>
            </w:r>
          </w:p>
        </w:tc>
      </w:tr>
      <w:tr w:rsidR="00EC2A52" w:rsidRPr="004353DD" w:rsidTr="00EC2A52">
        <w:trPr>
          <w:trHeight w:val="315"/>
        </w:trPr>
        <w:tc>
          <w:tcPr>
            <w:tcW w:w="1660" w:type="dxa"/>
            <w:tcBorders>
              <w:top w:val="nil"/>
              <w:left w:val="single" w:sz="8" w:space="0" w:color="auto"/>
              <w:bottom w:val="double" w:sz="6" w:space="0" w:color="auto"/>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single" w:sz="8" w:space="0" w:color="auto"/>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(0.343)</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(2.072)</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(0.0921)</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(0.119)</w:t>
            </w:r>
          </w:p>
        </w:tc>
        <w:tc>
          <w:tcPr>
            <w:tcW w:w="1120" w:type="dxa"/>
            <w:tcBorders>
              <w:top w:val="nil"/>
              <w:left w:val="nil"/>
              <w:bottom w:val="double" w:sz="6" w:space="0" w:color="auto"/>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(0.168)</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(0.331)</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(2.245)</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(0.0961)</w:t>
            </w:r>
          </w:p>
        </w:tc>
        <w:tc>
          <w:tcPr>
            <w:tcW w:w="1120" w:type="dxa"/>
            <w:tcBorders>
              <w:top w:val="nil"/>
              <w:left w:val="nil"/>
              <w:bottom w:val="double" w:sz="6"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(1.077)</w:t>
            </w:r>
          </w:p>
        </w:tc>
        <w:tc>
          <w:tcPr>
            <w:tcW w:w="1120" w:type="dxa"/>
            <w:tcBorders>
              <w:top w:val="nil"/>
              <w:left w:val="nil"/>
              <w:bottom w:val="double" w:sz="6" w:space="0" w:color="auto"/>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(0.344)</w:t>
            </w:r>
          </w:p>
        </w:tc>
      </w:tr>
      <w:tr w:rsidR="00EC2A52" w:rsidRPr="004353DD" w:rsidTr="00EC2A52">
        <w:trPr>
          <w:trHeight w:val="315"/>
        </w:trPr>
        <w:tc>
          <w:tcPr>
            <w:tcW w:w="1660" w:type="dxa"/>
            <w:tcBorders>
              <w:top w:val="nil"/>
              <w:left w:val="single" w:sz="8" w:space="0" w:color="auto"/>
              <w:bottom w:val="nil"/>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Observations</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21</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21</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21</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21</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15</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26</w:t>
            </w:r>
          </w:p>
        </w:tc>
        <w:tc>
          <w:tcPr>
            <w:tcW w:w="1120" w:type="dxa"/>
            <w:tcBorders>
              <w:top w:val="nil"/>
              <w:left w:val="nil"/>
              <w:bottom w:val="nil"/>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26</w:t>
            </w:r>
          </w:p>
        </w:tc>
        <w:tc>
          <w:tcPr>
            <w:tcW w:w="1120" w:type="dxa"/>
            <w:tcBorders>
              <w:top w:val="nil"/>
              <w:left w:val="nil"/>
              <w:bottom w:val="nil"/>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19</w:t>
            </w:r>
          </w:p>
        </w:tc>
      </w:tr>
      <w:tr w:rsidR="00EC2A52" w:rsidRPr="004353DD" w:rsidTr="00EC2A52">
        <w:trPr>
          <w:trHeight w:val="315"/>
        </w:trPr>
        <w:tc>
          <w:tcPr>
            <w:tcW w:w="1660" w:type="dxa"/>
            <w:tcBorders>
              <w:top w:val="nil"/>
              <w:left w:val="single" w:sz="8" w:space="0" w:color="auto"/>
              <w:bottom w:val="single" w:sz="8" w:space="0" w:color="auto"/>
              <w:right w:val="nil"/>
            </w:tcBorders>
            <w:shd w:val="clear" w:color="auto" w:fill="auto"/>
            <w:noWrap/>
            <w:vAlign w:val="bottom"/>
            <w:hideMark/>
          </w:tcPr>
          <w:p w:rsidR="00EC2A52" w:rsidRPr="002D03A9" w:rsidRDefault="00EC2A52" w:rsidP="00EC2A52">
            <w:pPr>
              <w:rPr>
                <w:rFonts w:asciiTheme="minorHAnsi" w:hAnsiTheme="minorHAnsi"/>
                <w:color w:val="000000"/>
                <w:sz w:val="20"/>
                <w:szCs w:val="20"/>
              </w:rPr>
            </w:pPr>
            <w:r w:rsidRPr="002D03A9">
              <w:rPr>
                <w:rFonts w:asciiTheme="minorHAnsi" w:hAnsiTheme="minorHAnsi"/>
                <w:color w:val="000000"/>
                <w:sz w:val="20"/>
                <w:szCs w:val="20"/>
              </w:rPr>
              <w:t>R-squared</w:t>
            </w:r>
          </w:p>
        </w:tc>
        <w:tc>
          <w:tcPr>
            <w:tcW w:w="1120" w:type="dxa"/>
            <w:tcBorders>
              <w:top w:val="nil"/>
              <w:left w:val="single" w:sz="8" w:space="0" w:color="auto"/>
              <w:bottom w:val="single" w:sz="8"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0.722</w:t>
            </w:r>
          </w:p>
        </w:tc>
        <w:tc>
          <w:tcPr>
            <w:tcW w:w="1120" w:type="dxa"/>
            <w:tcBorders>
              <w:top w:val="nil"/>
              <w:left w:val="nil"/>
              <w:bottom w:val="single" w:sz="8"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0.672</w:t>
            </w:r>
          </w:p>
        </w:tc>
        <w:tc>
          <w:tcPr>
            <w:tcW w:w="1120" w:type="dxa"/>
            <w:tcBorders>
              <w:top w:val="nil"/>
              <w:left w:val="nil"/>
              <w:bottom w:val="single" w:sz="8"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nil"/>
              <w:bottom w:val="single" w:sz="8" w:space="0" w:color="auto"/>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0.648</w:t>
            </w:r>
          </w:p>
        </w:tc>
        <w:tc>
          <w:tcPr>
            <w:tcW w:w="1120" w:type="dxa"/>
            <w:tcBorders>
              <w:top w:val="nil"/>
              <w:left w:val="nil"/>
              <w:bottom w:val="single" w:sz="8"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0.869</w:t>
            </w:r>
          </w:p>
        </w:tc>
        <w:tc>
          <w:tcPr>
            <w:tcW w:w="1120" w:type="dxa"/>
            <w:tcBorders>
              <w:top w:val="nil"/>
              <w:left w:val="nil"/>
              <w:bottom w:val="single" w:sz="8"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0.978</w:t>
            </w:r>
          </w:p>
        </w:tc>
        <w:tc>
          <w:tcPr>
            <w:tcW w:w="1120" w:type="dxa"/>
            <w:tcBorders>
              <w:top w:val="nil"/>
              <w:left w:val="nil"/>
              <w:bottom w:val="single" w:sz="8"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 </w:t>
            </w:r>
          </w:p>
        </w:tc>
        <w:tc>
          <w:tcPr>
            <w:tcW w:w="1120" w:type="dxa"/>
            <w:tcBorders>
              <w:top w:val="nil"/>
              <w:left w:val="nil"/>
              <w:bottom w:val="single" w:sz="8" w:space="0" w:color="auto"/>
              <w:right w:val="single" w:sz="8" w:space="0" w:color="auto"/>
            </w:tcBorders>
            <w:shd w:val="clear" w:color="auto" w:fill="auto"/>
            <w:noWrap/>
            <w:vAlign w:val="center"/>
            <w:hideMark/>
          </w:tcPr>
          <w:p w:rsidR="00EC2A52" w:rsidRPr="002D03A9" w:rsidRDefault="00EC2A52" w:rsidP="00EC2A52">
            <w:pPr>
              <w:jc w:val="center"/>
              <w:rPr>
                <w:rFonts w:asciiTheme="minorHAnsi" w:hAnsiTheme="minorHAnsi"/>
                <w:color w:val="000000"/>
                <w:sz w:val="20"/>
                <w:szCs w:val="20"/>
              </w:rPr>
            </w:pPr>
            <w:r w:rsidRPr="002D03A9">
              <w:rPr>
                <w:rFonts w:asciiTheme="minorHAnsi" w:hAnsiTheme="minorHAnsi"/>
                <w:color w:val="000000"/>
                <w:sz w:val="20"/>
                <w:szCs w:val="20"/>
              </w:rPr>
              <w:t>0.977</w:t>
            </w:r>
          </w:p>
        </w:tc>
      </w:tr>
      <w:tr w:rsidR="00EC2A52" w:rsidRPr="004353DD" w:rsidTr="00EC2A52">
        <w:trPr>
          <w:trHeight w:val="300"/>
        </w:trPr>
        <w:tc>
          <w:tcPr>
            <w:tcW w:w="12860" w:type="dxa"/>
            <w:gridSpan w:val="11"/>
            <w:tcBorders>
              <w:top w:val="single" w:sz="8" w:space="0" w:color="auto"/>
              <w:left w:val="nil"/>
              <w:bottom w:val="nil"/>
              <w:right w:val="nil"/>
            </w:tcBorders>
            <w:shd w:val="clear" w:color="auto" w:fill="auto"/>
            <w:noWrap/>
            <w:vAlign w:val="bottom"/>
            <w:hideMark/>
          </w:tcPr>
          <w:p w:rsidR="00EC2A52" w:rsidRPr="004353DD" w:rsidRDefault="00EC2A52" w:rsidP="00EC2A52">
            <w:pPr>
              <w:rPr>
                <w:rFonts w:ascii="Calibri" w:hAnsi="Calibri"/>
                <w:color w:val="000000"/>
              </w:rPr>
            </w:pPr>
            <w:r w:rsidRPr="004353DD">
              <w:rPr>
                <w:rFonts w:ascii="Calibri" w:hAnsi="Calibri"/>
                <w:color w:val="000000"/>
                <w:sz w:val="22"/>
                <w:szCs w:val="22"/>
              </w:rPr>
              <w:t>Robust standard errors in parentheses</w:t>
            </w:r>
          </w:p>
        </w:tc>
      </w:tr>
      <w:tr w:rsidR="00EC2A52" w:rsidRPr="004353DD" w:rsidTr="00EC2A52">
        <w:trPr>
          <w:trHeight w:val="300"/>
        </w:trPr>
        <w:tc>
          <w:tcPr>
            <w:tcW w:w="12860" w:type="dxa"/>
            <w:gridSpan w:val="11"/>
            <w:tcBorders>
              <w:top w:val="nil"/>
              <w:left w:val="nil"/>
              <w:bottom w:val="nil"/>
              <w:right w:val="nil"/>
            </w:tcBorders>
            <w:shd w:val="clear" w:color="auto" w:fill="auto"/>
            <w:noWrap/>
            <w:vAlign w:val="bottom"/>
            <w:hideMark/>
          </w:tcPr>
          <w:p w:rsidR="00EC2A52" w:rsidRPr="004353DD" w:rsidRDefault="00EC2A52" w:rsidP="00EC2A52">
            <w:pPr>
              <w:rPr>
                <w:rFonts w:ascii="Calibri" w:hAnsi="Calibri"/>
                <w:color w:val="000000"/>
              </w:rPr>
            </w:pPr>
            <w:r w:rsidRPr="004353DD">
              <w:rPr>
                <w:rFonts w:ascii="Calibri" w:hAnsi="Calibri"/>
                <w:color w:val="000000"/>
                <w:sz w:val="22"/>
                <w:szCs w:val="22"/>
              </w:rPr>
              <w:t>*** p&lt;0.01, ** p&lt;0.05, * p&lt;0.1</w:t>
            </w:r>
          </w:p>
        </w:tc>
      </w:tr>
    </w:tbl>
    <w:p w:rsidR="00EC2A52" w:rsidRDefault="00EC2A52" w:rsidP="00EC2A52">
      <w:pPr>
        <w:spacing w:after="120"/>
        <w:rPr>
          <w:i/>
          <w:sz w:val="20"/>
          <w:szCs w:val="20"/>
          <w:vertAlign w:val="superscript"/>
        </w:rPr>
      </w:pPr>
    </w:p>
    <w:p w:rsidR="00EC2A52" w:rsidRPr="00902DE3" w:rsidRDefault="00EC2A52" w:rsidP="00EC2A52">
      <w:pPr>
        <w:spacing w:before="120" w:after="120"/>
        <w:rPr>
          <w:i/>
          <w:sz w:val="20"/>
          <w:szCs w:val="20"/>
        </w:rPr>
      </w:pPr>
      <w:r w:rsidRPr="00902DE3">
        <w:rPr>
          <w:i/>
          <w:sz w:val="20"/>
          <w:szCs w:val="20"/>
          <w:vertAlign w:val="superscript"/>
        </w:rPr>
        <w:t xml:space="preserve">a </w:t>
      </w:r>
      <w:r w:rsidRPr="00902DE3">
        <w:rPr>
          <w:i/>
          <w:sz w:val="20"/>
          <w:szCs w:val="20"/>
        </w:rPr>
        <w:t>See variable defi</w:t>
      </w:r>
      <w:r>
        <w:rPr>
          <w:i/>
          <w:sz w:val="20"/>
          <w:szCs w:val="20"/>
        </w:rPr>
        <w:t>nitions in Table A2 in Appendix A.</w:t>
      </w:r>
    </w:p>
    <w:p w:rsidR="00EC2A52" w:rsidRPr="009263A5" w:rsidRDefault="00EC2A52" w:rsidP="00EC2A52">
      <w:pPr>
        <w:rPr>
          <w:b/>
          <w:i/>
          <w:sz w:val="20"/>
          <w:szCs w:val="20"/>
        </w:rPr>
      </w:pPr>
      <w:r>
        <w:rPr>
          <w:i/>
          <w:sz w:val="20"/>
          <w:szCs w:val="20"/>
          <w:vertAlign w:val="superscript"/>
        </w:rPr>
        <w:t xml:space="preserve">b </w:t>
      </w:r>
      <w:r w:rsidRPr="00823414">
        <w:rPr>
          <w:i/>
          <w:sz w:val="20"/>
          <w:szCs w:val="20"/>
        </w:rPr>
        <w:t xml:space="preserve">We </w:t>
      </w:r>
      <w:r w:rsidRPr="00902DE3">
        <w:rPr>
          <w:i/>
          <w:sz w:val="20"/>
          <w:szCs w:val="20"/>
        </w:rPr>
        <w:t>define a</w:t>
      </w:r>
      <w:r>
        <w:rPr>
          <w:i/>
          <w:sz w:val="20"/>
          <w:szCs w:val="20"/>
        </w:rPr>
        <w:t xml:space="preserve">n </w:t>
      </w:r>
      <w:r w:rsidRPr="00902DE3">
        <w:rPr>
          <w:i/>
          <w:sz w:val="20"/>
          <w:szCs w:val="20"/>
        </w:rPr>
        <w:t xml:space="preserve">outlier </w:t>
      </w:r>
      <w:r>
        <w:rPr>
          <w:i/>
          <w:sz w:val="20"/>
          <w:szCs w:val="20"/>
        </w:rPr>
        <w:t xml:space="preserve">as </w:t>
      </w:r>
      <w:r w:rsidRPr="00902DE3">
        <w:rPr>
          <w:i/>
          <w:sz w:val="20"/>
          <w:szCs w:val="20"/>
        </w:rPr>
        <w:t xml:space="preserve">a datum for which </w:t>
      </w:r>
      <w:r>
        <w:rPr>
          <w:i/>
          <w:sz w:val="20"/>
          <w:szCs w:val="20"/>
        </w:rPr>
        <w:t>the mm regressor weight is below 0.8.</w:t>
      </w:r>
      <w:r w:rsidRPr="009263A5">
        <w:rPr>
          <w:b/>
          <w:i/>
          <w:sz w:val="20"/>
          <w:szCs w:val="20"/>
        </w:rPr>
        <w:br w:type="page"/>
      </w:r>
    </w:p>
    <w:p w:rsidR="00EC2A52" w:rsidRPr="009263A5" w:rsidRDefault="00EC2A52" w:rsidP="00EC2A52">
      <w:pPr>
        <w:spacing w:before="120" w:after="120"/>
        <w:rPr>
          <w:b/>
          <w:sz w:val="20"/>
          <w:szCs w:val="20"/>
        </w:rPr>
      </w:pPr>
      <w:r w:rsidRPr="009263A5">
        <w:rPr>
          <w:b/>
          <w:i/>
          <w:sz w:val="20"/>
          <w:szCs w:val="20"/>
        </w:rPr>
        <w:lastRenderedPageBreak/>
        <w:t>Table C</w:t>
      </w:r>
      <w:r>
        <w:rPr>
          <w:b/>
          <w:i/>
          <w:sz w:val="20"/>
          <w:szCs w:val="20"/>
        </w:rPr>
        <w:t>9</w:t>
      </w:r>
      <w:r w:rsidRPr="009263A5">
        <w:rPr>
          <w:b/>
          <w:i/>
          <w:sz w:val="20"/>
          <w:szCs w:val="20"/>
        </w:rPr>
        <w:t>: Method</w:t>
      </w:r>
      <w:r>
        <w:rPr>
          <w:b/>
          <w:i/>
          <w:sz w:val="20"/>
          <w:szCs w:val="20"/>
        </w:rPr>
        <w:t>-</w:t>
      </w:r>
      <w:r w:rsidRPr="009263A5">
        <w:rPr>
          <w:b/>
          <w:i/>
          <w:sz w:val="20"/>
          <w:szCs w:val="20"/>
        </w:rPr>
        <w:t>Specific Estimates: WLS with Huber White Corrected Standard Errors</w:t>
      </w:r>
      <w:r>
        <w:rPr>
          <w:b/>
          <w:i/>
          <w:sz w:val="20"/>
          <w:szCs w:val="20"/>
        </w:rPr>
        <w:t>,</w:t>
      </w:r>
      <w:r w:rsidRPr="009263A5">
        <w:rPr>
          <w:b/>
          <w:i/>
          <w:sz w:val="20"/>
          <w:szCs w:val="20"/>
        </w:rPr>
        <w:t xml:space="preserve"> Estimated Using Data for Each Method Corresponding to a Temperature Increase of 4°C or Less, by Method</w:t>
      </w:r>
    </w:p>
    <w:tbl>
      <w:tblPr>
        <w:tblW w:w="12041" w:type="dxa"/>
        <w:tblInd w:w="93" w:type="dxa"/>
        <w:tblLook w:val="04A0"/>
      </w:tblPr>
      <w:tblGrid>
        <w:gridCol w:w="1960"/>
        <w:gridCol w:w="1120"/>
        <w:gridCol w:w="1252"/>
        <w:gridCol w:w="1120"/>
        <w:gridCol w:w="1120"/>
        <w:gridCol w:w="1120"/>
        <w:gridCol w:w="1120"/>
        <w:gridCol w:w="1119"/>
        <w:gridCol w:w="1044"/>
        <w:gridCol w:w="1384"/>
      </w:tblGrid>
      <w:tr w:rsidR="00EC2A52" w:rsidRPr="000F67B1" w:rsidTr="00EC2A52">
        <w:trPr>
          <w:trHeight w:val="255"/>
        </w:trPr>
        <w:tc>
          <w:tcPr>
            <w:tcW w:w="1960" w:type="dxa"/>
            <w:tcBorders>
              <w:top w:val="single" w:sz="8" w:space="0" w:color="auto"/>
              <w:left w:val="single" w:sz="8" w:space="0" w:color="auto"/>
              <w:bottom w:val="single" w:sz="4" w:space="0" w:color="auto"/>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Dataset</w:t>
            </w:r>
          </w:p>
        </w:tc>
        <w:tc>
          <w:tcPr>
            <w:tcW w:w="10081" w:type="dxa"/>
            <w:gridSpan w:val="9"/>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Damages for Temp. Increases≤4 °C and Excludes Duplicates</w:t>
            </w:r>
          </w:p>
        </w:tc>
      </w:tr>
      <w:tr w:rsidR="00EC2A52" w:rsidRPr="000F67B1" w:rsidTr="00EC2A52">
        <w:trPr>
          <w:trHeight w:val="780"/>
        </w:trPr>
        <w:tc>
          <w:tcPr>
            <w:tcW w:w="1960" w:type="dxa"/>
            <w:tcBorders>
              <w:top w:val="nil"/>
              <w:left w:val="single" w:sz="8" w:space="0" w:color="auto"/>
              <w:bottom w:val="double" w:sz="6" w:space="0" w:color="auto"/>
              <w:right w:val="nil"/>
            </w:tcBorders>
            <w:shd w:val="clear" w:color="auto" w:fill="auto"/>
            <w:vAlign w:val="center"/>
            <w:hideMark/>
          </w:tcPr>
          <w:p w:rsidR="00EC2A52" w:rsidRPr="000F67B1" w:rsidRDefault="00EC2A52" w:rsidP="00EC2A52">
            <w:pPr>
              <w:rPr>
                <w:rFonts w:ascii="Calibri" w:hAnsi="Calibri"/>
                <w:color w:val="000000"/>
                <w:sz w:val="20"/>
                <w:szCs w:val="20"/>
              </w:rPr>
            </w:pPr>
            <w:r>
              <w:rPr>
                <w:rFonts w:ascii="Calibri" w:hAnsi="Calibri"/>
                <w:color w:val="000000"/>
                <w:sz w:val="20"/>
                <w:szCs w:val="20"/>
              </w:rPr>
              <w:t>Estimation Method</w:t>
            </w:r>
          </w:p>
        </w:tc>
        <w:tc>
          <w:tcPr>
            <w:tcW w:w="1120" w:type="dxa"/>
            <w:tcBorders>
              <w:top w:val="nil"/>
              <w:left w:val="single" w:sz="8" w:space="0" w:color="auto"/>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Original</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Enumerative</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CGE</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Statistical</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Statistical-Cross Section</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Statistical-Panel</w:t>
            </w:r>
          </w:p>
        </w:tc>
        <w:tc>
          <w:tcPr>
            <w:tcW w:w="1119"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Survey</w:t>
            </w:r>
          </w:p>
        </w:tc>
        <w:tc>
          <w:tcPr>
            <w:tcW w:w="1044"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Science</w:t>
            </w:r>
          </w:p>
        </w:tc>
        <w:tc>
          <w:tcPr>
            <w:tcW w:w="1198" w:type="dxa"/>
            <w:tcBorders>
              <w:top w:val="nil"/>
              <w:left w:val="nil"/>
              <w:bottom w:val="double" w:sz="6" w:space="0" w:color="auto"/>
              <w:right w:val="single" w:sz="8"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Compensating Surplus</w:t>
            </w:r>
          </w:p>
        </w:tc>
      </w:tr>
      <w:tr w:rsidR="00EC2A52" w:rsidRPr="000F67B1" w:rsidTr="00EC2A52">
        <w:trPr>
          <w:trHeight w:val="270"/>
        </w:trPr>
        <w:tc>
          <w:tcPr>
            <w:tcW w:w="1960" w:type="dxa"/>
            <w:tcBorders>
              <w:top w:val="double" w:sz="6" w:space="0" w:color="auto"/>
              <w:left w:val="single" w:sz="8" w:space="0" w:color="auto"/>
              <w:bottom w:val="single" w:sz="4" w:space="0" w:color="auto"/>
              <w:right w:val="single" w:sz="8" w:space="0" w:color="auto"/>
            </w:tcBorders>
            <w:shd w:val="clear" w:color="auto" w:fill="auto"/>
            <w:vAlign w:val="center"/>
            <w:hideMark/>
          </w:tcPr>
          <w:p w:rsidR="00EC2A52" w:rsidRPr="000F67B1" w:rsidRDefault="00EC2A52" w:rsidP="00EC2A52">
            <w:pPr>
              <w:rPr>
                <w:rFonts w:ascii="Calibri" w:hAnsi="Calibri"/>
                <w:color w:val="000000"/>
                <w:sz w:val="20"/>
                <w:szCs w:val="20"/>
              </w:rPr>
            </w:pPr>
            <w:r>
              <w:rPr>
                <w:rFonts w:ascii="Calibri" w:hAnsi="Calibri"/>
                <w:color w:val="000000"/>
                <w:sz w:val="20"/>
                <w:szCs w:val="20"/>
              </w:rPr>
              <w:t>Specification</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(3)</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(4)</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(5)</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(6)</w:t>
            </w:r>
          </w:p>
        </w:tc>
        <w:tc>
          <w:tcPr>
            <w:tcW w:w="1119" w:type="dxa"/>
            <w:tcBorders>
              <w:top w:val="double" w:sz="6" w:space="0" w:color="auto"/>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w:t>
            </w:r>
          </w:p>
        </w:tc>
        <w:tc>
          <w:tcPr>
            <w:tcW w:w="1044" w:type="dxa"/>
            <w:tcBorders>
              <w:top w:val="double" w:sz="6" w:space="0" w:color="auto"/>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(8)</w:t>
            </w:r>
          </w:p>
        </w:tc>
        <w:tc>
          <w:tcPr>
            <w:tcW w:w="1198" w:type="dxa"/>
            <w:tcBorders>
              <w:top w:val="double" w:sz="6" w:space="0" w:color="auto"/>
              <w:left w:val="nil"/>
              <w:bottom w:val="single" w:sz="4" w:space="0" w:color="auto"/>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(9)</w:t>
            </w:r>
          </w:p>
        </w:tc>
      </w:tr>
      <w:tr w:rsidR="00EC2A52" w:rsidRPr="000F67B1" w:rsidTr="00EC2A52">
        <w:trPr>
          <w:trHeight w:val="270"/>
        </w:trPr>
        <w:tc>
          <w:tcPr>
            <w:tcW w:w="1960" w:type="dxa"/>
            <w:tcBorders>
              <w:top w:val="nil"/>
              <w:left w:val="single" w:sz="8" w:space="0" w:color="auto"/>
              <w:bottom w:val="double" w:sz="6" w:space="0" w:color="auto"/>
              <w:right w:val="single" w:sz="8" w:space="0" w:color="auto"/>
            </w:tcBorders>
            <w:shd w:val="clear" w:color="auto" w:fill="auto"/>
            <w:vAlign w:val="center"/>
            <w:hideMark/>
          </w:tcPr>
          <w:p w:rsidR="00EC2A52" w:rsidRPr="002D03A9" w:rsidRDefault="00EC2A52" w:rsidP="00EC2A52">
            <w:pPr>
              <w:rPr>
                <w:rFonts w:ascii="Calibri" w:hAnsi="Calibri"/>
                <w:color w:val="000000"/>
                <w:sz w:val="20"/>
                <w:szCs w:val="20"/>
                <w:vertAlign w:val="superscript"/>
              </w:rPr>
            </w:pPr>
            <w:r w:rsidRPr="000F67B1">
              <w:rPr>
                <w:rFonts w:ascii="Calibri" w:hAnsi="Calibri"/>
                <w:color w:val="000000"/>
                <w:sz w:val="20"/>
                <w:szCs w:val="20"/>
              </w:rPr>
              <w:t>VARIABLES</w:t>
            </w:r>
            <w:r>
              <w:rPr>
                <w:rFonts w:ascii="Calibri" w:hAnsi="Calibri"/>
                <w:color w:val="000000"/>
                <w:sz w:val="20"/>
                <w:szCs w:val="20"/>
                <w:vertAlign w:val="superscript"/>
              </w:rPr>
              <w:t>a</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19"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044"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98" w:type="dxa"/>
            <w:tcBorders>
              <w:top w:val="nil"/>
              <w:left w:val="nil"/>
              <w:bottom w:val="double" w:sz="6" w:space="0" w:color="auto"/>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r>
      <w:tr w:rsidR="00EC2A52" w:rsidRPr="000F67B1" w:rsidTr="00EC2A52">
        <w:trPr>
          <w:trHeight w:val="270"/>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0.595**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0.212*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0.141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0.234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0.234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0.770**</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0.861</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0.849</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(0.190)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(0.0822)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(0.0606)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(0.254)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(0.232)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(0.230)</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(0.317)</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(0.429)</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mkt_t2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-0.622**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(0.226)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cat_t2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0.260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0.637</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(0.267)</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(0.321)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prod_t2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0.113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-0.213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(0.125)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(0.254)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Cross</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70"/>
        </w:trPr>
        <w:tc>
          <w:tcPr>
            <w:tcW w:w="1960" w:type="dxa"/>
            <w:tcBorders>
              <w:top w:val="nil"/>
              <w:left w:val="single" w:sz="8" w:space="0" w:color="auto"/>
              <w:bottom w:val="double" w:sz="6" w:space="0" w:color="auto"/>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(0.343)</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4"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double" w:sz="6" w:space="0" w:color="auto"/>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70"/>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Observations</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4</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R2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0.722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0.769</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0.841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0.0810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0.0800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0.841</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0.881</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0.768</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Adjusted R-squared</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0.635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0.653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0.682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-0.378</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-0.150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0.788</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0.762</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0.536</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Likelihood</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-44.36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-13.00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-1.729</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-12.75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-10.76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-8.361</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-4.933</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-6.141</w:t>
            </w:r>
          </w:p>
        </w:tc>
      </w:tr>
      <w:tr w:rsidR="00EC2A52" w:rsidRPr="000F67B1" w:rsidTr="00EC2A52">
        <w:trPr>
          <w:trHeight w:val="255"/>
        </w:trPr>
        <w:tc>
          <w:tcPr>
            <w:tcW w:w="19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F-statistic</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21.95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7.083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5.401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1.016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11.23</w:t>
            </w:r>
          </w:p>
        </w:tc>
        <w:tc>
          <w:tcPr>
            <w:tcW w:w="1044"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7.395</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3.907</w:t>
            </w:r>
          </w:p>
        </w:tc>
      </w:tr>
      <w:tr w:rsidR="00EC2A52" w:rsidRPr="000F67B1" w:rsidTr="00EC2A52">
        <w:trPr>
          <w:trHeight w:val="270"/>
        </w:trPr>
        <w:tc>
          <w:tcPr>
            <w:tcW w:w="1960" w:type="dxa"/>
            <w:tcBorders>
              <w:top w:val="nil"/>
              <w:left w:val="single" w:sz="8" w:space="0" w:color="auto"/>
              <w:bottom w:val="single" w:sz="8" w:space="0" w:color="auto"/>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Prob&gt;F</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0.000</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0.049</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0.259</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0.370</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w:t>
            </w:r>
          </w:p>
        </w:tc>
        <w:tc>
          <w:tcPr>
            <w:tcW w:w="1119"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0.044</w:t>
            </w:r>
          </w:p>
        </w:tc>
        <w:tc>
          <w:tcPr>
            <w:tcW w:w="1044"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0.224</w:t>
            </w:r>
          </w:p>
        </w:tc>
        <w:tc>
          <w:tcPr>
            <w:tcW w:w="1198" w:type="dxa"/>
            <w:tcBorders>
              <w:top w:val="nil"/>
              <w:left w:val="nil"/>
              <w:bottom w:val="single" w:sz="8" w:space="0" w:color="auto"/>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0.298</w:t>
            </w:r>
          </w:p>
        </w:tc>
      </w:tr>
      <w:tr w:rsidR="00EC2A52" w:rsidRPr="000F67B1" w:rsidTr="00EC2A52">
        <w:trPr>
          <w:trHeight w:val="300"/>
        </w:trPr>
        <w:tc>
          <w:tcPr>
            <w:tcW w:w="12041" w:type="dxa"/>
            <w:gridSpan w:val="10"/>
            <w:tcBorders>
              <w:top w:val="single" w:sz="8" w:space="0" w:color="auto"/>
              <w:left w:val="nil"/>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Robust standard errors in parentheses</w:t>
            </w:r>
          </w:p>
        </w:tc>
      </w:tr>
      <w:tr w:rsidR="00EC2A52" w:rsidRPr="000F67B1" w:rsidTr="00EC2A52">
        <w:trPr>
          <w:trHeight w:val="300"/>
        </w:trPr>
        <w:tc>
          <w:tcPr>
            <w:tcW w:w="12041" w:type="dxa"/>
            <w:gridSpan w:val="10"/>
            <w:tcBorders>
              <w:top w:val="nil"/>
              <w:left w:val="nil"/>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p&lt;0.01, ** p&lt;0.05, * p&lt;0.1</w:t>
            </w:r>
          </w:p>
        </w:tc>
      </w:tr>
    </w:tbl>
    <w:p w:rsidR="00EC2A52" w:rsidRDefault="00EC2A52" w:rsidP="00EC2A52">
      <w:pPr>
        <w:rPr>
          <w:b/>
          <w:sz w:val="20"/>
          <w:szCs w:val="20"/>
        </w:rPr>
      </w:pPr>
    </w:p>
    <w:p w:rsidR="00EC2A52" w:rsidRPr="00902DE3" w:rsidRDefault="00EC2A52" w:rsidP="00EC2A52">
      <w:pPr>
        <w:spacing w:before="120" w:after="120"/>
        <w:rPr>
          <w:i/>
          <w:sz w:val="20"/>
          <w:szCs w:val="20"/>
        </w:rPr>
      </w:pPr>
      <w:r w:rsidRPr="00902DE3">
        <w:rPr>
          <w:i/>
          <w:sz w:val="20"/>
          <w:szCs w:val="20"/>
          <w:vertAlign w:val="superscript"/>
        </w:rPr>
        <w:t xml:space="preserve">a </w:t>
      </w:r>
      <w:r w:rsidRPr="00902DE3">
        <w:rPr>
          <w:i/>
          <w:sz w:val="20"/>
          <w:szCs w:val="20"/>
        </w:rPr>
        <w:t>See variable definitions in Table A2 in Appendix</w:t>
      </w:r>
      <w:r>
        <w:rPr>
          <w:i/>
          <w:sz w:val="20"/>
          <w:szCs w:val="20"/>
        </w:rPr>
        <w:t xml:space="preserve"> A.</w:t>
      </w:r>
    </w:p>
    <w:p w:rsidR="00EC2A52" w:rsidRPr="009263A5" w:rsidRDefault="00EC2A52" w:rsidP="00EC2A52">
      <w:pPr>
        <w:rPr>
          <w:b/>
          <w:sz w:val="20"/>
          <w:szCs w:val="20"/>
        </w:rPr>
      </w:pPr>
    </w:p>
    <w:p w:rsidR="00EC2A52" w:rsidRPr="009263A5" w:rsidRDefault="00EC2A52" w:rsidP="00EC2A52">
      <w:pPr>
        <w:rPr>
          <w:b/>
          <w:sz w:val="20"/>
          <w:szCs w:val="20"/>
        </w:rPr>
      </w:pPr>
      <w:r w:rsidRPr="009263A5">
        <w:rPr>
          <w:b/>
          <w:sz w:val="20"/>
          <w:szCs w:val="20"/>
        </w:rPr>
        <w:br w:type="page"/>
      </w:r>
      <w:r w:rsidRPr="009263A5">
        <w:rPr>
          <w:b/>
          <w:i/>
          <w:sz w:val="20"/>
          <w:szCs w:val="20"/>
        </w:rPr>
        <w:lastRenderedPageBreak/>
        <w:t>Table C1</w:t>
      </w:r>
      <w:r>
        <w:rPr>
          <w:b/>
          <w:i/>
          <w:sz w:val="20"/>
          <w:szCs w:val="20"/>
        </w:rPr>
        <w:t>0</w:t>
      </w:r>
      <w:r w:rsidRPr="009263A5">
        <w:rPr>
          <w:b/>
          <w:i/>
          <w:sz w:val="20"/>
          <w:szCs w:val="20"/>
        </w:rPr>
        <w:t>: Method</w:t>
      </w:r>
      <w:r>
        <w:rPr>
          <w:b/>
          <w:i/>
          <w:sz w:val="20"/>
          <w:szCs w:val="20"/>
        </w:rPr>
        <w:t>-</w:t>
      </w:r>
      <w:r w:rsidRPr="009263A5">
        <w:rPr>
          <w:b/>
          <w:i/>
          <w:sz w:val="20"/>
          <w:szCs w:val="20"/>
        </w:rPr>
        <w:t>Specific Estimates: WLS with Huber White Corrected Standard Errors</w:t>
      </w:r>
      <w:r>
        <w:rPr>
          <w:b/>
          <w:i/>
          <w:sz w:val="20"/>
          <w:szCs w:val="20"/>
        </w:rPr>
        <w:t>,</w:t>
      </w:r>
      <w:r w:rsidRPr="009263A5">
        <w:rPr>
          <w:b/>
          <w:i/>
          <w:sz w:val="20"/>
          <w:szCs w:val="20"/>
        </w:rPr>
        <w:t xml:space="preserve"> </w:t>
      </w:r>
      <w:r w:rsidRPr="00E94616">
        <w:rPr>
          <w:b/>
          <w:i/>
          <w:sz w:val="20"/>
          <w:szCs w:val="20"/>
        </w:rPr>
        <w:t>Estimated</w:t>
      </w:r>
      <w:r w:rsidRPr="009263A5">
        <w:rPr>
          <w:b/>
          <w:sz w:val="20"/>
          <w:szCs w:val="20"/>
        </w:rPr>
        <w:t xml:space="preserve"> </w:t>
      </w:r>
      <w:r w:rsidRPr="009263A5">
        <w:rPr>
          <w:b/>
          <w:i/>
          <w:sz w:val="20"/>
          <w:szCs w:val="20"/>
        </w:rPr>
        <w:t>Using Data for Each Method Corresponding to All Temperature Increases, by Method</w:t>
      </w:r>
    </w:p>
    <w:tbl>
      <w:tblPr>
        <w:tblW w:w="12140" w:type="dxa"/>
        <w:tblInd w:w="93" w:type="dxa"/>
        <w:tblLook w:val="04A0"/>
      </w:tblPr>
      <w:tblGrid>
        <w:gridCol w:w="2060"/>
        <w:gridCol w:w="1120"/>
        <w:gridCol w:w="1252"/>
        <w:gridCol w:w="1120"/>
        <w:gridCol w:w="1120"/>
        <w:gridCol w:w="1120"/>
        <w:gridCol w:w="1120"/>
        <w:gridCol w:w="1042"/>
        <w:gridCol w:w="1120"/>
        <w:gridCol w:w="1384"/>
      </w:tblGrid>
      <w:tr w:rsidR="00EC2A52" w:rsidRPr="000F67B1" w:rsidTr="00EC2A52">
        <w:trPr>
          <w:trHeight w:val="255"/>
        </w:trPr>
        <w:tc>
          <w:tcPr>
            <w:tcW w:w="2060" w:type="dxa"/>
            <w:tcBorders>
              <w:top w:val="single" w:sz="8" w:space="0" w:color="auto"/>
              <w:left w:val="single" w:sz="8" w:space="0" w:color="auto"/>
              <w:bottom w:val="single" w:sz="4" w:space="0" w:color="auto"/>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Dataset</w:t>
            </w:r>
          </w:p>
        </w:tc>
        <w:tc>
          <w:tcPr>
            <w:tcW w:w="10080" w:type="dxa"/>
            <w:gridSpan w:val="9"/>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Damages for All Temp. Increases and Excludes Duplicates</w:t>
            </w:r>
          </w:p>
        </w:tc>
      </w:tr>
      <w:tr w:rsidR="00EC2A52" w:rsidRPr="000F67B1" w:rsidTr="00EC2A52">
        <w:trPr>
          <w:trHeight w:val="900"/>
        </w:trPr>
        <w:tc>
          <w:tcPr>
            <w:tcW w:w="2060" w:type="dxa"/>
            <w:tcBorders>
              <w:top w:val="nil"/>
              <w:left w:val="single" w:sz="8" w:space="0" w:color="auto"/>
              <w:bottom w:val="double" w:sz="6" w:space="0" w:color="auto"/>
              <w:right w:val="nil"/>
            </w:tcBorders>
            <w:shd w:val="clear" w:color="auto" w:fill="auto"/>
            <w:vAlign w:val="center"/>
            <w:hideMark/>
          </w:tcPr>
          <w:p w:rsidR="00EC2A52" w:rsidRPr="000F67B1" w:rsidRDefault="00EC2A52" w:rsidP="00EC2A52">
            <w:pPr>
              <w:rPr>
                <w:rFonts w:ascii="Calibri" w:hAnsi="Calibri"/>
                <w:color w:val="000000"/>
                <w:sz w:val="20"/>
                <w:szCs w:val="20"/>
              </w:rPr>
            </w:pPr>
            <w:r>
              <w:rPr>
                <w:rFonts w:ascii="Calibri" w:hAnsi="Calibri"/>
                <w:color w:val="000000"/>
                <w:sz w:val="20"/>
                <w:szCs w:val="20"/>
              </w:rPr>
              <w:t>Estimation Method</w:t>
            </w:r>
          </w:p>
        </w:tc>
        <w:tc>
          <w:tcPr>
            <w:tcW w:w="1120" w:type="dxa"/>
            <w:tcBorders>
              <w:top w:val="nil"/>
              <w:left w:val="single" w:sz="8" w:space="0" w:color="auto"/>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Original</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Enumerative</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CGE</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Statistical</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Statistical-Cross Section</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Statistical-Panel</w:t>
            </w:r>
          </w:p>
        </w:tc>
        <w:tc>
          <w:tcPr>
            <w:tcW w:w="1042"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Survey</w:t>
            </w:r>
          </w:p>
        </w:tc>
        <w:tc>
          <w:tcPr>
            <w:tcW w:w="1120" w:type="dxa"/>
            <w:tcBorders>
              <w:top w:val="nil"/>
              <w:left w:val="nil"/>
              <w:bottom w:val="double" w:sz="6" w:space="0" w:color="auto"/>
              <w:right w:val="single" w:sz="4"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Science</w:t>
            </w:r>
          </w:p>
        </w:tc>
        <w:tc>
          <w:tcPr>
            <w:tcW w:w="1198" w:type="dxa"/>
            <w:tcBorders>
              <w:top w:val="nil"/>
              <w:left w:val="nil"/>
              <w:bottom w:val="double" w:sz="6" w:space="0" w:color="auto"/>
              <w:right w:val="single" w:sz="8" w:space="0" w:color="auto"/>
            </w:tcBorders>
            <w:shd w:val="clear" w:color="auto" w:fill="auto"/>
            <w:vAlign w:val="center"/>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Compensating Surplus</w:t>
            </w:r>
          </w:p>
        </w:tc>
      </w:tr>
      <w:tr w:rsidR="00EC2A52" w:rsidRPr="000F67B1" w:rsidTr="00EC2A52">
        <w:trPr>
          <w:trHeight w:val="270"/>
        </w:trPr>
        <w:tc>
          <w:tcPr>
            <w:tcW w:w="2060" w:type="dxa"/>
            <w:tcBorders>
              <w:top w:val="nil"/>
              <w:left w:val="single" w:sz="8" w:space="0" w:color="auto"/>
              <w:bottom w:val="single" w:sz="4" w:space="0" w:color="auto"/>
              <w:right w:val="single" w:sz="8" w:space="0" w:color="auto"/>
            </w:tcBorders>
            <w:shd w:val="clear" w:color="auto" w:fill="auto"/>
            <w:vAlign w:val="center"/>
            <w:hideMark/>
          </w:tcPr>
          <w:p w:rsidR="00EC2A52" w:rsidRPr="000F67B1" w:rsidRDefault="00EC2A52" w:rsidP="00EC2A52">
            <w:pPr>
              <w:rPr>
                <w:rFonts w:ascii="Calibri" w:hAnsi="Calibri"/>
                <w:color w:val="000000"/>
                <w:sz w:val="20"/>
                <w:szCs w:val="20"/>
              </w:rPr>
            </w:pPr>
            <w:r>
              <w:rPr>
                <w:rFonts w:ascii="Calibri" w:hAnsi="Calibri"/>
                <w:color w:val="000000"/>
                <w:sz w:val="20"/>
                <w:szCs w:val="20"/>
              </w:rPr>
              <w:t>Specification</w:t>
            </w:r>
            <w:r w:rsidRPr="000F67B1">
              <w:rPr>
                <w:rFonts w:ascii="Calibri" w:hAnsi="Calibri"/>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(3)</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(4)</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(5)</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(6)</w:t>
            </w:r>
          </w:p>
        </w:tc>
        <w:tc>
          <w:tcPr>
            <w:tcW w:w="1042" w:type="dxa"/>
            <w:tcBorders>
              <w:top w:val="nil"/>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(8)</w:t>
            </w:r>
          </w:p>
        </w:tc>
        <w:tc>
          <w:tcPr>
            <w:tcW w:w="1198" w:type="dxa"/>
            <w:tcBorders>
              <w:top w:val="nil"/>
              <w:left w:val="nil"/>
              <w:bottom w:val="single" w:sz="4" w:space="0" w:color="auto"/>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(9)</w:t>
            </w:r>
          </w:p>
        </w:tc>
      </w:tr>
      <w:tr w:rsidR="00EC2A52" w:rsidRPr="000F67B1" w:rsidTr="00EC2A52">
        <w:trPr>
          <w:trHeight w:val="270"/>
        </w:trPr>
        <w:tc>
          <w:tcPr>
            <w:tcW w:w="2060" w:type="dxa"/>
            <w:tcBorders>
              <w:top w:val="nil"/>
              <w:left w:val="single" w:sz="8" w:space="0" w:color="auto"/>
              <w:bottom w:val="double" w:sz="6" w:space="0" w:color="auto"/>
              <w:right w:val="nil"/>
            </w:tcBorders>
            <w:shd w:val="clear" w:color="auto" w:fill="auto"/>
            <w:vAlign w:val="center"/>
            <w:hideMark/>
          </w:tcPr>
          <w:p w:rsidR="00EC2A52" w:rsidRPr="002D03A9" w:rsidRDefault="00EC2A52" w:rsidP="00EC2A52">
            <w:pPr>
              <w:rPr>
                <w:rFonts w:ascii="Calibri" w:hAnsi="Calibri"/>
                <w:color w:val="000000"/>
                <w:sz w:val="20"/>
                <w:szCs w:val="20"/>
                <w:vertAlign w:val="superscript"/>
              </w:rPr>
            </w:pPr>
            <w:r w:rsidRPr="000F67B1">
              <w:rPr>
                <w:rFonts w:ascii="Calibri" w:hAnsi="Calibri"/>
                <w:color w:val="000000"/>
                <w:sz w:val="20"/>
                <w:szCs w:val="20"/>
              </w:rPr>
              <w:t>VARIABLES</w:t>
            </w:r>
            <w:r>
              <w:rPr>
                <w:rFonts w:ascii="Calibri" w:hAnsi="Calibri"/>
                <w:color w:val="000000"/>
                <w:sz w:val="20"/>
                <w:szCs w:val="20"/>
                <w:vertAlign w:val="superscript"/>
              </w:rPr>
              <w:t>a</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042"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c>
          <w:tcPr>
            <w:tcW w:w="1198" w:type="dxa"/>
            <w:tcBorders>
              <w:top w:val="nil"/>
              <w:left w:val="nil"/>
              <w:bottom w:val="double" w:sz="6" w:space="0" w:color="auto"/>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D_new</w:t>
            </w:r>
          </w:p>
        </w:tc>
      </w:tr>
      <w:tr w:rsidR="00EC2A52" w:rsidRPr="000F67B1" w:rsidTr="00EC2A52">
        <w:trPr>
          <w:trHeight w:val="270"/>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0.318**</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0.212*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0.151**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0.234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0.234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0.672</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0.330*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0.677***</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0.849</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(0.102)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(0.0822)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(0.0159)</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(0.245)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(0.232)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(0.411)</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(0.151)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(0.0940)</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(0.429)</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mkt_t2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-0.345*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(0.156)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cat_t2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0.362***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0.637</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(0.103)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(0.321)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prod_t2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0.398</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0.439</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(0.237)</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(0.422)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Cross</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70"/>
        </w:trPr>
        <w:tc>
          <w:tcPr>
            <w:tcW w:w="2060" w:type="dxa"/>
            <w:tcBorders>
              <w:top w:val="nil"/>
              <w:left w:val="single" w:sz="8" w:space="0" w:color="auto"/>
              <w:bottom w:val="double" w:sz="6" w:space="0" w:color="auto"/>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(0.331)</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042"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c>
          <w:tcPr>
            <w:tcW w:w="1198" w:type="dxa"/>
            <w:tcBorders>
              <w:top w:val="nil"/>
              <w:left w:val="nil"/>
              <w:bottom w:val="double" w:sz="6" w:space="0" w:color="auto"/>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 </w:t>
            </w:r>
          </w:p>
        </w:tc>
      </w:tr>
      <w:tr w:rsidR="00EC2A52" w:rsidRPr="000F67B1" w:rsidTr="00EC2A52">
        <w:trPr>
          <w:trHeight w:val="270"/>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Observations</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4</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R2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0.869</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0.769</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0.954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0.596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0.0800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0.698</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0.545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0.938</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0.768</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Adjusted R-squared</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0.837</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0.653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0.930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0.434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-0.150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0.396</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0.431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0.917</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0.536</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Likelihood</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-72.41</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-13.00</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-2.313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-18.15</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-10.76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-7.094</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-13.24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-14.59</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-6.141</w:t>
            </w:r>
          </w:p>
        </w:tc>
      </w:tr>
      <w:tr w:rsidR="00EC2A52" w:rsidRPr="000F67B1" w:rsidTr="00EC2A52">
        <w:trPr>
          <w:trHeight w:val="255"/>
        </w:trPr>
        <w:tc>
          <w:tcPr>
            <w:tcW w:w="2060" w:type="dxa"/>
            <w:tcBorders>
              <w:top w:val="nil"/>
              <w:left w:val="single" w:sz="8" w:space="0" w:color="auto"/>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F-statistic</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776.2</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7.083</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90.16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2.364</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1.016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2.675</w:t>
            </w:r>
          </w:p>
        </w:tc>
        <w:tc>
          <w:tcPr>
            <w:tcW w:w="1042"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4.766</w:t>
            </w:r>
          </w:p>
        </w:tc>
        <w:tc>
          <w:tcPr>
            <w:tcW w:w="1120" w:type="dxa"/>
            <w:tcBorders>
              <w:top w:val="nil"/>
              <w:left w:val="nil"/>
              <w:bottom w:val="nil"/>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51.77</w:t>
            </w:r>
          </w:p>
        </w:tc>
        <w:tc>
          <w:tcPr>
            <w:tcW w:w="1198" w:type="dxa"/>
            <w:tcBorders>
              <w:top w:val="nil"/>
              <w:left w:val="nil"/>
              <w:bottom w:val="nil"/>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3.907</w:t>
            </w:r>
          </w:p>
        </w:tc>
      </w:tr>
      <w:tr w:rsidR="00EC2A52" w:rsidRPr="000F67B1" w:rsidTr="00EC2A52">
        <w:trPr>
          <w:trHeight w:val="270"/>
        </w:trPr>
        <w:tc>
          <w:tcPr>
            <w:tcW w:w="2060" w:type="dxa"/>
            <w:tcBorders>
              <w:top w:val="nil"/>
              <w:left w:val="single" w:sz="8" w:space="0" w:color="auto"/>
              <w:bottom w:val="single" w:sz="8" w:space="0" w:color="auto"/>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Prob&gt;F</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0.000</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0.049</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0.011</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0.189</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0.370</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0.349</w:t>
            </w:r>
          </w:p>
        </w:tc>
        <w:tc>
          <w:tcPr>
            <w:tcW w:w="1042"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0.094</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0.006</w:t>
            </w:r>
          </w:p>
        </w:tc>
        <w:tc>
          <w:tcPr>
            <w:tcW w:w="1198" w:type="dxa"/>
            <w:tcBorders>
              <w:top w:val="nil"/>
              <w:left w:val="nil"/>
              <w:bottom w:val="single" w:sz="8" w:space="0" w:color="auto"/>
              <w:right w:val="single" w:sz="8" w:space="0" w:color="auto"/>
            </w:tcBorders>
            <w:shd w:val="clear" w:color="auto" w:fill="auto"/>
            <w:noWrap/>
            <w:vAlign w:val="bottom"/>
            <w:hideMark/>
          </w:tcPr>
          <w:p w:rsidR="00EC2A52" w:rsidRPr="000F67B1" w:rsidRDefault="00EC2A52" w:rsidP="00EC2A52">
            <w:pPr>
              <w:jc w:val="center"/>
              <w:rPr>
                <w:rFonts w:ascii="Calibri" w:hAnsi="Calibri"/>
                <w:color w:val="000000"/>
                <w:sz w:val="20"/>
                <w:szCs w:val="20"/>
              </w:rPr>
            </w:pPr>
            <w:r w:rsidRPr="000F67B1">
              <w:rPr>
                <w:rFonts w:ascii="Calibri" w:hAnsi="Calibri"/>
                <w:color w:val="000000"/>
                <w:sz w:val="20"/>
                <w:szCs w:val="20"/>
              </w:rPr>
              <w:t>0.298</w:t>
            </w:r>
          </w:p>
        </w:tc>
      </w:tr>
      <w:tr w:rsidR="00EC2A52" w:rsidRPr="000F67B1" w:rsidTr="00EC2A52">
        <w:trPr>
          <w:trHeight w:val="300"/>
        </w:trPr>
        <w:tc>
          <w:tcPr>
            <w:tcW w:w="12140" w:type="dxa"/>
            <w:gridSpan w:val="10"/>
            <w:tcBorders>
              <w:top w:val="single" w:sz="8" w:space="0" w:color="auto"/>
              <w:left w:val="nil"/>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Robust standard errors in parentheses</w:t>
            </w:r>
          </w:p>
        </w:tc>
      </w:tr>
      <w:tr w:rsidR="00EC2A52" w:rsidRPr="000F67B1" w:rsidTr="00EC2A52">
        <w:trPr>
          <w:trHeight w:val="300"/>
        </w:trPr>
        <w:tc>
          <w:tcPr>
            <w:tcW w:w="12140" w:type="dxa"/>
            <w:gridSpan w:val="10"/>
            <w:tcBorders>
              <w:top w:val="nil"/>
              <w:left w:val="nil"/>
              <w:bottom w:val="nil"/>
              <w:right w:val="nil"/>
            </w:tcBorders>
            <w:shd w:val="clear" w:color="auto" w:fill="auto"/>
            <w:noWrap/>
            <w:vAlign w:val="bottom"/>
            <w:hideMark/>
          </w:tcPr>
          <w:p w:rsidR="00EC2A52" w:rsidRPr="000F67B1" w:rsidRDefault="00EC2A52" w:rsidP="00EC2A52">
            <w:pPr>
              <w:rPr>
                <w:rFonts w:ascii="Calibri" w:hAnsi="Calibri"/>
                <w:color w:val="000000"/>
                <w:sz w:val="20"/>
                <w:szCs w:val="20"/>
              </w:rPr>
            </w:pPr>
            <w:r w:rsidRPr="000F67B1">
              <w:rPr>
                <w:rFonts w:ascii="Calibri" w:hAnsi="Calibri"/>
                <w:color w:val="000000"/>
                <w:sz w:val="20"/>
                <w:szCs w:val="20"/>
              </w:rPr>
              <w:t>*** p&lt;0.01, ** p&lt;0.05, * p&lt;0.1</w:t>
            </w:r>
          </w:p>
        </w:tc>
      </w:tr>
    </w:tbl>
    <w:p w:rsidR="00EC2A52" w:rsidRPr="009263A5" w:rsidRDefault="00EC2A52" w:rsidP="00EC2A52">
      <w:pPr>
        <w:rPr>
          <w:b/>
          <w:sz w:val="20"/>
          <w:szCs w:val="20"/>
        </w:rPr>
      </w:pPr>
    </w:p>
    <w:p w:rsidR="00EC2A52" w:rsidRPr="00902DE3" w:rsidRDefault="00EC2A52" w:rsidP="00EC2A52">
      <w:pPr>
        <w:spacing w:before="120" w:after="120"/>
        <w:rPr>
          <w:i/>
          <w:sz w:val="20"/>
          <w:szCs w:val="20"/>
        </w:rPr>
      </w:pPr>
      <w:r w:rsidRPr="00902DE3">
        <w:rPr>
          <w:i/>
          <w:sz w:val="20"/>
          <w:szCs w:val="20"/>
          <w:vertAlign w:val="superscript"/>
        </w:rPr>
        <w:t xml:space="preserve">a </w:t>
      </w:r>
      <w:r w:rsidRPr="00902DE3">
        <w:rPr>
          <w:i/>
          <w:sz w:val="20"/>
          <w:szCs w:val="20"/>
        </w:rPr>
        <w:t>See variable definitions in Table A2 in Appendix</w:t>
      </w:r>
      <w:r>
        <w:rPr>
          <w:i/>
          <w:sz w:val="20"/>
          <w:szCs w:val="20"/>
        </w:rPr>
        <w:t xml:space="preserve"> A.</w:t>
      </w:r>
    </w:p>
    <w:p w:rsidR="00EC2A52" w:rsidRPr="009263A5" w:rsidRDefault="00EC2A52" w:rsidP="00EC2A52">
      <w:pPr>
        <w:rPr>
          <w:b/>
          <w:sz w:val="20"/>
          <w:szCs w:val="20"/>
        </w:rPr>
      </w:pPr>
      <w:r w:rsidRPr="009263A5">
        <w:rPr>
          <w:b/>
          <w:sz w:val="20"/>
          <w:szCs w:val="20"/>
        </w:rPr>
        <w:br w:type="page"/>
      </w:r>
    </w:p>
    <w:p w:rsidR="00EC2A52" w:rsidRDefault="00EC2A52" w:rsidP="00EC2A52">
      <w:pPr>
        <w:rPr>
          <w:b/>
          <w:i/>
          <w:sz w:val="20"/>
          <w:szCs w:val="20"/>
        </w:rPr>
      </w:pPr>
      <w:r w:rsidRPr="009263A5">
        <w:rPr>
          <w:b/>
          <w:i/>
          <w:sz w:val="20"/>
          <w:szCs w:val="20"/>
        </w:rPr>
        <w:lastRenderedPageBreak/>
        <w:t>Table C1</w:t>
      </w:r>
      <w:r>
        <w:rPr>
          <w:b/>
          <w:i/>
          <w:sz w:val="20"/>
          <w:szCs w:val="20"/>
        </w:rPr>
        <w:t>1</w:t>
      </w:r>
      <w:r w:rsidRPr="009263A5">
        <w:rPr>
          <w:b/>
          <w:i/>
          <w:sz w:val="20"/>
          <w:szCs w:val="20"/>
        </w:rPr>
        <w:t>: WLS Using Cluster</w:t>
      </w:r>
      <w:r>
        <w:rPr>
          <w:rStyle w:val="CommentReference"/>
        </w:rPr>
        <w:t>-</w:t>
      </w:r>
      <w:r>
        <w:rPr>
          <w:b/>
          <w:i/>
          <w:sz w:val="20"/>
          <w:szCs w:val="20"/>
        </w:rPr>
        <w:t>Ro</w:t>
      </w:r>
      <w:r w:rsidRPr="009263A5">
        <w:rPr>
          <w:b/>
          <w:i/>
          <w:sz w:val="20"/>
          <w:szCs w:val="20"/>
        </w:rPr>
        <w:t>bust Standard Errors at the Model Level</w:t>
      </w:r>
      <w:r>
        <w:rPr>
          <w:b/>
          <w:i/>
          <w:sz w:val="20"/>
          <w:szCs w:val="20"/>
        </w:rPr>
        <w:t>,</w:t>
      </w:r>
      <w:r w:rsidRPr="009263A5">
        <w:rPr>
          <w:b/>
          <w:i/>
          <w:sz w:val="20"/>
          <w:szCs w:val="20"/>
        </w:rPr>
        <w:t xml:space="preserve"> Estimated Using Low</w:t>
      </w:r>
      <w:r>
        <w:rPr>
          <w:b/>
          <w:i/>
          <w:sz w:val="20"/>
          <w:szCs w:val="20"/>
        </w:rPr>
        <w:t>-</w:t>
      </w:r>
      <w:r w:rsidRPr="009263A5">
        <w:rPr>
          <w:b/>
          <w:i/>
          <w:sz w:val="20"/>
          <w:szCs w:val="20"/>
        </w:rPr>
        <w:t>Temperature Increase Data and Dropping Data Corresponding to Each Data Method, by Method Dropped</w:t>
      </w:r>
    </w:p>
    <w:tbl>
      <w:tblPr>
        <w:tblW w:w="10860" w:type="dxa"/>
        <w:tblInd w:w="93" w:type="dxa"/>
        <w:tblLook w:val="04A0"/>
      </w:tblPr>
      <w:tblGrid>
        <w:gridCol w:w="1900"/>
        <w:gridCol w:w="1120"/>
        <w:gridCol w:w="1252"/>
        <w:gridCol w:w="1120"/>
        <w:gridCol w:w="1120"/>
        <w:gridCol w:w="1120"/>
        <w:gridCol w:w="1120"/>
        <w:gridCol w:w="1120"/>
        <w:gridCol w:w="1120"/>
      </w:tblGrid>
      <w:tr w:rsidR="00EC2A52" w:rsidRPr="00D679FD" w:rsidTr="00EC2A52">
        <w:trPr>
          <w:trHeight w:val="255"/>
        </w:trPr>
        <w:tc>
          <w:tcPr>
            <w:tcW w:w="1900" w:type="dxa"/>
            <w:tcBorders>
              <w:top w:val="single" w:sz="8" w:space="0" w:color="auto"/>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Dataset</w:t>
            </w:r>
          </w:p>
        </w:tc>
        <w:tc>
          <w:tcPr>
            <w:tcW w:w="89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xml:space="preserve"> Damages for Temp. Increases≤4 °C and Excludes Duplicates</w:t>
            </w:r>
          </w:p>
        </w:tc>
      </w:tr>
      <w:tr w:rsidR="00EC2A52" w:rsidRPr="00D679FD" w:rsidTr="00EC2A52">
        <w:trPr>
          <w:trHeight w:val="780"/>
        </w:trPr>
        <w:tc>
          <w:tcPr>
            <w:tcW w:w="1900" w:type="dxa"/>
            <w:tcBorders>
              <w:top w:val="single" w:sz="4" w:space="0" w:color="auto"/>
              <w:left w:val="single" w:sz="8" w:space="0" w:color="auto"/>
              <w:bottom w:val="double" w:sz="6" w:space="0" w:color="auto"/>
              <w:right w:val="single" w:sz="4" w:space="0" w:color="auto"/>
            </w:tcBorders>
            <w:shd w:val="clear" w:color="auto" w:fill="auto"/>
            <w:vAlign w:val="center"/>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Drop</w:t>
            </w:r>
            <w:r>
              <w:rPr>
                <w:rFonts w:ascii="Calibri" w:hAnsi="Calibri"/>
                <w:color w:val="000000"/>
                <w:sz w:val="20"/>
                <w:szCs w:val="20"/>
              </w:rPr>
              <w:t>ped</w:t>
            </w:r>
            <w:r w:rsidRPr="00D679FD">
              <w:rPr>
                <w:rFonts w:ascii="Calibri" w:hAnsi="Calibri"/>
                <w:color w:val="000000"/>
                <w:sz w:val="20"/>
                <w:szCs w:val="20"/>
              </w:rPr>
              <w:t xml:space="preserve"> Estimation Method</w:t>
            </w:r>
          </w:p>
        </w:tc>
        <w:tc>
          <w:tcPr>
            <w:tcW w:w="1120" w:type="dxa"/>
            <w:tcBorders>
              <w:top w:val="single" w:sz="4" w:space="0" w:color="auto"/>
              <w:left w:val="single" w:sz="8" w:space="0" w:color="auto"/>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Original</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Enumerative</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CGE</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Statistical</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Statistical-Cross Section</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Statistical-Panel</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Survey</w:t>
            </w:r>
          </w:p>
        </w:tc>
        <w:tc>
          <w:tcPr>
            <w:tcW w:w="1120" w:type="dxa"/>
            <w:tcBorders>
              <w:top w:val="single" w:sz="4" w:space="0" w:color="auto"/>
              <w:left w:val="nil"/>
              <w:bottom w:val="double" w:sz="6" w:space="0" w:color="auto"/>
              <w:right w:val="single" w:sz="8"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Science</w:t>
            </w:r>
          </w:p>
        </w:tc>
      </w:tr>
      <w:tr w:rsidR="00EC2A52" w:rsidRPr="00D679FD" w:rsidTr="00EC2A52">
        <w:trPr>
          <w:trHeight w:val="270"/>
        </w:trPr>
        <w:tc>
          <w:tcPr>
            <w:tcW w:w="1900" w:type="dxa"/>
            <w:tcBorders>
              <w:top w:val="double" w:sz="6" w:space="0" w:color="auto"/>
              <w:left w:val="single" w:sz="8" w:space="0" w:color="auto"/>
              <w:bottom w:val="single" w:sz="4" w:space="0" w:color="auto"/>
              <w:right w:val="single" w:sz="8" w:space="0" w:color="auto"/>
            </w:tcBorders>
            <w:shd w:val="clear" w:color="auto" w:fill="auto"/>
            <w:noWrap/>
            <w:vAlign w:val="center"/>
            <w:hideMark/>
          </w:tcPr>
          <w:p w:rsidR="00EC2A52" w:rsidRPr="00D679FD" w:rsidRDefault="00EC2A52" w:rsidP="00EC2A52">
            <w:pPr>
              <w:rPr>
                <w:rFonts w:ascii="Calibri" w:hAnsi="Calibri"/>
                <w:color w:val="000000"/>
                <w:sz w:val="20"/>
                <w:szCs w:val="20"/>
              </w:rPr>
            </w:pPr>
            <w:r>
              <w:rPr>
                <w:rFonts w:ascii="Calibri" w:hAnsi="Calibri"/>
                <w:color w:val="000000"/>
                <w:sz w:val="20"/>
                <w:szCs w:val="20"/>
              </w:rPr>
              <w:t>Specification</w:t>
            </w:r>
            <w:r w:rsidRPr="00D679FD">
              <w:rPr>
                <w:rFonts w:ascii="Calibri" w:hAnsi="Calibri"/>
                <w:color w:val="000000"/>
                <w:sz w:val="20"/>
                <w:szCs w:val="20"/>
              </w:rPr>
              <w:t> </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(3)</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(4)</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(5)</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(6)</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(7)</w:t>
            </w:r>
          </w:p>
        </w:tc>
        <w:tc>
          <w:tcPr>
            <w:tcW w:w="1120" w:type="dxa"/>
            <w:tcBorders>
              <w:top w:val="double" w:sz="6" w:space="0" w:color="auto"/>
              <w:left w:val="nil"/>
              <w:bottom w:val="single" w:sz="4" w:space="0" w:color="auto"/>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(8)</w:t>
            </w:r>
          </w:p>
        </w:tc>
      </w:tr>
      <w:tr w:rsidR="00EC2A52" w:rsidRPr="00D679FD" w:rsidTr="00EC2A52">
        <w:trPr>
          <w:trHeight w:val="270"/>
        </w:trPr>
        <w:tc>
          <w:tcPr>
            <w:tcW w:w="1900" w:type="dxa"/>
            <w:tcBorders>
              <w:top w:val="nil"/>
              <w:left w:val="single" w:sz="8" w:space="0" w:color="auto"/>
              <w:bottom w:val="double" w:sz="6" w:space="0" w:color="auto"/>
              <w:right w:val="single" w:sz="8" w:space="0" w:color="auto"/>
            </w:tcBorders>
            <w:shd w:val="clear" w:color="auto" w:fill="auto"/>
            <w:noWrap/>
            <w:vAlign w:val="center"/>
            <w:hideMark/>
          </w:tcPr>
          <w:p w:rsidR="00EC2A52" w:rsidRPr="002D03A9" w:rsidRDefault="00EC2A52" w:rsidP="00EC2A52">
            <w:pPr>
              <w:rPr>
                <w:rFonts w:ascii="Calibri" w:hAnsi="Calibri"/>
                <w:color w:val="000000"/>
                <w:sz w:val="20"/>
                <w:szCs w:val="20"/>
                <w:vertAlign w:val="superscript"/>
              </w:rPr>
            </w:pPr>
            <w:r w:rsidRPr="00D679FD">
              <w:rPr>
                <w:rFonts w:ascii="Calibri" w:hAnsi="Calibri"/>
                <w:color w:val="000000"/>
                <w:sz w:val="20"/>
                <w:szCs w:val="20"/>
              </w:rPr>
              <w:t>VARIABLES</w:t>
            </w:r>
            <w:r>
              <w:rPr>
                <w:rFonts w:ascii="Calibri" w:hAnsi="Calibri"/>
                <w:color w:val="000000"/>
                <w:sz w:val="20"/>
                <w:szCs w:val="20"/>
                <w:vertAlign w:val="superscript"/>
              </w:rPr>
              <w:t>a</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r>
      <w:tr w:rsidR="00EC2A52" w:rsidRPr="00D679FD" w:rsidTr="00EC2A52">
        <w:trPr>
          <w:trHeight w:val="270"/>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0.770**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0.212***</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0.595**</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(0.190)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(0.231)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(0.196)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(0.192)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(0.192)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(0.00991)</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(0.193)</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mkt_t2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-0.622**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-0.797**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-0.622**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-0.622**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-0.239</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-0.622**</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(0.226)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(0.231)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(0.196)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(0.192)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(0.228)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(0.129)</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(0.229)</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cat_t2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Pr>
                <w:rFonts w:ascii="Calibri" w:hAnsi="Calibri"/>
                <w:color w:val="000000"/>
                <w:sz w:val="20"/>
                <w:szCs w:val="20"/>
              </w:rPr>
              <w:t>0.091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0.643***</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0.254</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(0.231)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(0.273)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(0.275)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(0.269)</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(0.269)</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(0.155)</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(0.392)</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prod_t2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0.113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0.113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Pr>
                <w:rFonts w:ascii="Calibri" w:hAnsi="Calibri"/>
                <w:color w:val="000000"/>
                <w:sz w:val="20"/>
                <w:szCs w:val="20"/>
              </w:rPr>
              <w:t>0.047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0.141***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Pr>
                <w:rFonts w:ascii="Calibri" w:hAnsi="Calibri"/>
                <w:color w:val="000000"/>
                <w:sz w:val="20"/>
                <w:szCs w:val="20"/>
              </w:rPr>
              <w:t>0.087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0.167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0.113</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0.113</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(0.135)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(0.0501)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(0.132)</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(0.127)</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Cross</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r>
      <w:tr w:rsidR="00EC2A52" w:rsidRPr="00D679FD" w:rsidTr="00EC2A52">
        <w:trPr>
          <w:trHeight w:val="270"/>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(0.369)</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(0.350)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(0.360)</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(0.348)</w:t>
            </w:r>
          </w:p>
        </w:tc>
      </w:tr>
      <w:tr w:rsidR="00EC2A52" w:rsidRPr="00D679FD" w:rsidTr="00EC2A52">
        <w:trPr>
          <w:trHeight w:val="270"/>
        </w:trPr>
        <w:tc>
          <w:tcPr>
            <w:tcW w:w="1900" w:type="dxa"/>
            <w:tcBorders>
              <w:top w:val="double" w:sz="6" w:space="0" w:color="auto"/>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Observations</w:t>
            </w:r>
          </w:p>
        </w:tc>
        <w:tc>
          <w:tcPr>
            <w:tcW w:w="11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21</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15</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19</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15</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16</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20</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w:t>
            </w:r>
          </w:p>
        </w:tc>
        <w:tc>
          <w:tcPr>
            <w:tcW w:w="1120" w:type="dxa"/>
            <w:tcBorders>
              <w:top w:val="double" w:sz="6" w:space="0" w:color="auto"/>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19</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R2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0.722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0.757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0.724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0.781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0.778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0.725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0.730</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0.668</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Adjusted R-squared</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0.635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0.636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0.625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0.702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0.704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0.633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0.617</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0.549</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Likelihood</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-44.36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-29.83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-40.66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-33.16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-35.14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-42.39</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-34.44</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-39.56</w:t>
            </w:r>
          </w:p>
        </w:tc>
      </w:tr>
      <w:tr w:rsidR="00EC2A52" w:rsidRPr="00D679FD" w:rsidTr="00EC2A52">
        <w:trPr>
          <w:trHeight w:val="255"/>
        </w:trPr>
        <w:tc>
          <w:tcPr>
            <w:tcW w:w="19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F-statistic</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21.95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138.2</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16.01</w:t>
            </w:r>
          </w:p>
        </w:tc>
      </w:tr>
      <w:tr w:rsidR="00EC2A52" w:rsidRPr="00D679FD" w:rsidTr="00EC2A52">
        <w:trPr>
          <w:trHeight w:val="270"/>
        </w:trPr>
        <w:tc>
          <w:tcPr>
            <w:tcW w:w="1900" w:type="dxa"/>
            <w:tcBorders>
              <w:top w:val="nil"/>
              <w:left w:val="single" w:sz="8" w:space="0" w:color="auto"/>
              <w:bottom w:val="single" w:sz="8" w:space="0" w:color="auto"/>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Prob&gt;F</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0.000</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0.000</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0.001</w:t>
            </w:r>
          </w:p>
        </w:tc>
      </w:tr>
      <w:tr w:rsidR="00EC2A52" w:rsidRPr="00D679FD" w:rsidTr="00EC2A52">
        <w:trPr>
          <w:trHeight w:val="300"/>
        </w:trPr>
        <w:tc>
          <w:tcPr>
            <w:tcW w:w="10860" w:type="dxa"/>
            <w:gridSpan w:val="9"/>
            <w:tcBorders>
              <w:top w:val="single" w:sz="8" w:space="0" w:color="auto"/>
              <w:left w:val="nil"/>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Robust standard errors in parentheses</w:t>
            </w:r>
          </w:p>
        </w:tc>
      </w:tr>
      <w:tr w:rsidR="00EC2A52" w:rsidRPr="00D679FD" w:rsidTr="00EC2A52">
        <w:trPr>
          <w:trHeight w:val="300"/>
        </w:trPr>
        <w:tc>
          <w:tcPr>
            <w:tcW w:w="10860" w:type="dxa"/>
            <w:gridSpan w:val="9"/>
            <w:tcBorders>
              <w:top w:val="nil"/>
              <w:left w:val="nil"/>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p&lt;0.01, ** p&lt;0.05, * p&lt;0.1</w:t>
            </w:r>
          </w:p>
        </w:tc>
      </w:tr>
    </w:tbl>
    <w:p w:rsidR="00EC2A52" w:rsidRPr="009263A5" w:rsidRDefault="00EC2A52" w:rsidP="00EC2A52">
      <w:pPr>
        <w:rPr>
          <w:b/>
          <w:sz w:val="20"/>
          <w:szCs w:val="20"/>
        </w:rPr>
      </w:pPr>
    </w:p>
    <w:p w:rsidR="00EC2A52" w:rsidRPr="00902DE3" w:rsidRDefault="00EC2A52" w:rsidP="00EC2A52">
      <w:pPr>
        <w:spacing w:before="120" w:after="120"/>
        <w:rPr>
          <w:i/>
          <w:sz w:val="20"/>
          <w:szCs w:val="20"/>
        </w:rPr>
      </w:pPr>
      <w:r w:rsidRPr="00902DE3">
        <w:rPr>
          <w:i/>
          <w:sz w:val="20"/>
          <w:szCs w:val="20"/>
          <w:vertAlign w:val="superscript"/>
        </w:rPr>
        <w:t xml:space="preserve">a </w:t>
      </w:r>
      <w:r w:rsidRPr="00902DE3">
        <w:rPr>
          <w:i/>
          <w:sz w:val="20"/>
          <w:szCs w:val="20"/>
        </w:rPr>
        <w:t>See variable definitions in Table A2 in Appendix</w:t>
      </w:r>
      <w:r>
        <w:rPr>
          <w:i/>
          <w:sz w:val="20"/>
          <w:szCs w:val="20"/>
        </w:rPr>
        <w:t xml:space="preserve"> A.</w:t>
      </w:r>
    </w:p>
    <w:p w:rsidR="00EC2A52" w:rsidRPr="009263A5" w:rsidRDefault="00EC2A52" w:rsidP="00EC2A52">
      <w:pPr>
        <w:rPr>
          <w:b/>
          <w:sz w:val="20"/>
          <w:szCs w:val="20"/>
        </w:rPr>
      </w:pPr>
    </w:p>
    <w:p w:rsidR="00EC2A52" w:rsidRPr="009263A5" w:rsidRDefault="00EC2A52" w:rsidP="00EC2A52">
      <w:pPr>
        <w:rPr>
          <w:b/>
          <w:sz w:val="20"/>
          <w:szCs w:val="20"/>
        </w:rPr>
      </w:pPr>
      <w:r w:rsidRPr="009263A5">
        <w:rPr>
          <w:b/>
          <w:sz w:val="20"/>
          <w:szCs w:val="20"/>
        </w:rPr>
        <w:br w:type="page"/>
      </w:r>
    </w:p>
    <w:p w:rsidR="00EC2A52" w:rsidRDefault="00EC2A52" w:rsidP="00EC2A52">
      <w:pPr>
        <w:rPr>
          <w:b/>
          <w:i/>
          <w:sz w:val="20"/>
          <w:szCs w:val="20"/>
        </w:rPr>
      </w:pPr>
      <w:r w:rsidRPr="009263A5">
        <w:rPr>
          <w:b/>
          <w:i/>
          <w:sz w:val="20"/>
          <w:szCs w:val="20"/>
        </w:rPr>
        <w:lastRenderedPageBreak/>
        <w:t>C1</w:t>
      </w:r>
      <w:r>
        <w:rPr>
          <w:b/>
          <w:i/>
          <w:sz w:val="20"/>
          <w:szCs w:val="20"/>
        </w:rPr>
        <w:t>2</w:t>
      </w:r>
      <w:r w:rsidRPr="009263A5">
        <w:rPr>
          <w:b/>
          <w:i/>
          <w:sz w:val="20"/>
          <w:szCs w:val="20"/>
        </w:rPr>
        <w:t>: WLS Using Cluster</w:t>
      </w:r>
      <w:r>
        <w:rPr>
          <w:b/>
          <w:i/>
          <w:sz w:val="20"/>
          <w:szCs w:val="20"/>
        </w:rPr>
        <w:t>-</w:t>
      </w:r>
      <w:r w:rsidRPr="009263A5">
        <w:rPr>
          <w:b/>
          <w:i/>
          <w:sz w:val="20"/>
          <w:szCs w:val="20"/>
        </w:rPr>
        <w:t>Robust Standard Errors at the Model Level</w:t>
      </w:r>
      <w:r>
        <w:rPr>
          <w:b/>
          <w:i/>
          <w:sz w:val="20"/>
          <w:szCs w:val="20"/>
        </w:rPr>
        <w:t>,</w:t>
      </w:r>
      <w:r w:rsidRPr="009263A5">
        <w:rPr>
          <w:b/>
          <w:i/>
          <w:sz w:val="20"/>
          <w:szCs w:val="20"/>
        </w:rPr>
        <w:t xml:space="preserve"> Estimated Using All Temperature Increase Data and Dropping Data Corresponding to Each Data Method, by Method Dropped</w:t>
      </w:r>
    </w:p>
    <w:tbl>
      <w:tblPr>
        <w:tblW w:w="10760" w:type="dxa"/>
        <w:tblInd w:w="93" w:type="dxa"/>
        <w:tblLook w:val="04A0"/>
      </w:tblPr>
      <w:tblGrid>
        <w:gridCol w:w="1800"/>
        <w:gridCol w:w="1120"/>
        <w:gridCol w:w="1252"/>
        <w:gridCol w:w="1120"/>
        <w:gridCol w:w="1120"/>
        <w:gridCol w:w="1120"/>
        <w:gridCol w:w="1120"/>
        <w:gridCol w:w="1120"/>
        <w:gridCol w:w="1120"/>
      </w:tblGrid>
      <w:tr w:rsidR="00EC2A52" w:rsidRPr="00D679FD" w:rsidTr="00EC2A52">
        <w:trPr>
          <w:trHeight w:val="255"/>
        </w:trPr>
        <w:tc>
          <w:tcPr>
            <w:tcW w:w="1800" w:type="dxa"/>
            <w:tcBorders>
              <w:top w:val="single" w:sz="8" w:space="0" w:color="auto"/>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Dataset</w:t>
            </w:r>
          </w:p>
        </w:tc>
        <w:tc>
          <w:tcPr>
            <w:tcW w:w="89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Damages for All Temp. Increases and Excludes Duplicates</w:t>
            </w:r>
          </w:p>
        </w:tc>
      </w:tr>
      <w:tr w:rsidR="00EC2A52" w:rsidRPr="00D679FD" w:rsidTr="00EC2A52">
        <w:trPr>
          <w:trHeight w:val="900"/>
        </w:trPr>
        <w:tc>
          <w:tcPr>
            <w:tcW w:w="1800" w:type="dxa"/>
            <w:tcBorders>
              <w:top w:val="single" w:sz="4" w:space="0" w:color="auto"/>
              <w:left w:val="single" w:sz="8" w:space="0" w:color="auto"/>
              <w:bottom w:val="double" w:sz="6" w:space="0" w:color="auto"/>
              <w:right w:val="nil"/>
            </w:tcBorders>
            <w:shd w:val="clear" w:color="auto" w:fill="auto"/>
            <w:vAlign w:val="center"/>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Drop</w:t>
            </w:r>
            <w:r>
              <w:rPr>
                <w:rFonts w:ascii="Calibri" w:hAnsi="Calibri"/>
                <w:color w:val="000000"/>
                <w:sz w:val="20"/>
                <w:szCs w:val="20"/>
              </w:rPr>
              <w:t>ped</w:t>
            </w:r>
            <w:r w:rsidRPr="00D679FD">
              <w:rPr>
                <w:rFonts w:ascii="Calibri" w:hAnsi="Calibri"/>
                <w:color w:val="000000"/>
                <w:sz w:val="20"/>
                <w:szCs w:val="20"/>
              </w:rPr>
              <w:t xml:space="preserve"> Estimation Method</w:t>
            </w:r>
          </w:p>
        </w:tc>
        <w:tc>
          <w:tcPr>
            <w:tcW w:w="1120" w:type="dxa"/>
            <w:tcBorders>
              <w:top w:val="single" w:sz="4" w:space="0" w:color="auto"/>
              <w:left w:val="single" w:sz="8" w:space="0" w:color="auto"/>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Original</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Enumerative</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CGE</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Statistical</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Statistical-Cross Section</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Statistical-Panel</w:t>
            </w:r>
          </w:p>
        </w:tc>
        <w:tc>
          <w:tcPr>
            <w:tcW w:w="1120" w:type="dxa"/>
            <w:tcBorders>
              <w:top w:val="single" w:sz="4" w:space="0" w:color="auto"/>
              <w:left w:val="nil"/>
              <w:bottom w:val="double" w:sz="6" w:space="0" w:color="auto"/>
              <w:right w:val="single" w:sz="4"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Survey</w:t>
            </w:r>
          </w:p>
        </w:tc>
        <w:tc>
          <w:tcPr>
            <w:tcW w:w="1120" w:type="dxa"/>
            <w:tcBorders>
              <w:top w:val="single" w:sz="4" w:space="0" w:color="auto"/>
              <w:left w:val="nil"/>
              <w:bottom w:val="double" w:sz="6" w:space="0" w:color="auto"/>
              <w:right w:val="single" w:sz="8" w:space="0" w:color="auto"/>
            </w:tcBorders>
            <w:shd w:val="clear" w:color="auto" w:fill="auto"/>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Science</w:t>
            </w:r>
          </w:p>
        </w:tc>
      </w:tr>
      <w:tr w:rsidR="00EC2A52" w:rsidRPr="00D679FD" w:rsidTr="00EC2A52">
        <w:trPr>
          <w:trHeight w:val="270"/>
        </w:trPr>
        <w:tc>
          <w:tcPr>
            <w:tcW w:w="1800" w:type="dxa"/>
            <w:tcBorders>
              <w:top w:val="double" w:sz="6" w:space="0" w:color="auto"/>
              <w:left w:val="single" w:sz="8" w:space="0" w:color="auto"/>
              <w:bottom w:val="single" w:sz="4" w:space="0" w:color="auto"/>
              <w:right w:val="single" w:sz="8" w:space="0" w:color="auto"/>
            </w:tcBorders>
            <w:shd w:val="clear" w:color="auto" w:fill="auto"/>
            <w:noWrap/>
            <w:vAlign w:val="center"/>
            <w:hideMark/>
          </w:tcPr>
          <w:p w:rsidR="00EC2A52" w:rsidRPr="00D679FD" w:rsidRDefault="00EC2A52" w:rsidP="00EC2A52">
            <w:pPr>
              <w:rPr>
                <w:rFonts w:ascii="Calibri" w:hAnsi="Calibri"/>
                <w:color w:val="000000"/>
                <w:sz w:val="20"/>
                <w:szCs w:val="20"/>
              </w:rPr>
            </w:pPr>
            <w:r>
              <w:rPr>
                <w:rFonts w:ascii="Calibri" w:hAnsi="Calibri"/>
                <w:color w:val="000000"/>
                <w:sz w:val="20"/>
                <w:szCs w:val="20"/>
              </w:rPr>
              <w:t>Specification</w:t>
            </w:r>
            <w:r w:rsidRPr="00D679FD">
              <w:rPr>
                <w:rFonts w:ascii="Calibri" w:hAnsi="Calibri"/>
                <w:color w:val="000000"/>
                <w:sz w:val="20"/>
                <w:szCs w:val="20"/>
              </w:rPr>
              <w:t> </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(3)</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(4)</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(5)</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(6)</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(7)</w:t>
            </w:r>
          </w:p>
        </w:tc>
        <w:tc>
          <w:tcPr>
            <w:tcW w:w="1120" w:type="dxa"/>
            <w:tcBorders>
              <w:top w:val="double" w:sz="6" w:space="0" w:color="auto"/>
              <w:left w:val="nil"/>
              <w:bottom w:val="single" w:sz="4" w:space="0" w:color="auto"/>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(8)</w:t>
            </w:r>
          </w:p>
        </w:tc>
      </w:tr>
      <w:tr w:rsidR="00EC2A52" w:rsidRPr="00D679FD" w:rsidTr="00EC2A52">
        <w:trPr>
          <w:trHeight w:val="270"/>
        </w:trPr>
        <w:tc>
          <w:tcPr>
            <w:tcW w:w="1800" w:type="dxa"/>
            <w:tcBorders>
              <w:top w:val="nil"/>
              <w:left w:val="single" w:sz="8" w:space="0" w:color="auto"/>
              <w:bottom w:val="double" w:sz="6" w:space="0" w:color="auto"/>
              <w:right w:val="nil"/>
            </w:tcBorders>
            <w:shd w:val="clear" w:color="auto" w:fill="auto"/>
            <w:noWrap/>
            <w:vAlign w:val="center"/>
            <w:hideMark/>
          </w:tcPr>
          <w:p w:rsidR="00EC2A52" w:rsidRPr="002D03A9" w:rsidRDefault="00EC2A52" w:rsidP="00EC2A52">
            <w:pPr>
              <w:rPr>
                <w:rFonts w:ascii="Calibri" w:hAnsi="Calibri"/>
                <w:color w:val="000000"/>
                <w:sz w:val="20"/>
                <w:szCs w:val="20"/>
                <w:vertAlign w:val="superscript"/>
              </w:rPr>
            </w:pPr>
            <w:r w:rsidRPr="00D679FD">
              <w:rPr>
                <w:rFonts w:ascii="Calibri" w:hAnsi="Calibri"/>
                <w:color w:val="000000"/>
                <w:sz w:val="20"/>
                <w:szCs w:val="20"/>
              </w:rPr>
              <w:t>VARIABLES</w:t>
            </w:r>
            <w:r>
              <w:rPr>
                <w:rFonts w:ascii="Calibri" w:hAnsi="Calibri"/>
                <w:color w:val="000000"/>
                <w:sz w:val="20"/>
                <w:szCs w:val="20"/>
                <w:vertAlign w:val="superscript"/>
              </w:rPr>
              <w:t>a</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D_new</w:t>
            </w:r>
          </w:p>
        </w:tc>
      </w:tr>
      <w:tr w:rsidR="00EC2A52" w:rsidRPr="00D679FD" w:rsidTr="00EC2A52">
        <w:trPr>
          <w:trHeight w:val="270"/>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0.330**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0.212***</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0.318**</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(0.00942)</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(0.104)</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mkt_t2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-0.356*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-0.239*</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-0.345*</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(0.156)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(0.176)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(0.159)</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(0.158)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(0.122)</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(0.159)</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cat_t2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0.362***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0.362***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0.362**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0.362***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0.362***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0.468***</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0.532</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(0.105)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(0.0111)</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(0.317)</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prod_t2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0.398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0.398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0.699***</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0.151***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0.372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0.177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0.398</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0.398</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(0.237)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(0.248)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(0.120)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(0.207)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(0.119)</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(0.246)</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(0.242)</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Cross</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1.700***</w:t>
            </w:r>
          </w:p>
        </w:tc>
      </w:tr>
      <w:tr w:rsidR="00EC2A52" w:rsidRPr="00D679FD" w:rsidTr="00EC2A52">
        <w:trPr>
          <w:trHeight w:val="270"/>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(0.331)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(0.337)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(0.335)</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(0.343)</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(0.337)</w:t>
            </w:r>
          </w:p>
        </w:tc>
      </w:tr>
      <w:tr w:rsidR="00EC2A52" w:rsidRPr="00D679FD" w:rsidTr="00EC2A52">
        <w:trPr>
          <w:trHeight w:val="270"/>
        </w:trPr>
        <w:tc>
          <w:tcPr>
            <w:tcW w:w="1800" w:type="dxa"/>
            <w:tcBorders>
              <w:top w:val="double" w:sz="6" w:space="0" w:color="auto"/>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Observations</w:t>
            </w:r>
          </w:p>
        </w:tc>
        <w:tc>
          <w:tcPr>
            <w:tcW w:w="11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26</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20</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23</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19</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21</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24</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21</w:t>
            </w:r>
          </w:p>
        </w:tc>
        <w:tc>
          <w:tcPr>
            <w:tcW w:w="1120" w:type="dxa"/>
            <w:tcBorders>
              <w:top w:val="double" w:sz="6" w:space="0" w:color="auto"/>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22</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R2</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0.869</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0.874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0.888</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0.914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0.877</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0.904</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0.881</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0.543</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center"/>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Adjusted R-squared</w:t>
            </w:r>
          </w:p>
        </w:tc>
        <w:tc>
          <w:tcPr>
            <w:tcW w:w="1120" w:type="dxa"/>
            <w:tcBorders>
              <w:top w:val="nil"/>
              <w:left w:val="single" w:sz="8" w:space="0" w:color="auto"/>
              <w:bottom w:val="nil"/>
              <w:right w:val="single" w:sz="4" w:space="0" w:color="auto"/>
            </w:tcBorders>
            <w:shd w:val="clear" w:color="auto" w:fill="auto"/>
            <w:noWrap/>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0.837</w:t>
            </w:r>
          </w:p>
        </w:tc>
        <w:tc>
          <w:tcPr>
            <w:tcW w:w="1120" w:type="dxa"/>
            <w:tcBorders>
              <w:top w:val="nil"/>
              <w:left w:val="nil"/>
              <w:bottom w:val="nil"/>
              <w:right w:val="single" w:sz="4" w:space="0" w:color="auto"/>
            </w:tcBorders>
            <w:shd w:val="clear" w:color="auto" w:fill="auto"/>
            <w:noWrap/>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0.832</w:t>
            </w:r>
          </w:p>
        </w:tc>
        <w:tc>
          <w:tcPr>
            <w:tcW w:w="1120" w:type="dxa"/>
            <w:tcBorders>
              <w:top w:val="nil"/>
              <w:left w:val="nil"/>
              <w:bottom w:val="nil"/>
              <w:right w:val="single" w:sz="4" w:space="0" w:color="auto"/>
            </w:tcBorders>
            <w:shd w:val="clear" w:color="auto" w:fill="auto"/>
            <w:noWrap/>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0.856</w:t>
            </w:r>
          </w:p>
        </w:tc>
        <w:tc>
          <w:tcPr>
            <w:tcW w:w="1120" w:type="dxa"/>
            <w:tcBorders>
              <w:top w:val="nil"/>
              <w:left w:val="nil"/>
              <w:bottom w:val="nil"/>
              <w:right w:val="single" w:sz="4" w:space="0" w:color="auto"/>
            </w:tcBorders>
            <w:shd w:val="clear" w:color="auto" w:fill="auto"/>
            <w:noWrap/>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0.891</w:t>
            </w:r>
          </w:p>
        </w:tc>
        <w:tc>
          <w:tcPr>
            <w:tcW w:w="1120" w:type="dxa"/>
            <w:tcBorders>
              <w:top w:val="nil"/>
              <w:left w:val="nil"/>
              <w:bottom w:val="nil"/>
              <w:right w:val="single" w:sz="4" w:space="0" w:color="auto"/>
            </w:tcBorders>
            <w:shd w:val="clear" w:color="auto" w:fill="auto"/>
            <w:noWrap/>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0.848</w:t>
            </w:r>
          </w:p>
        </w:tc>
        <w:tc>
          <w:tcPr>
            <w:tcW w:w="1120" w:type="dxa"/>
            <w:tcBorders>
              <w:top w:val="nil"/>
              <w:left w:val="nil"/>
              <w:bottom w:val="nil"/>
              <w:right w:val="single" w:sz="4" w:space="0" w:color="auto"/>
            </w:tcBorders>
            <w:shd w:val="clear" w:color="auto" w:fill="auto"/>
            <w:noWrap/>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0.879</w:t>
            </w:r>
          </w:p>
        </w:tc>
        <w:tc>
          <w:tcPr>
            <w:tcW w:w="1120" w:type="dxa"/>
            <w:tcBorders>
              <w:top w:val="nil"/>
              <w:left w:val="nil"/>
              <w:bottom w:val="nil"/>
              <w:right w:val="single" w:sz="4" w:space="0" w:color="auto"/>
            </w:tcBorders>
            <w:shd w:val="clear" w:color="auto" w:fill="auto"/>
            <w:noWrap/>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0.844</w:t>
            </w:r>
          </w:p>
        </w:tc>
        <w:tc>
          <w:tcPr>
            <w:tcW w:w="1120" w:type="dxa"/>
            <w:tcBorders>
              <w:top w:val="nil"/>
              <w:left w:val="nil"/>
              <w:bottom w:val="nil"/>
              <w:right w:val="single" w:sz="8" w:space="0" w:color="auto"/>
            </w:tcBorders>
            <w:shd w:val="clear" w:color="auto" w:fill="auto"/>
            <w:noWrap/>
            <w:vAlign w:val="center"/>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0.409</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Likelihood</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-72.41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-57.43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-63.16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-53.33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-62.86</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-62.53</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-58.97</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-56.47</w:t>
            </w:r>
          </w:p>
        </w:tc>
      </w:tr>
      <w:tr w:rsidR="00EC2A52" w:rsidRPr="00D679FD" w:rsidTr="00EC2A52">
        <w:trPr>
          <w:trHeight w:val="255"/>
        </w:trPr>
        <w:tc>
          <w:tcPr>
            <w:tcW w:w="1800" w:type="dxa"/>
            <w:tcBorders>
              <w:top w:val="nil"/>
              <w:left w:val="single" w:sz="8" w:space="0" w:color="auto"/>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F-statistic</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776.2</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2231</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721.6</w:t>
            </w:r>
          </w:p>
        </w:tc>
        <w:tc>
          <w:tcPr>
            <w:tcW w:w="1120" w:type="dxa"/>
            <w:tcBorders>
              <w:top w:val="nil"/>
              <w:left w:val="nil"/>
              <w:bottom w:val="nil"/>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9.892</w:t>
            </w:r>
          </w:p>
        </w:tc>
      </w:tr>
      <w:tr w:rsidR="00EC2A52" w:rsidRPr="00D679FD" w:rsidTr="00EC2A52">
        <w:trPr>
          <w:trHeight w:val="270"/>
        </w:trPr>
        <w:tc>
          <w:tcPr>
            <w:tcW w:w="1800" w:type="dxa"/>
            <w:tcBorders>
              <w:top w:val="nil"/>
              <w:left w:val="single" w:sz="8" w:space="0" w:color="auto"/>
              <w:bottom w:val="single" w:sz="8" w:space="0" w:color="auto"/>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Prob&gt;F</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0.000</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0.000</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 </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0.000</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D679FD" w:rsidRDefault="00EC2A52" w:rsidP="00EC2A52">
            <w:pPr>
              <w:jc w:val="center"/>
              <w:rPr>
                <w:rFonts w:ascii="Calibri" w:hAnsi="Calibri"/>
                <w:color w:val="000000"/>
                <w:sz w:val="20"/>
                <w:szCs w:val="20"/>
              </w:rPr>
            </w:pPr>
            <w:r w:rsidRPr="00D679FD">
              <w:rPr>
                <w:rFonts w:ascii="Calibri" w:hAnsi="Calibri"/>
                <w:color w:val="000000"/>
                <w:sz w:val="20"/>
                <w:szCs w:val="20"/>
              </w:rPr>
              <w:t>0.001</w:t>
            </w:r>
          </w:p>
        </w:tc>
      </w:tr>
      <w:tr w:rsidR="00EC2A52" w:rsidRPr="00D679FD" w:rsidTr="00EC2A52">
        <w:trPr>
          <w:trHeight w:val="300"/>
        </w:trPr>
        <w:tc>
          <w:tcPr>
            <w:tcW w:w="10760" w:type="dxa"/>
            <w:gridSpan w:val="9"/>
            <w:tcBorders>
              <w:top w:val="single" w:sz="8" w:space="0" w:color="auto"/>
              <w:left w:val="nil"/>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Robust standard errors in parentheses</w:t>
            </w:r>
          </w:p>
        </w:tc>
      </w:tr>
      <w:tr w:rsidR="00EC2A52" w:rsidRPr="00D679FD" w:rsidTr="00EC2A52">
        <w:trPr>
          <w:trHeight w:val="300"/>
        </w:trPr>
        <w:tc>
          <w:tcPr>
            <w:tcW w:w="10760" w:type="dxa"/>
            <w:gridSpan w:val="9"/>
            <w:tcBorders>
              <w:top w:val="nil"/>
              <w:left w:val="nil"/>
              <w:bottom w:val="nil"/>
              <w:right w:val="nil"/>
            </w:tcBorders>
            <w:shd w:val="clear" w:color="auto" w:fill="auto"/>
            <w:noWrap/>
            <w:vAlign w:val="bottom"/>
            <w:hideMark/>
          </w:tcPr>
          <w:p w:rsidR="00EC2A52" w:rsidRPr="00D679FD" w:rsidRDefault="00EC2A52" w:rsidP="00EC2A52">
            <w:pPr>
              <w:rPr>
                <w:rFonts w:ascii="Calibri" w:hAnsi="Calibri"/>
                <w:color w:val="000000"/>
                <w:sz w:val="20"/>
                <w:szCs w:val="20"/>
              </w:rPr>
            </w:pPr>
            <w:r w:rsidRPr="00D679FD">
              <w:rPr>
                <w:rFonts w:ascii="Calibri" w:hAnsi="Calibri"/>
                <w:color w:val="000000"/>
                <w:sz w:val="20"/>
                <w:szCs w:val="20"/>
              </w:rPr>
              <w:t>*** p&lt;0.01, ** p&lt;0.05, * p&lt;0.1</w:t>
            </w:r>
          </w:p>
        </w:tc>
      </w:tr>
    </w:tbl>
    <w:p w:rsidR="00EC2A52" w:rsidRPr="009263A5" w:rsidRDefault="00EC2A52" w:rsidP="00EC2A52">
      <w:pPr>
        <w:rPr>
          <w:b/>
          <w:i/>
          <w:sz w:val="20"/>
          <w:szCs w:val="20"/>
        </w:rPr>
      </w:pPr>
    </w:p>
    <w:p w:rsidR="00EC2A52" w:rsidRPr="009263A5" w:rsidRDefault="00EC2A52" w:rsidP="00EC2A52">
      <w:pPr>
        <w:rPr>
          <w:b/>
          <w:sz w:val="20"/>
          <w:szCs w:val="20"/>
        </w:rPr>
      </w:pPr>
    </w:p>
    <w:p w:rsidR="00EC2A52" w:rsidRPr="00902DE3" w:rsidRDefault="00EC2A52" w:rsidP="00EC2A52">
      <w:pPr>
        <w:rPr>
          <w:i/>
          <w:sz w:val="20"/>
          <w:szCs w:val="20"/>
        </w:rPr>
      </w:pPr>
      <w:r w:rsidRPr="00902DE3">
        <w:rPr>
          <w:i/>
          <w:sz w:val="20"/>
          <w:szCs w:val="20"/>
          <w:vertAlign w:val="superscript"/>
        </w:rPr>
        <w:t xml:space="preserve">a </w:t>
      </w:r>
      <w:r w:rsidRPr="00902DE3">
        <w:rPr>
          <w:i/>
          <w:sz w:val="20"/>
          <w:szCs w:val="20"/>
        </w:rPr>
        <w:t>See variable definitions in Table A2 in Appendix</w:t>
      </w:r>
      <w:r>
        <w:rPr>
          <w:i/>
          <w:sz w:val="20"/>
          <w:szCs w:val="20"/>
        </w:rPr>
        <w:t xml:space="preserve"> A.</w:t>
      </w:r>
    </w:p>
    <w:p w:rsidR="00EC2A52" w:rsidRPr="009263A5" w:rsidRDefault="00EC2A52" w:rsidP="00EC2A52">
      <w:pPr>
        <w:rPr>
          <w:b/>
          <w:i/>
          <w:sz w:val="20"/>
          <w:szCs w:val="20"/>
        </w:rPr>
      </w:pPr>
      <w:r w:rsidRPr="009263A5">
        <w:rPr>
          <w:b/>
          <w:i/>
          <w:sz w:val="20"/>
          <w:szCs w:val="20"/>
        </w:rPr>
        <w:br w:type="page"/>
      </w:r>
    </w:p>
    <w:p w:rsidR="00EC2A52" w:rsidRPr="00F875F2" w:rsidRDefault="00EC2A52" w:rsidP="00EC2A52">
      <w:pPr>
        <w:spacing w:after="120"/>
        <w:rPr>
          <w:b/>
          <w:i/>
          <w:sz w:val="20"/>
          <w:szCs w:val="20"/>
        </w:rPr>
      </w:pPr>
      <w:r w:rsidRPr="009263A5">
        <w:rPr>
          <w:b/>
          <w:i/>
          <w:sz w:val="20"/>
          <w:szCs w:val="20"/>
        </w:rPr>
        <w:lastRenderedPageBreak/>
        <w:t>Table C1</w:t>
      </w:r>
      <w:r>
        <w:rPr>
          <w:b/>
          <w:i/>
          <w:sz w:val="20"/>
          <w:szCs w:val="20"/>
        </w:rPr>
        <w:t>3</w:t>
      </w:r>
      <w:r w:rsidRPr="009263A5">
        <w:rPr>
          <w:b/>
          <w:i/>
          <w:sz w:val="20"/>
          <w:szCs w:val="20"/>
        </w:rPr>
        <w:t>. WLS with Cluster</w:t>
      </w:r>
      <w:r>
        <w:rPr>
          <w:b/>
          <w:i/>
          <w:sz w:val="20"/>
          <w:szCs w:val="20"/>
        </w:rPr>
        <w:t>-</w:t>
      </w:r>
      <w:r w:rsidRPr="009263A5">
        <w:rPr>
          <w:b/>
          <w:i/>
          <w:sz w:val="20"/>
          <w:szCs w:val="20"/>
        </w:rPr>
        <w:t xml:space="preserve">Robust Standard Errors at the Model Level Using Data that Includes Compensating Surplus </w:t>
      </w:r>
      <w:r>
        <w:rPr>
          <w:b/>
          <w:i/>
          <w:sz w:val="20"/>
          <w:szCs w:val="20"/>
        </w:rPr>
        <w:t>Estimates</w:t>
      </w:r>
      <w:r w:rsidRPr="009263A5">
        <w:rPr>
          <w:b/>
          <w:i/>
          <w:sz w:val="20"/>
          <w:szCs w:val="20"/>
        </w:rPr>
        <w:t>, by Dataset</w:t>
      </w:r>
    </w:p>
    <w:tbl>
      <w:tblPr>
        <w:tblW w:w="11181" w:type="dxa"/>
        <w:tblInd w:w="93" w:type="dxa"/>
        <w:tblLook w:val="04A0"/>
      </w:tblPr>
      <w:tblGrid>
        <w:gridCol w:w="2220"/>
        <w:gridCol w:w="1147"/>
        <w:gridCol w:w="1096"/>
        <w:gridCol w:w="1147"/>
        <w:gridCol w:w="1091"/>
        <w:gridCol w:w="1120"/>
        <w:gridCol w:w="1120"/>
        <w:gridCol w:w="1120"/>
        <w:gridCol w:w="1120"/>
      </w:tblGrid>
      <w:tr w:rsidR="00EC2A52" w:rsidRPr="004353DD" w:rsidTr="00EC2A52">
        <w:trPr>
          <w:trHeight w:val="300"/>
        </w:trPr>
        <w:tc>
          <w:tcPr>
            <w:tcW w:w="2220" w:type="dxa"/>
            <w:vMerge w:val="restart"/>
            <w:tcBorders>
              <w:top w:val="single" w:sz="8" w:space="0" w:color="auto"/>
              <w:left w:val="single" w:sz="8" w:space="0" w:color="auto"/>
              <w:bottom w:val="double" w:sz="6" w:space="0" w:color="000000"/>
              <w:right w:val="nil"/>
            </w:tcBorders>
            <w:shd w:val="clear" w:color="auto" w:fill="auto"/>
            <w:noWrap/>
            <w:vAlign w:val="center"/>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Dataset</w:t>
            </w:r>
          </w:p>
        </w:tc>
        <w:tc>
          <w:tcPr>
            <w:tcW w:w="4481" w:type="dxa"/>
            <w:gridSpan w:val="4"/>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Damages for Temp. Increases≤4</w:t>
            </w:r>
            <w:r w:rsidRPr="004353DD">
              <w:rPr>
                <w:rFonts w:ascii="Cambria" w:hAnsi="Cambria"/>
                <w:color w:val="000000"/>
                <w:sz w:val="20"/>
                <w:szCs w:val="20"/>
              </w:rPr>
              <w:t>°C</w:t>
            </w:r>
          </w:p>
        </w:tc>
        <w:tc>
          <w:tcPr>
            <w:tcW w:w="448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Damages for All Temp. Increases</w:t>
            </w:r>
          </w:p>
        </w:tc>
      </w:tr>
      <w:tr w:rsidR="00EC2A52" w:rsidRPr="004353DD" w:rsidTr="00EC2A52">
        <w:trPr>
          <w:trHeight w:val="315"/>
        </w:trPr>
        <w:tc>
          <w:tcPr>
            <w:tcW w:w="2220" w:type="dxa"/>
            <w:vMerge/>
            <w:tcBorders>
              <w:top w:val="single" w:sz="8" w:space="0" w:color="auto"/>
              <w:left w:val="single" w:sz="8" w:space="0" w:color="auto"/>
              <w:bottom w:val="double" w:sz="6" w:space="0" w:color="000000"/>
              <w:right w:val="nil"/>
            </w:tcBorders>
            <w:vAlign w:val="center"/>
            <w:hideMark/>
          </w:tcPr>
          <w:p w:rsidR="00EC2A52" w:rsidRPr="004353DD" w:rsidRDefault="00EC2A52" w:rsidP="00EC2A52">
            <w:pPr>
              <w:rPr>
                <w:rFonts w:ascii="Calibri" w:hAnsi="Calibri"/>
                <w:color w:val="000000"/>
                <w:sz w:val="20"/>
                <w:szCs w:val="20"/>
              </w:rPr>
            </w:pPr>
          </w:p>
        </w:tc>
        <w:tc>
          <w:tcPr>
            <w:tcW w:w="2243" w:type="dxa"/>
            <w:gridSpan w:val="2"/>
            <w:tcBorders>
              <w:top w:val="single" w:sz="4" w:space="0" w:color="auto"/>
              <w:left w:val="single" w:sz="8" w:space="0" w:color="auto"/>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i/>
                <w:iCs/>
                <w:color w:val="000000"/>
                <w:sz w:val="20"/>
                <w:szCs w:val="20"/>
              </w:rPr>
            </w:pPr>
            <w:r w:rsidRPr="004353DD">
              <w:rPr>
                <w:rFonts w:ascii="Calibri" w:hAnsi="Calibri"/>
                <w:i/>
                <w:iCs/>
                <w:color w:val="000000"/>
                <w:sz w:val="20"/>
                <w:szCs w:val="20"/>
              </w:rPr>
              <w:t>Include Duplicates</w:t>
            </w:r>
          </w:p>
        </w:tc>
        <w:tc>
          <w:tcPr>
            <w:tcW w:w="2238" w:type="dxa"/>
            <w:gridSpan w:val="2"/>
            <w:tcBorders>
              <w:top w:val="single" w:sz="4" w:space="0" w:color="auto"/>
              <w:left w:val="single" w:sz="8" w:space="0" w:color="auto"/>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i/>
                <w:iCs/>
                <w:color w:val="000000"/>
                <w:sz w:val="20"/>
                <w:szCs w:val="20"/>
              </w:rPr>
            </w:pPr>
            <w:r w:rsidRPr="004353DD">
              <w:rPr>
                <w:rFonts w:ascii="Calibri" w:hAnsi="Calibri"/>
                <w:i/>
                <w:iCs/>
                <w:color w:val="000000"/>
                <w:sz w:val="20"/>
                <w:szCs w:val="20"/>
              </w:rPr>
              <w:t>Exclude Duplicates</w:t>
            </w:r>
          </w:p>
        </w:tc>
        <w:tc>
          <w:tcPr>
            <w:tcW w:w="2240" w:type="dxa"/>
            <w:gridSpan w:val="2"/>
            <w:tcBorders>
              <w:top w:val="single" w:sz="4" w:space="0" w:color="auto"/>
              <w:left w:val="single" w:sz="8" w:space="0" w:color="auto"/>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i/>
                <w:iCs/>
                <w:color w:val="000000"/>
                <w:sz w:val="20"/>
                <w:szCs w:val="20"/>
              </w:rPr>
            </w:pPr>
            <w:r w:rsidRPr="004353DD">
              <w:rPr>
                <w:rFonts w:ascii="Calibri" w:hAnsi="Calibri"/>
                <w:i/>
                <w:iCs/>
                <w:color w:val="000000"/>
                <w:sz w:val="20"/>
                <w:szCs w:val="20"/>
              </w:rPr>
              <w:t>Include Duplicates</w:t>
            </w:r>
          </w:p>
        </w:tc>
        <w:tc>
          <w:tcPr>
            <w:tcW w:w="2240" w:type="dxa"/>
            <w:gridSpan w:val="2"/>
            <w:tcBorders>
              <w:top w:val="single" w:sz="4" w:space="0" w:color="auto"/>
              <w:left w:val="single" w:sz="8" w:space="0" w:color="auto"/>
              <w:bottom w:val="double" w:sz="6" w:space="0" w:color="auto"/>
              <w:right w:val="single" w:sz="8" w:space="0" w:color="000000"/>
            </w:tcBorders>
            <w:shd w:val="clear" w:color="auto" w:fill="auto"/>
            <w:noWrap/>
            <w:vAlign w:val="bottom"/>
            <w:hideMark/>
          </w:tcPr>
          <w:p w:rsidR="00EC2A52" w:rsidRPr="004353DD" w:rsidRDefault="00EC2A52" w:rsidP="00EC2A52">
            <w:pPr>
              <w:jc w:val="center"/>
              <w:rPr>
                <w:rFonts w:ascii="Calibri" w:hAnsi="Calibri"/>
                <w:i/>
                <w:iCs/>
                <w:color w:val="000000"/>
                <w:sz w:val="20"/>
                <w:szCs w:val="20"/>
              </w:rPr>
            </w:pPr>
            <w:r w:rsidRPr="004353DD">
              <w:rPr>
                <w:rFonts w:ascii="Calibri" w:hAnsi="Calibri"/>
                <w:i/>
                <w:iCs/>
                <w:color w:val="000000"/>
                <w:sz w:val="20"/>
                <w:szCs w:val="20"/>
              </w:rPr>
              <w:t>Exclude Duplicates</w:t>
            </w:r>
          </w:p>
        </w:tc>
      </w:tr>
      <w:tr w:rsidR="00EC2A52" w:rsidRPr="004353DD" w:rsidTr="00EC2A52">
        <w:trPr>
          <w:trHeight w:val="315"/>
        </w:trPr>
        <w:tc>
          <w:tcPr>
            <w:tcW w:w="2220" w:type="dxa"/>
            <w:tcBorders>
              <w:top w:val="nil"/>
              <w:left w:val="single" w:sz="8" w:space="0" w:color="auto"/>
              <w:bottom w:val="single" w:sz="4" w:space="0" w:color="auto"/>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Pr>
                <w:rFonts w:ascii="Calibri" w:hAnsi="Calibri"/>
                <w:color w:val="000000"/>
                <w:sz w:val="20"/>
                <w:szCs w:val="20"/>
              </w:rPr>
              <w:t>Specification</w:t>
            </w:r>
            <w:r w:rsidRPr="004353DD">
              <w:rPr>
                <w:rFonts w:ascii="Calibri" w:hAnsi="Calibri"/>
                <w:color w:val="000000"/>
                <w:sz w:val="20"/>
                <w:szCs w:val="20"/>
              </w:rPr>
              <w:t> </w:t>
            </w:r>
          </w:p>
        </w:tc>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(1)</w:t>
            </w:r>
          </w:p>
        </w:tc>
        <w:tc>
          <w:tcPr>
            <w:tcW w:w="1096" w:type="dxa"/>
            <w:tcBorders>
              <w:top w:val="nil"/>
              <w:left w:val="nil"/>
              <w:bottom w:val="single" w:sz="4"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(2)</w:t>
            </w:r>
          </w:p>
        </w:tc>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(3)</w:t>
            </w:r>
          </w:p>
        </w:tc>
        <w:tc>
          <w:tcPr>
            <w:tcW w:w="1091" w:type="dxa"/>
            <w:tcBorders>
              <w:top w:val="nil"/>
              <w:left w:val="nil"/>
              <w:bottom w:val="single" w:sz="4" w:space="0" w:color="auto"/>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(4)</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(5)</w:t>
            </w:r>
          </w:p>
        </w:tc>
        <w:tc>
          <w:tcPr>
            <w:tcW w:w="1120" w:type="dxa"/>
            <w:tcBorders>
              <w:top w:val="nil"/>
              <w:left w:val="nil"/>
              <w:bottom w:val="single" w:sz="4"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(6)</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(7)</w:t>
            </w:r>
          </w:p>
        </w:tc>
        <w:tc>
          <w:tcPr>
            <w:tcW w:w="1120" w:type="dxa"/>
            <w:tcBorders>
              <w:top w:val="nil"/>
              <w:left w:val="nil"/>
              <w:bottom w:val="single" w:sz="4" w:space="0" w:color="auto"/>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(8)</w:t>
            </w:r>
          </w:p>
        </w:tc>
      </w:tr>
      <w:tr w:rsidR="00EC2A52" w:rsidRPr="004353DD" w:rsidTr="00EC2A52">
        <w:trPr>
          <w:trHeight w:val="315"/>
        </w:trPr>
        <w:tc>
          <w:tcPr>
            <w:tcW w:w="2220" w:type="dxa"/>
            <w:tcBorders>
              <w:top w:val="nil"/>
              <w:left w:val="single" w:sz="8" w:space="0" w:color="auto"/>
              <w:bottom w:val="double" w:sz="6" w:space="0" w:color="auto"/>
              <w:right w:val="nil"/>
            </w:tcBorders>
            <w:shd w:val="clear" w:color="auto" w:fill="auto"/>
            <w:noWrap/>
            <w:vAlign w:val="bottom"/>
            <w:hideMark/>
          </w:tcPr>
          <w:p w:rsidR="00EC2A52" w:rsidRPr="002D03A9" w:rsidRDefault="00EC2A52" w:rsidP="00EC2A52">
            <w:pPr>
              <w:rPr>
                <w:rFonts w:ascii="Calibri" w:hAnsi="Calibri"/>
                <w:color w:val="000000"/>
                <w:sz w:val="20"/>
                <w:szCs w:val="20"/>
                <w:vertAlign w:val="superscript"/>
              </w:rPr>
            </w:pPr>
            <w:r w:rsidRPr="004353DD">
              <w:rPr>
                <w:rFonts w:ascii="Calibri" w:hAnsi="Calibri"/>
                <w:color w:val="000000"/>
                <w:sz w:val="20"/>
                <w:szCs w:val="20"/>
              </w:rPr>
              <w:t>VARIABLES</w:t>
            </w:r>
            <w:r>
              <w:rPr>
                <w:rFonts w:ascii="Calibri" w:hAnsi="Calibri"/>
                <w:color w:val="000000"/>
                <w:sz w:val="20"/>
                <w:szCs w:val="20"/>
                <w:vertAlign w:val="superscript"/>
              </w:rPr>
              <w:t>a</w:t>
            </w:r>
          </w:p>
        </w:tc>
        <w:tc>
          <w:tcPr>
            <w:tcW w:w="1147" w:type="dxa"/>
            <w:tcBorders>
              <w:top w:val="nil"/>
              <w:left w:val="single" w:sz="8" w:space="0" w:color="auto"/>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D_new</w:t>
            </w:r>
          </w:p>
        </w:tc>
        <w:tc>
          <w:tcPr>
            <w:tcW w:w="1096" w:type="dxa"/>
            <w:tcBorders>
              <w:top w:val="nil"/>
              <w:left w:val="nil"/>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D_new</w:t>
            </w:r>
          </w:p>
        </w:tc>
        <w:tc>
          <w:tcPr>
            <w:tcW w:w="1147" w:type="dxa"/>
            <w:tcBorders>
              <w:top w:val="nil"/>
              <w:left w:val="single" w:sz="8" w:space="0" w:color="auto"/>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D_new</w:t>
            </w:r>
          </w:p>
        </w:tc>
        <w:tc>
          <w:tcPr>
            <w:tcW w:w="1091" w:type="dxa"/>
            <w:tcBorders>
              <w:top w:val="nil"/>
              <w:left w:val="nil"/>
              <w:bottom w:val="double" w:sz="6" w:space="0" w:color="auto"/>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D_new</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D_new</w:t>
            </w:r>
          </w:p>
        </w:tc>
        <w:tc>
          <w:tcPr>
            <w:tcW w:w="1120" w:type="dxa"/>
            <w:tcBorders>
              <w:top w:val="nil"/>
              <w:left w:val="nil"/>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D_new</w:t>
            </w:r>
          </w:p>
        </w:tc>
        <w:tc>
          <w:tcPr>
            <w:tcW w:w="1120" w:type="dxa"/>
            <w:tcBorders>
              <w:top w:val="nil"/>
              <w:left w:val="single" w:sz="8" w:space="0" w:color="auto"/>
              <w:bottom w:val="double" w:sz="6"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D_new</w:t>
            </w:r>
          </w:p>
        </w:tc>
        <w:tc>
          <w:tcPr>
            <w:tcW w:w="1120" w:type="dxa"/>
            <w:tcBorders>
              <w:top w:val="nil"/>
              <w:left w:val="nil"/>
              <w:bottom w:val="double" w:sz="6" w:space="0" w:color="auto"/>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D_new</w:t>
            </w:r>
          </w:p>
        </w:tc>
      </w:tr>
      <w:tr w:rsidR="00EC2A52" w:rsidRPr="004353DD" w:rsidTr="00EC2A52">
        <w:trPr>
          <w:trHeight w:val="315"/>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t2</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0.328**</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0.328**</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0.595***</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0.595**</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0.263***</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0.263***</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0.318***</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0.318**</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 </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(0.122)</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(0.126)</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(0.182)</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(0.193)</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(0.0596)</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(0.0610)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(0.0989)</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(0.103)</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mkt_t2</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-0.186</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-0.00367</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-0.487**</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-0.578**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Pr>
                <w:rFonts w:ascii="Calibri" w:hAnsi="Calibri"/>
                <w:color w:val="000000"/>
                <w:sz w:val="20"/>
                <w:szCs w:val="20"/>
              </w:rPr>
              <w:t>0.023</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Pr>
                <w:rFonts w:ascii="Calibri" w:hAnsi="Calibri"/>
                <w:color w:val="000000"/>
                <w:sz w:val="20"/>
                <w:szCs w:val="20"/>
              </w:rPr>
              <w:t>0.061</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Pr>
                <w:rFonts w:ascii="Calibri" w:hAnsi="Calibri"/>
                <w:color w:val="000000"/>
                <w:sz w:val="20"/>
                <w:szCs w:val="20"/>
              </w:rPr>
              <w:t>0.032</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-0.301*</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 </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(0.132)</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(0.277)</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(0.184)</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(0.233)</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(0.146)</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(0.251)</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(0.205)</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(0.164)</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nmkt_t2</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0.508***</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0.459**</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0.253</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0.140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0.572***</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0.523***</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0.530***</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0.417***</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 </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(0.122)</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(0.152)</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(0.182)</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(0.205)</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(0.0596)</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(0.104)</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(0.0989)</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(0.124)</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cat_t2</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0.403*</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0.403*</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0.260</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0.260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0.413***</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0.413***</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0.362***</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0.362***</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 </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(0.189)</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(0.195)</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(0.256)</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(0.270)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(0.0603)</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(0.0618)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(0.0998)</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(0.104)</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prod_t2</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-0.232</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Pr>
                <w:rFonts w:ascii="Calibri" w:hAnsi="Calibri"/>
                <w:color w:val="000000"/>
                <w:sz w:val="20"/>
                <w:szCs w:val="20"/>
              </w:rPr>
              <w:t>0.070</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Pr>
                <w:rFonts w:ascii="Calibri" w:hAnsi="Calibri"/>
                <w:color w:val="000000"/>
                <w:sz w:val="20"/>
                <w:szCs w:val="20"/>
              </w:rPr>
              <w:t>-0.046</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0.355</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 </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(0.257)</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(0.131)</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(0.288)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(0.244)</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Cross</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0.483</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1.311</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0.483</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1.311</w:t>
            </w:r>
          </w:p>
        </w:tc>
      </w:tr>
      <w:tr w:rsidR="00EC2A52" w:rsidRPr="004353DD" w:rsidTr="00EC2A52">
        <w:trPr>
          <w:trHeight w:val="315"/>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 </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(0.845)</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(0.817)</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(0.833)</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 </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(0.788)</w:t>
            </w:r>
          </w:p>
        </w:tc>
      </w:tr>
      <w:tr w:rsidR="00EC2A52" w:rsidRPr="004353DD" w:rsidTr="00EC2A52">
        <w:trPr>
          <w:trHeight w:val="315"/>
        </w:trPr>
        <w:tc>
          <w:tcPr>
            <w:tcW w:w="2220" w:type="dxa"/>
            <w:tcBorders>
              <w:top w:val="double" w:sz="6" w:space="0" w:color="auto"/>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Observations</w:t>
            </w:r>
          </w:p>
        </w:tc>
        <w:tc>
          <w:tcPr>
            <w:tcW w:w="1147" w:type="dxa"/>
            <w:tcBorders>
              <w:top w:val="double" w:sz="6" w:space="0" w:color="auto"/>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41</w:t>
            </w:r>
          </w:p>
        </w:tc>
        <w:tc>
          <w:tcPr>
            <w:tcW w:w="1096" w:type="dxa"/>
            <w:tcBorders>
              <w:top w:val="double" w:sz="6" w:space="0" w:color="auto"/>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41</w:t>
            </w:r>
          </w:p>
        </w:tc>
        <w:tc>
          <w:tcPr>
            <w:tcW w:w="1147" w:type="dxa"/>
            <w:tcBorders>
              <w:top w:val="double" w:sz="6" w:space="0" w:color="auto"/>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23</w:t>
            </w:r>
          </w:p>
        </w:tc>
        <w:tc>
          <w:tcPr>
            <w:tcW w:w="1091" w:type="dxa"/>
            <w:tcBorders>
              <w:top w:val="double" w:sz="6" w:space="0" w:color="auto"/>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23</w:t>
            </w:r>
          </w:p>
        </w:tc>
        <w:tc>
          <w:tcPr>
            <w:tcW w:w="11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46</w:t>
            </w:r>
          </w:p>
        </w:tc>
        <w:tc>
          <w:tcPr>
            <w:tcW w:w="1120" w:type="dxa"/>
            <w:tcBorders>
              <w:top w:val="double" w:sz="6" w:space="0" w:color="auto"/>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46</w:t>
            </w:r>
          </w:p>
        </w:tc>
        <w:tc>
          <w:tcPr>
            <w:tcW w:w="1120" w:type="dxa"/>
            <w:tcBorders>
              <w:top w:val="double" w:sz="6" w:space="0" w:color="auto"/>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28</w:t>
            </w:r>
          </w:p>
        </w:tc>
        <w:tc>
          <w:tcPr>
            <w:tcW w:w="1120" w:type="dxa"/>
            <w:tcBorders>
              <w:top w:val="double" w:sz="6" w:space="0" w:color="auto"/>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28</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R2</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0.593</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0.611</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0.707</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0.725</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0.838</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0.838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0.858</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0.862</w:t>
            </w:r>
          </w:p>
        </w:tc>
      </w:tr>
      <w:tr w:rsidR="00EC2A52" w:rsidRPr="004353DD" w:rsidTr="00EC2A52">
        <w:trPr>
          <w:trHeight w:val="300"/>
        </w:trPr>
        <w:tc>
          <w:tcPr>
            <w:tcW w:w="2220" w:type="dxa"/>
            <w:tcBorders>
              <w:top w:val="nil"/>
              <w:left w:val="single" w:sz="8" w:space="0" w:color="auto"/>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Adjusted R-squared</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0.549</w:t>
            </w:r>
          </w:p>
        </w:tc>
        <w:tc>
          <w:tcPr>
            <w:tcW w:w="1096"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0.545</w:t>
            </w:r>
          </w:p>
        </w:tc>
        <w:tc>
          <w:tcPr>
            <w:tcW w:w="1147"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0.645</w:t>
            </w:r>
          </w:p>
        </w:tc>
        <w:tc>
          <w:tcPr>
            <w:tcW w:w="1091" w:type="dxa"/>
            <w:tcBorders>
              <w:top w:val="nil"/>
              <w:left w:val="nil"/>
              <w:bottom w:val="nil"/>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0.628</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0.822</w:t>
            </w:r>
          </w:p>
        </w:tc>
        <w:tc>
          <w:tcPr>
            <w:tcW w:w="1120" w:type="dxa"/>
            <w:tcBorders>
              <w:top w:val="nil"/>
              <w:left w:val="nil"/>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0.814</w:t>
            </w:r>
          </w:p>
        </w:tc>
        <w:tc>
          <w:tcPr>
            <w:tcW w:w="1120" w:type="dxa"/>
            <w:tcBorders>
              <w:top w:val="nil"/>
              <w:left w:val="single" w:sz="8" w:space="0" w:color="auto"/>
              <w:bottom w:val="nil"/>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0.834</w:t>
            </w:r>
          </w:p>
        </w:tc>
        <w:tc>
          <w:tcPr>
            <w:tcW w:w="1120" w:type="dxa"/>
            <w:tcBorders>
              <w:top w:val="nil"/>
              <w:left w:val="nil"/>
              <w:bottom w:val="nil"/>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0.824</w:t>
            </w:r>
          </w:p>
        </w:tc>
      </w:tr>
      <w:tr w:rsidR="00EC2A52" w:rsidRPr="004353DD" w:rsidTr="00EC2A52">
        <w:trPr>
          <w:trHeight w:val="315"/>
        </w:trPr>
        <w:tc>
          <w:tcPr>
            <w:tcW w:w="2220" w:type="dxa"/>
            <w:tcBorders>
              <w:top w:val="nil"/>
              <w:left w:val="single" w:sz="8" w:space="0" w:color="auto"/>
              <w:bottom w:val="single" w:sz="8" w:space="0" w:color="auto"/>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Likelihood</w:t>
            </w:r>
          </w:p>
        </w:tc>
        <w:tc>
          <w:tcPr>
            <w:tcW w:w="1147" w:type="dxa"/>
            <w:tcBorders>
              <w:top w:val="nil"/>
              <w:left w:val="single" w:sz="8" w:space="0" w:color="auto"/>
              <w:bottom w:val="single" w:sz="8"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-93.44</w:t>
            </w:r>
          </w:p>
        </w:tc>
        <w:tc>
          <w:tcPr>
            <w:tcW w:w="1096" w:type="dxa"/>
            <w:tcBorders>
              <w:top w:val="nil"/>
              <w:left w:val="nil"/>
              <w:bottom w:val="single" w:sz="8"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-92.48</w:t>
            </w:r>
          </w:p>
        </w:tc>
        <w:tc>
          <w:tcPr>
            <w:tcW w:w="1147" w:type="dxa"/>
            <w:tcBorders>
              <w:top w:val="nil"/>
              <w:left w:val="single" w:sz="8" w:space="0" w:color="auto"/>
              <w:bottom w:val="single" w:sz="8"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-52.98</w:t>
            </w:r>
          </w:p>
        </w:tc>
        <w:tc>
          <w:tcPr>
            <w:tcW w:w="1091" w:type="dxa"/>
            <w:tcBorders>
              <w:top w:val="nil"/>
              <w:left w:val="nil"/>
              <w:bottom w:val="single" w:sz="8" w:space="0" w:color="auto"/>
              <w:right w:val="nil"/>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-52.23</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-122.2</w:t>
            </w:r>
          </w:p>
        </w:tc>
        <w:tc>
          <w:tcPr>
            <w:tcW w:w="1120" w:type="dxa"/>
            <w:tcBorders>
              <w:top w:val="nil"/>
              <w:left w:val="nil"/>
              <w:bottom w:val="single" w:sz="8"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-122.1</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-79.12</w:t>
            </w:r>
          </w:p>
        </w:tc>
        <w:tc>
          <w:tcPr>
            <w:tcW w:w="1120" w:type="dxa"/>
            <w:tcBorders>
              <w:top w:val="nil"/>
              <w:left w:val="nil"/>
              <w:bottom w:val="single" w:sz="8" w:space="0" w:color="auto"/>
              <w:right w:val="single" w:sz="8" w:space="0" w:color="auto"/>
            </w:tcBorders>
            <w:shd w:val="clear" w:color="auto" w:fill="auto"/>
            <w:noWrap/>
            <w:vAlign w:val="bottom"/>
            <w:hideMark/>
          </w:tcPr>
          <w:p w:rsidR="00EC2A52" w:rsidRPr="004353DD" w:rsidRDefault="00EC2A52" w:rsidP="00EC2A52">
            <w:pPr>
              <w:jc w:val="center"/>
              <w:rPr>
                <w:rFonts w:ascii="Calibri" w:hAnsi="Calibri"/>
                <w:color w:val="000000"/>
                <w:sz w:val="20"/>
                <w:szCs w:val="20"/>
              </w:rPr>
            </w:pPr>
            <w:r w:rsidRPr="004353DD">
              <w:rPr>
                <w:rFonts w:ascii="Calibri" w:hAnsi="Calibri"/>
                <w:color w:val="000000"/>
                <w:sz w:val="20"/>
                <w:szCs w:val="20"/>
              </w:rPr>
              <w:t>-78.71</w:t>
            </w:r>
          </w:p>
        </w:tc>
      </w:tr>
      <w:tr w:rsidR="00EC2A52" w:rsidRPr="004353DD" w:rsidTr="00EC2A52">
        <w:trPr>
          <w:trHeight w:val="300"/>
        </w:trPr>
        <w:tc>
          <w:tcPr>
            <w:tcW w:w="11181" w:type="dxa"/>
            <w:gridSpan w:val="9"/>
            <w:tcBorders>
              <w:top w:val="single" w:sz="8" w:space="0" w:color="auto"/>
              <w:left w:val="nil"/>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Robust standard errors in parentheses</w:t>
            </w:r>
          </w:p>
        </w:tc>
      </w:tr>
      <w:tr w:rsidR="00EC2A52" w:rsidRPr="004353DD" w:rsidTr="00EC2A52">
        <w:trPr>
          <w:trHeight w:val="300"/>
        </w:trPr>
        <w:tc>
          <w:tcPr>
            <w:tcW w:w="11181" w:type="dxa"/>
            <w:gridSpan w:val="9"/>
            <w:tcBorders>
              <w:top w:val="nil"/>
              <w:left w:val="nil"/>
              <w:bottom w:val="nil"/>
              <w:right w:val="nil"/>
            </w:tcBorders>
            <w:shd w:val="clear" w:color="auto" w:fill="auto"/>
            <w:noWrap/>
            <w:vAlign w:val="bottom"/>
            <w:hideMark/>
          </w:tcPr>
          <w:p w:rsidR="00EC2A52" w:rsidRPr="004353DD" w:rsidRDefault="00EC2A52" w:rsidP="00EC2A52">
            <w:pPr>
              <w:rPr>
                <w:rFonts w:ascii="Calibri" w:hAnsi="Calibri"/>
                <w:color w:val="000000"/>
                <w:sz w:val="20"/>
                <w:szCs w:val="20"/>
              </w:rPr>
            </w:pPr>
            <w:r w:rsidRPr="004353DD">
              <w:rPr>
                <w:rFonts w:ascii="Calibri" w:hAnsi="Calibri"/>
                <w:color w:val="000000"/>
                <w:sz w:val="20"/>
                <w:szCs w:val="20"/>
              </w:rPr>
              <w:t>*** p&lt;0.01, ** p&lt;0.05, * p&lt;0.1</w:t>
            </w:r>
          </w:p>
        </w:tc>
      </w:tr>
    </w:tbl>
    <w:p w:rsidR="00EC2A52" w:rsidRPr="009263A5" w:rsidRDefault="00EC2A52" w:rsidP="00EC2A52">
      <w:pPr>
        <w:rPr>
          <w:sz w:val="20"/>
          <w:szCs w:val="20"/>
        </w:rPr>
      </w:pPr>
    </w:p>
    <w:p w:rsidR="00EC2A52" w:rsidRPr="004345D6" w:rsidRDefault="00EC2A52" w:rsidP="00EC2A52">
      <w:pPr>
        <w:spacing w:before="120" w:after="120"/>
        <w:rPr>
          <w:i/>
          <w:sz w:val="22"/>
          <w:szCs w:val="22"/>
        </w:rPr>
      </w:pPr>
      <w:r>
        <w:rPr>
          <w:i/>
          <w:sz w:val="20"/>
          <w:szCs w:val="20"/>
          <w:vertAlign w:val="superscript"/>
        </w:rPr>
        <w:t xml:space="preserve">a </w:t>
      </w:r>
      <w:r w:rsidRPr="00902DE3">
        <w:rPr>
          <w:i/>
          <w:sz w:val="20"/>
          <w:szCs w:val="20"/>
        </w:rPr>
        <w:t>See variable definitions in Table A2 in Appendix</w:t>
      </w:r>
      <w:r>
        <w:rPr>
          <w:i/>
          <w:sz w:val="20"/>
          <w:szCs w:val="20"/>
        </w:rPr>
        <w:t xml:space="preserve"> A. </w:t>
      </w:r>
      <w:r w:rsidRPr="00462FDF">
        <w:rPr>
          <w:i/>
          <w:sz w:val="20"/>
          <w:szCs w:val="20"/>
        </w:rPr>
        <w:t>nmkt_t2 is adjusted temperature squared interacted with an indicator variable equal to one when the study omits market impacts. For all estimates for which this indicator variable is one, damages are measured in compensating surplus and not WTP.</w:t>
      </w:r>
      <w:r w:rsidRPr="004345D6">
        <w:rPr>
          <w:i/>
          <w:sz w:val="22"/>
          <w:szCs w:val="22"/>
        </w:rPr>
        <w:t xml:space="preserve"> </w:t>
      </w:r>
    </w:p>
    <w:p w:rsidR="00B17416" w:rsidRDefault="00B17416"/>
    <w:sectPr w:rsidR="00B17416" w:rsidSect="00EC2A52">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98C" w:rsidRDefault="0092698C" w:rsidP="00454993">
      <w:r>
        <w:separator/>
      </w:r>
    </w:p>
  </w:endnote>
  <w:endnote w:type="continuationSeparator" w:id="0">
    <w:p w:rsidR="0092698C" w:rsidRDefault="0092698C" w:rsidP="004549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8243257"/>
      <w:docPartObj>
        <w:docPartGallery w:val="Page Numbers (Bottom of Page)"/>
        <w:docPartUnique/>
      </w:docPartObj>
    </w:sdtPr>
    <w:sdtEndPr>
      <w:rPr>
        <w:noProof/>
      </w:rPr>
    </w:sdtEndPr>
    <w:sdtContent>
      <w:p w:rsidR="00454993" w:rsidRDefault="00454993">
        <w:pPr>
          <w:pStyle w:val="Footer"/>
          <w:jc w:val="center"/>
        </w:pPr>
        <w:r>
          <w:t>A-</w:t>
        </w:r>
        <w:r w:rsidR="00EA447D">
          <w:fldChar w:fldCharType="begin"/>
        </w:r>
        <w:r>
          <w:instrText xml:space="preserve"> PAGE   \* MERGEFORMAT </w:instrText>
        </w:r>
        <w:r w:rsidR="00EA447D">
          <w:fldChar w:fldCharType="separate"/>
        </w:r>
        <w:r w:rsidR="00E120D8">
          <w:rPr>
            <w:noProof/>
          </w:rPr>
          <w:t>48</w:t>
        </w:r>
        <w:r w:rsidR="00EA447D">
          <w:rPr>
            <w:noProof/>
          </w:rPr>
          <w:fldChar w:fldCharType="end"/>
        </w:r>
      </w:p>
    </w:sdtContent>
  </w:sdt>
  <w:p w:rsidR="00454993" w:rsidRDefault="004549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98C" w:rsidRDefault="0092698C" w:rsidP="00454993">
      <w:r>
        <w:separator/>
      </w:r>
    </w:p>
  </w:footnote>
  <w:footnote w:type="continuationSeparator" w:id="0">
    <w:p w:rsidR="0092698C" w:rsidRDefault="0092698C" w:rsidP="004549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6793"/>
    <w:multiLevelType w:val="hybridMultilevel"/>
    <w:tmpl w:val="CEC842F0"/>
    <w:lvl w:ilvl="0" w:tplc="60BA36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B613E"/>
    <w:multiLevelType w:val="hybridMultilevel"/>
    <w:tmpl w:val="B420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90898"/>
    <w:multiLevelType w:val="hybridMultilevel"/>
    <w:tmpl w:val="1402F22C"/>
    <w:lvl w:ilvl="0" w:tplc="5C0CC42A">
      <w:start w:val="1"/>
      <w:numFmt w:val="lowerLetter"/>
      <w:lvlText w:val="(%1)"/>
      <w:lvlJc w:val="left"/>
      <w:pPr>
        <w:ind w:left="2655" w:hanging="36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3">
    <w:nsid w:val="0F19695D"/>
    <w:multiLevelType w:val="hybridMultilevel"/>
    <w:tmpl w:val="A3E89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BF0685"/>
    <w:multiLevelType w:val="hybridMultilevel"/>
    <w:tmpl w:val="FEF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C3075"/>
    <w:multiLevelType w:val="hybridMultilevel"/>
    <w:tmpl w:val="5D56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80724"/>
    <w:multiLevelType w:val="hybridMultilevel"/>
    <w:tmpl w:val="CEC842F0"/>
    <w:lvl w:ilvl="0" w:tplc="60BA36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932BF3"/>
    <w:multiLevelType w:val="hybridMultilevel"/>
    <w:tmpl w:val="99C6B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C5D49"/>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881E79"/>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CC61FC"/>
    <w:multiLevelType w:val="hybridMultilevel"/>
    <w:tmpl w:val="981286D8"/>
    <w:lvl w:ilvl="0" w:tplc="C930B2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341C4"/>
    <w:multiLevelType w:val="hybridMultilevel"/>
    <w:tmpl w:val="899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C3F6E"/>
    <w:multiLevelType w:val="hybridMultilevel"/>
    <w:tmpl w:val="E07A37D0"/>
    <w:lvl w:ilvl="0" w:tplc="AD949944">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A228A"/>
    <w:multiLevelType w:val="hybridMultilevel"/>
    <w:tmpl w:val="F580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E64459"/>
    <w:multiLevelType w:val="hybridMultilevel"/>
    <w:tmpl w:val="8CD8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B59A7"/>
    <w:multiLevelType w:val="hybridMultilevel"/>
    <w:tmpl w:val="F78AEF8E"/>
    <w:lvl w:ilvl="0" w:tplc="C64025A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0736F"/>
    <w:multiLevelType w:val="hybridMultilevel"/>
    <w:tmpl w:val="031C9A88"/>
    <w:lvl w:ilvl="0" w:tplc="D13A5DFC">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9334B"/>
    <w:multiLevelType w:val="hybridMultilevel"/>
    <w:tmpl w:val="DD56AE78"/>
    <w:lvl w:ilvl="0" w:tplc="CFEE63B4">
      <w:start w:val="1"/>
      <w:numFmt w:val="bullet"/>
      <w:lvlText w:val="•"/>
      <w:lvlJc w:val="left"/>
      <w:pPr>
        <w:tabs>
          <w:tab w:val="num" w:pos="720"/>
        </w:tabs>
        <w:ind w:left="720" w:hanging="360"/>
      </w:pPr>
      <w:rPr>
        <w:rFonts w:ascii="Arial" w:hAnsi="Arial" w:hint="default"/>
      </w:rPr>
    </w:lvl>
    <w:lvl w:ilvl="1" w:tplc="53068E28">
      <w:start w:val="1327"/>
      <w:numFmt w:val="bullet"/>
      <w:lvlText w:val="–"/>
      <w:lvlJc w:val="left"/>
      <w:pPr>
        <w:tabs>
          <w:tab w:val="num" w:pos="1440"/>
        </w:tabs>
        <w:ind w:left="1440" w:hanging="360"/>
      </w:pPr>
      <w:rPr>
        <w:rFonts w:ascii="Arial" w:hAnsi="Arial" w:hint="default"/>
      </w:rPr>
    </w:lvl>
    <w:lvl w:ilvl="2" w:tplc="3E1AC428" w:tentative="1">
      <w:start w:val="1"/>
      <w:numFmt w:val="bullet"/>
      <w:lvlText w:val="•"/>
      <w:lvlJc w:val="left"/>
      <w:pPr>
        <w:tabs>
          <w:tab w:val="num" w:pos="2160"/>
        </w:tabs>
        <w:ind w:left="2160" w:hanging="360"/>
      </w:pPr>
      <w:rPr>
        <w:rFonts w:ascii="Arial" w:hAnsi="Arial" w:hint="default"/>
      </w:rPr>
    </w:lvl>
    <w:lvl w:ilvl="3" w:tplc="BED0E576" w:tentative="1">
      <w:start w:val="1"/>
      <w:numFmt w:val="bullet"/>
      <w:lvlText w:val="•"/>
      <w:lvlJc w:val="left"/>
      <w:pPr>
        <w:tabs>
          <w:tab w:val="num" w:pos="2880"/>
        </w:tabs>
        <w:ind w:left="2880" w:hanging="360"/>
      </w:pPr>
      <w:rPr>
        <w:rFonts w:ascii="Arial" w:hAnsi="Arial" w:hint="default"/>
      </w:rPr>
    </w:lvl>
    <w:lvl w:ilvl="4" w:tplc="8F121804" w:tentative="1">
      <w:start w:val="1"/>
      <w:numFmt w:val="bullet"/>
      <w:lvlText w:val="•"/>
      <w:lvlJc w:val="left"/>
      <w:pPr>
        <w:tabs>
          <w:tab w:val="num" w:pos="3600"/>
        </w:tabs>
        <w:ind w:left="3600" w:hanging="360"/>
      </w:pPr>
      <w:rPr>
        <w:rFonts w:ascii="Arial" w:hAnsi="Arial" w:hint="default"/>
      </w:rPr>
    </w:lvl>
    <w:lvl w:ilvl="5" w:tplc="B5B21D36" w:tentative="1">
      <w:start w:val="1"/>
      <w:numFmt w:val="bullet"/>
      <w:lvlText w:val="•"/>
      <w:lvlJc w:val="left"/>
      <w:pPr>
        <w:tabs>
          <w:tab w:val="num" w:pos="4320"/>
        </w:tabs>
        <w:ind w:left="4320" w:hanging="360"/>
      </w:pPr>
      <w:rPr>
        <w:rFonts w:ascii="Arial" w:hAnsi="Arial" w:hint="default"/>
      </w:rPr>
    </w:lvl>
    <w:lvl w:ilvl="6" w:tplc="EC007B2E" w:tentative="1">
      <w:start w:val="1"/>
      <w:numFmt w:val="bullet"/>
      <w:lvlText w:val="•"/>
      <w:lvlJc w:val="left"/>
      <w:pPr>
        <w:tabs>
          <w:tab w:val="num" w:pos="5040"/>
        </w:tabs>
        <w:ind w:left="5040" w:hanging="360"/>
      </w:pPr>
      <w:rPr>
        <w:rFonts w:ascii="Arial" w:hAnsi="Arial" w:hint="default"/>
      </w:rPr>
    </w:lvl>
    <w:lvl w:ilvl="7" w:tplc="06A43F18" w:tentative="1">
      <w:start w:val="1"/>
      <w:numFmt w:val="bullet"/>
      <w:lvlText w:val="•"/>
      <w:lvlJc w:val="left"/>
      <w:pPr>
        <w:tabs>
          <w:tab w:val="num" w:pos="5760"/>
        </w:tabs>
        <w:ind w:left="5760" w:hanging="360"/>
      </w:pPr>
      <w:rPr>
        <w:rFonts w:ascii="Arial" w:hAnsi="Arial" w:hint="default"/>
      </w:rPr>
    </w:lvl>
    <w:lvl w:ilvl="8" w:tplc="F760E1E4" w:tentative="1">
      <w:start w:val="1"/>
      <w:numFmt w:val="bullet"/>
      <w:lvlText w:val="•"/>
      <w:lvlJc w:val="left"/>
      <w:pPr>
        <w:tabs>
          <w:tab w:val="num" w:pos="6480"/>
        </w:tabs>
        <w:ind w:left="6480" w:hanging="360"/>
      </w:pPr>
      <w:rPr>
        <w:rFonts w:ascii="Arial" w:hAnsi="Arial" w:hint="default"/>
      </w:rPr>
    </w:lvl>
  </w:abstractNum>
  <w:abstractNum w:abstractNumId="18">
    <w:nsid w:val="3B9F7AAC"/>
    <w:multiLevelType w:val="hybridMultilevel"/>
    <w:tmpl w:val="BF9E9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51311E"/>
    <w:multiLevelType w:val="hybridMultilevel"/>
    <w:tmpl w:val="1AE07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422014"/>
    <w:multiLevelType w:val="hybridMultilevel"/>
    <w:tmpl w:val="77FA2F86"/>
    <w:lvl w:ilvl="0" w:tplc="C5D88846">
      <w:start w:val="1"/>
      <w:numFmt w:val="lowerLetter"/>
      <w:lvlText w:val="(%1)"/>
      <w:lvlJc w:val="left"/>
      <w:pPr>
        <w:ind w:left="3525" w:hanging="360"/>
      </w:pPr>
      <w:rPr>
        <w:rFonts w:hint="default"/>
      </w:rPr>
    </w:lvl>
    <w:lvl w:ilvl="1" w:tplc="04090019" w:tentative="1">
      <w:start w:val="1"/>
      <w:numFmt w:val="lowerLetter"/>
      <w:lvlText w:val="%2."/>
      <w:lvlJc w:val="left"/>
      <w:pPr>
        <w:ind w:left="4245" w:hanging="360"/>
      </w:pPr>
    </w:lvl>
    <w:lvl w:ilvl="2" w:tplc="0409001B" w:tentative="1">
      <w:start w:val="1"/>
      <w:numFmt w:val="lowerRoman"/>
      <w:lvlText w:val="%3."/>
      <w:lvlJc w:val="right"/>
      <w:pPr>
        <w:ind w:left="4965" w:hanging="180"/>
      </w:pPr>
    </w:lvl>
    <w:lvl w:ilvl="3" w:tplc="0409000F" w:tentative="1">
      <w:start w:val="1"/>
      <w:numFmt w:val="decimal"/>
      <w:lvlText w:val="%4."/>
      <w:lvlJc w:val="left"/>
      <w:pPr>
        <w:ind w:left="5685" w:hanging="360"/>
      </w:pPr>
    </w:lvl>
    <w:lvl w:ilvl="4" w:tplc="04090019" w:tentative="1">
      <w:start w:val="1"/>
      <w:numFmt w:val="lowerLetter"/>
      <w:lvlText w:val="%5."/>
      <w:lvlJc w:val="left"/>
      <w:pPr>
        <w:ind w:left="6405" w:hanging="360"/>
      </w:pPr>
    </w:lvl>
    <w:lvl w:ilvl="5" w:tplc="0409001B" w:tentative="1">
      <w:start w:val="1"/>
      <w:numFmt w:val="lowerRoman"/>
      <w:lvlText w:val="%6."/>
      <w:lvlJc w:val="right"/>
      <w:pPr>
        <w:ind w:left="7125" w:hanging="180"/>
      </w:pPr>
    </w:lvl>
    <w:lvl w:ilvl="6" w:tplc="0409000F" w:tentative="1">
      <w:start w:val="1"/>
      <w:numFmt w:val="decimal"/>
      <w:lvlText w:val="%7."/>
      <w:lvlJc w:val="left"/>
      <w:pPr>
        <w:ind w:left="7845" w:hanging="360"/>
      </w:pPr>
    </w:lvl>
    <w:lvl w:ilvl="7" w:tplc="04090019" w:tentative="1">
      <w:start w:val="1"/>
      <w:numFmt w:val="lowerLetter"/>
      <w:lvlText w:val="%8."/>
      <w:lvlJc w:val="left"/>
      <w:pPr>
        <w:ind w:left="8565" w:hanging="360"/>
      </w:pPr>
    </w:lvl>
    <w:lvl w:ilvl="8" w:tplc="0409001B" w:tentative="1">
      <w:start w:val="1"/>
      <w:numFmt w:val="lowerRoman"/>
      <w:lvlText w:val="%9."/>
      <w:lvlJc w:val="right"/>
      <w:pPr>
        <w:ind w:left="9285" w:hanging="180"/>
      </w:pPr>
    </w:lvl>
  </w:abstractNum>
  <w:abstractNum w:abstractNumId="21">
    <w:nsid w:val="3FA86398"/>
    <w:multiLevelType w:val="hybridMultilevel"/>
    <w:tmpl w:val="F8B2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D03BE3"/>
    <w:multiLevelType w:val="hybridMultilevel"/>
    <w:tmpl w:val="5678D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11B8B"/>
    <w:multiLevelType w:val="hybridMultilevel"/>
    <w:tmpl w:val="C2B416B0"/>
    <w:lvl w:ilvl="0" w:tplc="B3BA9C48">
      <w:start w:val="1"/>
      <w:numFmt w:val="bullet"/>
      <w:lvlText w:val="•"/>
      <w:lvlJc w:val="left"/>
      <w:pPr>
        <w:tabs>
          <w:tab w:val="num" w:pos="720"/>
        </w:tabs>
        <w:ind w:left="720" w:hanging="360"/>
      </w:pPr>
      <w:rPr>
        <w:rFonts w:ascii="Arial" w:hAnsi="Arial" w:hint="default"/>
      </w:rPr>
    </w:lvl>
    <w:lvl w:ilvl="1" w:tplc="E444BCDC">
      <w:start w:val="1040"/>
      <w:numFmt w:val="bullet"/>
      <w:lvlText w:val="–"/>
      <w:lvlJc w:val="left"/>
      <w:pPr>
        <w:tabs>
          <w:tab w:val="num" w:pos="1440"/>
        </w:tabs>
        <w:ind w:left="1440" w:hanging="360"/>
      </w:pPr>
      <w:rPr>
        <w:rFonts w:ascii="Arial" w:hAnsi="Arial" w:hint="default"/>
      </w:rPr>
    </w:lvl>
    <w:lvl w:ilvl="2" w:tplc="E58EFF3E" w:tentative="1">
      <w:start w:val="1"/>
      <w:numFmt w:val="bullet"/>
      <w:lvlText w:val="•"/>
      <w:lvlJc w:val="left"/>
      <w:pPr>
        <w:tabs>
          <w:tab w:val="num" w:pos="2160"/>
        </w:tabs>
        <w:ind w:left="2160" w:hanging="360"/>
      </w:pPr>
      <w:rPr>
        <w:rFonts w:ascii="Arial" w:hAnsi="Arial" w:hint="default"/>
      </w:rPr>
    </w:lvl>
    <w:lvl w:ilvl="3" w:tplc="7FC425CE" w:tentative="1">
      <w:start w:val="1"/>
      <w:numFmt w:val="bullet"/>
      <w:lvlText w:val="•"/>
      <w:lvlJc w:val="left"/>
      <w:pPr>
        <w:tabs>
          <w:tab w:val="num" w:pos="2880"/>
        </w:tabs>
        <w:ind w:left="2880" w:hanging="360"/>
      </w:pPr>
      <w:rPr>
        <w:rFonts w:ascii="Arial" w:hAnsi="Arial" w:hint="default"/>
      </w:rPr>
    </w:lvl>
    <w:lvl w:ilvl="4" w:tplc="AD24E1EC" w:tentative="1">
      <w:start w:val="1"/>
      <w:numFmt w:val="bullet"/>
      <w:lvlText w:val="•"/>
      <w:lvlJc w:val="left"/>
      <w:pPr>
        <w:tabs>
          <w:tab w:val="num" w:pos="3600"/>
        </w:tabs>
        <w:ind w:left="3600" w:hanging="360"/>
      </w:pPr>
      <w:rPr>
        <w:rFonts w:ascii="Arial" w:hAnsi="Arial" w:hint="default"/>
      </w:rPr>
    </w:lvl>
    <w:lvl w:ilvl="5" w:tplc="9B9ADC26" w:tentative="1">
      <w:start w:val="1"/>
      <w:numFmt w:val="bullet"/>
      <w:lvlText w:val="•"/>
      <w:lvlJc w:val="left"/>
      <w:pPr>
        <w:tabs>
          <w:tab w:val="num" w:pos="4320"/>
        </w:tabs>
        <w:ind w:left="4320" w:hanging="360"/>
      </w:pPr>
      <w:rPr>
        <w:rFonts w:ascii="Arial" w:hAnsi="Arial" w:hint="default"/>
      </w:rPr>
    </w:lvl>
    <w:lvl w:ilvl="6" w:tplc="1D08FD0E" w:tentative="1">
      <w:start w:val="1"/>
      <w:numFmt w:val="bullet"/>
      <w:lvlText w:val="•"/>
      <w:lvlJc w:val="left"/>
      <w:pPr>
        <w:tabs>
          <w:tab w:val="num" w:pos="5040"/>
        </w:tabs>
        <w:ind w:left="5040" w:hanging="360"/>
      </w:pPr>
      <w:rPr>
        <w:rFonts w:ascii="Arial" w:hAnsi="Arial" w:hint="default"/>
      </w:rPr>
    </w:lvl>
    <w:lvl w:ilvl="7" w:tplc="A55C44E0" w:tentative="1">
      <w:start w:val="1"/>
      <w:numFmt w:val="bullet"/>
      <w:lvlText w:val="•"/>
      <w:lvlJc w:val="left"/>
      <w:pPr>
        <w:tabs>
          <w:tab w:val="num" w:pos="5760"/>
        </w:tabs>
        <w:ind w:left="5760" w:hanging="360"/>
      </w:pPr>
      <w:rPr>
        <w:rFonts w:ascii="Arial" w:hAnsi="Arial" w:hint="default"/>
      </w:rPr>
    </w:lvl>
    <w:lvl w:ilvl="8" w:tplc="B7720ED0" w:tentative="1">
      <w:start w:val="1"/>
      <w:numFmt w:val="bullet"/>
      <w:lvlText w:val="•"/>
      <w:lvlJc w:val="left"/>
      <w:pPr>
        <w:tabs>
          <w:tab w:val="num" w:pos="6480"/>
        </w:tabs>
        <w:ind w:left="6480" w:hanging="360"/>
      </w:pPr>
      <w:rPr>
        <w:rFonts w:ascii="Arial" w:hAnsi="Arial" w:hint="default"/>
      </w:rPr>
    </w:lvl>
  </w:abstractNum>
  <w:abstractNum w:abstractNumId="24">
    <w:nsid w:val="47DC0F78"/>
    <w:multiLevelType w:val="hybridMultilevel"/>
    <w:tmpl w:val="49941F58"/>
    <w:lvl w:ilvl="0" w:tplc="CE7CF3E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435885"/>
    <w:multiLevelType w:val="hybridMultilevel"/>
    <w:tmpl w:val="428C5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2EA1A76"/>
    <w:multiLevelType w:val="hybridMultilevel"/>
    <w:tmpl w:val="CFC4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D0147"/>
    <w:multiLevelType w:val="hybridMultilevel"/>
    <w:tmpl w:val="5FFA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321762"/>
    <w:multiLevelType w:val="hybridMultilevel"/>
    <w:tmpl w:val="ECFE8F22"/>
    <w:lvl w:ilvl="0" w:tplc="2C2291E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F22AA4"/>
    <w:multiLevelType w:val="hybridMultilevel"/>
    <w:tmpl w:val="06BA7E88"/>
    <w:lvl w:ilvl="0" w:tplc="B6E4E4D4">
      <w:start w:val="1"/>
      <w:numFmt w:val="bullet"/>
      <w:lvlText w:val="•"/>
      <w:lvlJc w:val="left"/>
      <w:pPr>
        <w:tabs>
          <w:tab w:val="num" w:pos="720"/>
        </w:tabs>
        <w:ind w:left="720" w:hanging="360"/>
      </w:pPr>
      <w:rPr>
        <w:rFonts w:ascii="Arial" w:hAnsi="Arial" w:hint="default"/>
      </w:rPr>
    </w:lvl>
    <w:lvl w:ilvl="1" w:tplc="52282F34">
      <w:start w:val="1027"/>
      <w:numFmt w:val="bullet"/>
      <w:lvlText w:val="–"/>
      <w:lvlJc w:val="left"/>
      <w:pPr>
        <w:tabs>
          <w:tab w:val="num" w:pos="1440"/>
        </w:tabs>
        <w:ind w:left="1440" w:hanging="360"/>
      </w:pPr>
      <w:rPr>
        <w:rFonts w:ascii="Arial" w:hAnsi="Arial" w:hint="default"/>
      </w:rPr>
    </w:lvl>
    <w:lvl w:ilvl="2" w:tplc="45F07602" w:tentative="1">
      <w:start w:val="1"/>
      <w:numFmt w:val="bullet"/>
      <w:lvlText w:val="•"/>
      <w:lvlJc w:val="left"/>
      <w:pPr>
        <w:tabs>
          <w:tab w:val="num" w:pos="2160"/>
        </w:tabs>
        <w:ind w:left="2160" w:hanging="360"/>
      </w:pPr>
      <w:rPr>
        <w:rFonts w:ascii="Arial" w:hAnsi="Arial" w:hint="default"/>
      </w:rPr>
    </w:lvl>
    <w:lvl w:ilvl="3" w:tplc="CFC8A088" w:tentative="1">
      <w:start w:val="1"/>
      <w:numFmt w:val="bullet"/>
      <w:lvlText w:val="•"/>
      <w:lvlJc w:val="left"/>
      <w:pPr>
        <w:tabs>
          <w:tab w:val="num" w:pos="2880"/>
        </w:tabs>
        <w:ind w:left="2880" w:hanging="360"/>
      </w:pPr>
      <w:rPr>
        <w:rFonts w:ascii="Arial" w:hAnsi="Arial" w:hint="default"/>
      </w:rPr>
    </w:lvl>
    <w:lvl w:ilvl="4" w:tplc="F04ADA0C" w:tentative="1">
      <w:start w:val="1"/>
      <w:numFmt w:val="bullet"/>
      <w:lvlText w:val="•"/>
      <w:lvlJc w:val="left"/>
      <w:pPr>
        <w:tabs>
          <w:tab w:val="num" w:pos="3600"/>
        </w:tabs>
        <w:ind w:left="3600" w:hanging="360"/>
      </w:pPr>
      <w:rPr>
        <w:rFonts w:ascii="Arial" w:hAnsi="Arial" w:hint="default"/>
      </w:rPr>
    </w:lvl>
    <w:lvl w:ilvl="5" w:tplc="76761538" w:tentative="1">
      <w:start w:val="1"/>
      <w:numFmt w:val="bullet"/>
      <w:lvlText w:val="•"/>
      <w:lvlJc w:val="left"/>
      <w:pPr>
        <w:tabs>
          <w:tab w:val="num" w:pos="4320"/>
        </w:tabs>
        <w:ind w:left="4320" w:hanging="360"/>
      </w:pPr>
      <w:rPr>
        <w:rFonts w:ascii="Arial" w:hAnsi="Arial" w:hint="default"/>
      </w:rPr>
    </w:lvl>
    <w:lvl w:ilvl="6" w:tplc="8C541CD0" w:tentative="1">
      <w:start w:val="1"/>
      <w:numFmt w:val="bullet"/>
      <w:lvlText w:val="•"/>
      <w:lvlJc w:val="left"/>
      <w:pPr>
        <w:tabs>
          <w:tab w:val="num" w:pos="5040"/>
        </w:tabs>
        <w:ind w:left="5040" w:hanging="360"/>
      </w:pPr>
      <w:rPr>
        <w:rFonts w:ascii="Arial" w:hAnsi="Arial" w:hint="default"/>
      </w:rPr>
    </w:lvl>
    <w:lvl w:ilvl="7" w:tplc="ABECFC00" w:tentative="1">
      <w:start w:val="1"/>
      <w:numFmt w:val="bullet"/>
      <w:lvlText w:val="•"/>
      <w:lvlJc w:val="left"/>
      <w:pPr>
        <w:tabs>
          <w:tab w:val="num" w:pos="5760"/>
        </w:tabs>
        <w:ind w:left="5760" w:hanging="360"/>
      </w:pPr>
      <w:rPr>
        <w:rFonts w:ascii="Arial" w:hAnsi="Arial" w:hint="default"/>
      </w:rPr>
    </w:lvl>
    <w:lvl w:ilvl="8" w:tplc="39F0066A" w:tentative="1">
      <w:start w:val="1"/>
      <w:numFmt w:val="bullet"/>
      <w:lvlText w:val="•"/>
      <w:lvlJc w:val="left"/>
      <w:pPr>
        <w:tabs>
          <w:tab w:val="num" w:pos="6480"/>
        </w:tabs>
        <w:ind w:left="6480" w:hanging="360"/>
      </w:pPr>
      <w:rPr>
        <w:rFonts w:ascii="Arial" w:hAnsi="Arial" w:hint="default"/>
      </w:rPr>
    </w:lvl>
  </w:abstractNum>
  <w:abstractNum w:abstractNumId="30">
    <w:nsid w:val="59A5480B"/>
    <w:multiLevelType w:val="hybridMultilevel"/>
    <w:tmpl w:val="2F3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F5C0F"/>
    <w:multiLevelType w:val="hybridMultilevel"/>
    <w:tmpl w:val="0A4C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21BD3"/>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48110F"/>
    <w:multiLevelType w:val="hybridMultilevel"/>
    <w:tmpl w:val="4E44E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6143F4"/>
    <w:multiLevelType w:val="hybridMultilevel"/>
    <w:tmpl w:val="CEC842F0"/>
    <w:lvl w:ilvl="0" w:tplc="60BA36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7A0DC5"/>
    <w:multiLevelType w:val="hybridMultilevel"/>
    <w:tmpl w:val="EC64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4961DC"/>
    <w:multiLevelType w:val="hybridMultilevel"/>
    <w:tmpl w:val="EC4A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EE76A7"/>
    <w:multiLevelType w:val="hybridMultilevel"/>
    <w:tmpl w:val="681C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3E6573"/>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205042"/>
    <w:multiLevelType w:val="hybridMultilevel"/>
    <w:tmpl w:val="7F6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C4571C"/>
    <w:multiLevelType w:val="hybridMultilevel"/>
    <w:tmpl w:val="0B6CB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C97CAC"/>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EEE7026"/>
    <w:multiLevelType w:val="hybridMultilevel"/>
    <w:tmpl w:val="CEC842F0"/>
    <w:lvl w:ilvl="0" w:tplc="60BA36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723A1A"/>
    <w:multiLevelType w:val="hybridMultilevel"/>
    <w:tmpl w:val="7E66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5806F2"/>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15923E2"/>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1B575A7"/>
    <w:multiLevelType w:val="hybridMultilevel"/>
    <w:tmpl w:val="CC44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BF70D8"/>
    <w:multiLevelType w:val="hybridMultilevel"/>
    <w:tmpl w:val="031C9A88"/>
    <w:lvl w:ilvl="0" w:tplc="D13A5DFC">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A20B8B"/>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B7934F7"/>
    <w:multiLevelType w:val="hybridMultilevel"/>
    <w:tmpl w:val="31700122"/>
    <w:lvl w:ilvl="0" w:tplc="39B8B56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4"/>
  </w:num>
  <w:num w:numId="3">
    <w:abstractNumId w:val="12"/>
  </w:num>
  <w:num w:numId="4">
    <w:abstractNumId w:val="29"/>
  </w:num>
  <w:num w:numId="5">
    <w:abstractNumId w:val="19"/>
  </w:num>
  <w:num w:numId="6">
    <w:abstractNumId w:val="37"/>
  </w:num>
  <w:num w:numId="7">
    <w:abstractNumId w:val="39"/>
  </w:num>
  <w:num w:numId="8">
    <w:abstractNumId w:val="27"/>
  </w:num>
  <w:num w:numId="9">
    <w:abstractNumId w:val="34"/>
  </w:num>
  <w:num w:numId="10">
    <w:abstractNumId w:val="42"/>
  </w:num>
  <w:num w:numId="11">
    <w:abstractNumId w:val="0"/>
  </w:num>
  <w:num w:numId="12">
    <w:abstractNumId w:val="17"/>
  </w:num>
  <w:num w:numId="13">
    <w:abstractNumId w:val="23"/>
  </w:num>
  <w:num w:numId="14">
    <w:abstractNumId w:val="15"/>
  </w:num>
  <w:num w:numId="15">
    <w:abstractNumId w:val="4"/>
  </w:num>
  <w:num w:numId="16">
    <w:abstractNumId w:val="6"/>
  </w:num>
  <w:num w:numId="17">
    <w:abstractNumId w:val="22"/>
  </w:num>
  <w:num w:numId="18">
    <w:abstractNumId w:val="21"/>
  </w:num>
  <w:num w:numId="19">
    <w:abstractNumId w:val="1"/>
  </w:num>
  <w:num w:numId="20">
    <w:abstractNumId w:val="48"/>
  </w:num>
  <w:num w:numId="21">
    <w:abstractNumId w:val="44"/>
  </w:num>
  <w:num w:numId="22">
    <w:abstractNumId w:val="41"/>
  </w:num>
  <w:num w:numId="23">
    <w:abstractNumId w:val="38"/>
  </w:num>
  <w:num w:numId="24">
    <w:abstractNumId w:val="7"/>
  </w:num>
  <w:num w:numId="25">
    <w:abstractNumId w:val="9"/>
  </w:num>
  <w:num w:numId="26">
    <w:abstractNumId w:val="40"/>
  </w:num>
  <w:num w:numId="27">
    <w:abstractNumId w:val="49"/>
  </w:num>
  <w:num w:numId="28">
    <w:abstractNumId w:val="8"/>
  </w:num>
  <w:num w:numId="29">
    <w:abstractNumId w:val="45"/>
  </w:num>
  <w:num w:numId="30">
    <w:abstractNumId w:val="32"/>
  </w:num>
  <w:num w:numId="31">
    <w:abstractNumId w:val="47"/>
  </w:num>
  <w:num w:numId="32">
    <w:abstractNumId w:val="13"/>
  </w:num>
  <w:num w:numId="33">
    <w:abstractNumId w:val="31"/>
  </w:num>
  <w:num w:numId="34">
    <w:abstractNumId w:val="11"/>
  </w:num>
  <w:num w:numId="35">
    <w:abstractNumId w:val="35"/>
  </w:num>
  <w:num w:numId="36">
    <w:abstractNumId w:val="30"/>
  </w:num>
  <w:num w:numId="37">
    <w:abstractNumId w:val="33"/>
  </w:num>
  <w:num w:numId="38">
    <w:abstractNumId w:val="16"/>
  </w:num>
  <w:num w:numId="39">
    <w:abstractNumId w:val="46"/>
  </w:num>
  <w:num w:numId="40">
    <w:abstractNumId w:val="14"/>
  </w:num>
  <w:num w:numId="41">
    <w:abstractNumId w:val="25"/>
  </w:num>
  <w:num w:numId="42">
    <w:abstractNumId w:val="3"/>
  </w:num>
  <w:num w:numId="43">
    <w:abstractNumId w:val="20"/>
  </w:num>
  <w:num w:numId="44">
    <w:abstractNumId w:val="43"/>
  </w:num>
  <w:num w:numId="45">
    <w:abstractNumId w:val="5"/>
  </w:num>
  <w:num w:numId="46">
    <w:abstractNumId w:val="28"/>
  </w:num>
  <w:num w:numId="47">
    <w:abstractNumId w:val="10"/>
  </w:num>
  <w:num w:numId="48">
    <w:abstractNumId w:val="18"/>
  </w:num>
  <w:num w:numId="49">
    <w:abstractNumId w:val="36"/>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C2A52"/>
    <w:rsid w:val="000D2CF7"/>
    <w:rsid w:val="00454993"/>
    <w:rsid w:val="0092698C"/>
    <w:rsid w:val="00B17416"/>
    <w:rsid w:val="00E120D8"/>
    <w:rsid w:val="00EA447D"/>
    <w:rsid w:val="00EC2A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C2A52"/>
    <w:rPr>
      <w:vertAlign w:val="superscript"/>
    </w:rPr>
  </w:style>
  <w:style w:type="paragraph" w:styleId="EndnoteText">
    <w:name w:val="endnote text"/>
    <w:basedOn w:val="Normal"/>
    <w:link w:val="EndnoteTextChar"/>
    <w:uiPriority w:val="99"/>
    <w:unhideWhenUsed/>
    <w:rsid w:val="00EC2A52"/>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EC2A52"/>
    <w:rPr>
      <w:sz w:val="20"/>
      <w:szCs w:val="20"/>
    </w:rPr>
  </w:style>
  <w:style w:type="paragraph" w:styleId="ListParagraph">
    <w:name w:val="List Paragraph"/>
    <w:basedOn w:val="Normal"/>
    <w:uiPriority w:val="34"/>
    <w:qFormat/>
    <w:rsid w:val="00EC2A52"/>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qFormat/>
    <w:rsid w:val="00EC2A52"/>
  </w:style>
  <w:style w:type="character" w:styleId="Hyperlink">
    <w:name w:val="Hyperlink"/>
    <w:basedOn w:val="DefaultParagraphFont"/>
    <w:uiPriority w:val="99"/>
    <w:unhideWhenUsed/>
    <w:rsid w:val="00EC2A52"/>
    <w:rPr>
      <w:color w:val="0000FF" w:themeColor="hyperlink"/>
      <w:u w:val="single"/>
    </w:rPr>
  </w:style>
  <w:style w:type="paragraph" w:customStyle="1" w:styleId="Standard">
    <w:name w:val="Standard"/>
    <w:qFormat/>
    <w:rsid w:val="00EC2A52"/>
    <w:pPr>
      <w:suppressAutoHyphens/>
      <w:spacing w:after="0" w:line="240" w:lineRule="auto"/>
      <w:textAlignment w:val="baseline"/>
    </w:pPr>
    <w:rPr>
      <w:rFonts w:ascii="Liberation Serif" w:eastAsia="Droid Sans Fallback" w:hAnsi="Liberation Serif" w:cs="FreeSans"/>
      <w:sz w:val="24"/>
      <w:szCs w:val="24"/>
      <w:lang w:val="sv-SE" w:eastAsia="zh-CN" w:bidi="hi-IN"/>
    </w:rPr>
  </w:style>
  <w:style w:type="character" w:styleId="CommentReference">
    <w:name w:val="annotation reference"/>
    <w:basedOn w:val="DefaultParagraphFont"/>
    <w:uiPriority w:val="99"/>
    <w:semiHidden/>
    <w:unhideWhenUsed/>
    <w:rsid w:val="00EC2A52"/>
    <w:rPr>
      <w:sz w:val="16"/>
      <w:szCs w:val="16"/>
    </w:rPr>
  </w:style>
  <w:style w:type="paragraph" w:styleId="CommentText">
    <w:name w:val="annotation text"/>
    <w:basedOn w:val="Normal"/>
    <w:link w:val="CommentTextChar"/>
    <w:uiPriority w:val="99"/>
    <w:unhideWhenUsed/>
    <w:rsid w:val="00EC2A52"/>
    <w:rPr>
      <w:sz w:val="20"/>
      <w:szCs w:val="20"/>
    </w:rPr>
  </w:style>
  <w:style w:type="character" w:customStyle="1" w:styleId="CommentTextChar">
    <w:name w:val="Comment Text Char"/>
    <w:basedOn w:val="DefaultParagraphFont"/>
    <w:link w:val="CommentText"/>
    <w:uiPriority w:val="99"/>
    <w:rsid w:val="00EC2A52"/>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EC2A52"/>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C2A52"/>
    <w:rPr>
      <w:b/>
      <w:bCs/>
    </w:rPr>
  </w:style>
  <w:style w:type="paragraph" w:styleId="BalloonText">
    <w:name w:val="Balloon Text"/>
    <w:basedOn w:val="Normal"/>
    <w:link w:val="BalloonTextChar"/>
    <w:uiPriority w:val="99"/>
    <w:semiHidden/>
    <w:unhideWhenUsed/>
    <w:rsid w:val="00EC2A52"/>
    <w:rPr>
      <w:rFonts w:ascii="Tahoma" w:hAnsi="Tahoma" w:cs="Tahoma"/>
      <w:sz w:val="16"/>
      <w:szCs w:val="16"/>
    </w:rPr>
  </w:style>
  <w:style w:type="character" w:customStyle="1" w:styleId="BalloonTextChar">
    <w:name w:val="Balloon Text Char"/>
    <w:basedOn w:val="DefaultParagraphFont"/>
    <w:link w:val="BalloonText"/>
    <w:uiPriority w:val="99"/>
    <w:semiHidden/>
    <w:rsid w:val="00EC2A52"/>
    <w:rPr>
      <w:rFonts w:ascii="Tahoma" w:eastAsia="Times New Roman" w:hAnsi="Tahoma" w:cs="Tahoma"/>
      <w:sz w:val="16"/>
      <w:szCs w:val="16"/>
    </w:rPr>
  </w:style>
  <w:style w:type="paragraph" w:styleId="FootnoteText">
    <w:name w:val="footnote text"/>
    <w:basedOn w:val="Normal"/>
    <w:link w:val="FootnoteTextChar"/>
    <w:uiPriority w:val="99"/>
    <w:unhideWhenUsed/>
    <w:rsid w:val="00EC2A52"/>
    <w:rPr>
      <w:sz w:val="20"/>
      <w:szCs w:val="20"/>
    </w:rPr>
  </w:style>
  <w:style w:type="character" w:customStyle="1" w:styleId="FootnoteTextChar">
    <w:name w:val="Footnote Text Char"/>
    <w:basedOn w:val="DefaultParagraphFont"/>
    <w:link w:val="FootnoteText"/>
    <w:uiPriority w:val="99"/>
    <w:rsid w:val="00EC2A5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qFormat/>
    <w:rsid w:val="00EC2A52"/>
    <w:rPr>
      <w:vertAlign w:val="superscript"/>
    </w:rPr>
  </w:style>
  <w:style w:type="paragraph" w:customStyle="1" w:styleId="Default">
    <w:name w:val="Default"/>
    <w:rsid w:val="00EC2A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C2A5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C2A52"/>
  </w:style>
  <w:style w:type="paragraph" w:styleId="Footer">
    <w:name w:val="footer"/>
    <w:basedOn w:val="Normal"/>
    <w:link w:val="FooterChar"/>
    <w:uiPriority w:val="99"/>
    <w:unhideWhenUsed/>
    <w:rsid w:val="00EC2A5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C2A52"/>
  </w:style>
  <w:style w:type="paragraph" w:customStyle="1" w:styleId="EDFLetterText">
    <w:name w:val="EDF_LetterText"/>
    <w:basedOn w:val="Normal"/>
    <w:qFormat/>
    <w:rsid w:val="00EC2A52"/>
    <w:pPr>
      <w:spacing w:line="276" w:lineRule="auto"/>
    </w:pPr>
    <w:rPr>
      <w:rFonts w:ascii="Georgia" w:eastAsia="Cambria" w:hAnsi="Georgia"/>
      <w:sz w:val="22"/>
    </w:rPr>
  </w:style>
  <w:style w:type="paragraph" w:customStyle="1" w:styleId="xmsonormal">
    <w:name w:val="x_msonormal"/>
    <w:basedOn w:val="Normal"/>
    <w:qFormat/>
    <w:rsid w:val="00EC2A52"/>
    <w:pPr>
      <w:spacing w:before="100" w:beforeAutospacing="1" w:after="100" w:afterAutospacing="1"/>
    </w:pPr>
  </w:style>
  <w:style w:type="paragraph" w:styleId="Bibliography">
    <w:name w:val="Bibliography"/>
    <w:basedOn w:val="Normal"/>
    <w:next w:val="Normal"/>
    <w:uiPriority w:val="37"/>
    <w:unhideWhenUsed/>
    <w:rsid w:val="00EC2A52"/>
    <w:pPr>
      <w:spacing w:after="200" w:line="276" w:lineRule="auto"/>
    </w:pPr>
    <w:rPr>
      <w:rFonts w:asciiTheme="minorHAnsi" w:eastAsiaTheme="minorHAnsi" w:hAnsiTheme="minorHAnsi" w:cstheme="minorBidi"/>
      <w:sz w:val="22"/>
      <w:szCs w:val="22"/>
    </w:rPr>
  </w:style>
  <w:style w:type="character" w:customStyle="1" w:styleId="Betonad">
    <w:name w:val="Betonad"/>
    <w:rsid w:val="00EC2A52"/>
    <w:rPr>
      <w:i/>
      <w:iCs/>
    </w:rPr>
  </w:style>
  <w:style w:type="character" w:customStyle="1" w:styleId="Internetlnk">
    <w:name w:val="Internetlänk"/>
    <w:rsid w:val="00EC2A52"/>
    <w:rPr>
      <w:color w:val="000080"/>
      <w:u w:val="single"/>
    </w:rPr>
  </w:style>
  <w:style w:type="character" w:customStyle="1" w:styleId="Numreringstecken">
    <w:name w:val="Numreringstecken"/>
    <w:qFormat/>
    <w:rsid w:val="00EC2A52"/>
  </w:style>
  <w:style w:type="paragraph" w:customStyle="1" w:styleId="Rubrik">
    <w:name w:val="Rubrik"/>
    <w:basedOn w:val="Normal"/>
    <w:next w:val="Brdtext"/>
    <w:qFormat/>
    <w:rsid w:val="00EC2A52"/>
    <w:pPr>
      <w:keepNext/>
      <w:widowControl w:val="0"/>
      <w:suppressAutoHyphens/>
      <w:spacing w:before="240" w:after="120" w:line="276" w:lineRule="auto"/>
      <w:ind w:left="340" w:hanging="340"/>
      <w:jc w:val="both"/>
    </w:pPr>
    <w:rPr>
      <w:rFonts w:ascii="Liberation Sans" w:eastAsia="Droid Sans Fallback" w:hAnsi="Liberation Sans" w:cs="FreeSans"/>
      <w:sz w:val="28"/>
      <w:szCs w:val="28"/>
      <w:lang w:val="sv-SE" w:eastAsia="zh-CN" w:bidi="hi-IN"/>
    </w:rPr>
  </w:style>
  <w:style w:type="paragraph" w:customStyle="1" w:styleId="Brdtext">
    <w:name w:val="Brödtext"/>
    <w:basedOn w:val="Normal"/>
    <w:rsid w:val="00EC2A52"/>
    <w:pPr>
      <w:widowControl w:val="0"/>
      <w:suppressAutoHyphens/>
      <w:spacing w:after="140" w:line="288" w:lineRule="auto"/>
      <w:ind w:left="340" w:hanging="340"/>
      <w:jc w:val="both"/>
    </w:pPr>
    <w:rPr>
      <w:rFonts w:ascii="Liberation Serif" w:eastAsia="Droid Sans Fallback" w:hAnsi="Liberation Serif" w:cs="FreeSans"/>
      <w:sz w:val="22"/>
      <w:lang w:val="sv-SE" w:eastAsia="zh-CN" w:bidi="hi-IN"/>
    </w:rPr>
  </w:style>
  <w:style w:type="paragraph" w:customStyle="1" w:styleId="Lista">
    <w:name w:val="Lista"/>
    <w:basedOn w:val="Brdtext"/>
    <w:rsid w:val="00EC2A52"/>
  </w:style>
  <w:style w:type="paragraph" w:customStyle="1" w:styleId="Bildtext">
    <w:name w:val="Bildtext"/>
    <w:basedOn w:val="Normal"/>
    <w:rsid w:val="00EC2A52"/>
    <w:pPr>
      <w:widowControl w:val="0"/>
      <w:suppressLineNumbers/>
      <w:suppressAutoHyphens/>
      <w:spacing w:before="120" w:after="120" w:line="276" w:lineRule="auto"/>
      <w:ind w:left="340" w:hanging="340"/>
      <w:jc w:val="both"/>
    </w:pPr>
    <w:rPr>
      <w:rFonts w:ascii="Liberation Serif" w:eastAsia="Droid Sans Fallback" w:hAnsi="Liberation Serif" w:cs="FreeSans"/>
      <w:i/>
      <w:iCs/>
      <w:sz w:val="22"/>
      <w:lang w:val="sv-SE" w:eastAsia="zh-CN" w:bidi="hi-IN"/>
    </w:rPr>
  </w:style>
  <w:style w:type="paragraph" w:customStyle="1" w:styleId="Frteckning">
    <w:name w:val="Förteckning"/>
    <w:basedOn w:val="Normal"/>
    <w:qFormat/>
    <w:rsid w:val="00EC2A52"/>
    <w:pPr>
      <w:widowControl w:val="0"/>
      <w:suppressLineNumbers/>
      <w:suppressAutoHyphens/>
      <w:spacing w:line="276" w:lineRule="auto"/>
      <w:ind w:left="340" w:hanging="340"/>
      <w:jc w:val="both"/>
    </w:pPr>
    <w:rPr>
      <w:rFonts w:ascii="Liberation Serif" w:eastAsia="Droid Sans Fallback" w:hAnsi="Liberation Serif" w:cs="FreeSans"/>
      <w:sz w:val="22"/>
      <w:lang w:val="sv-SE"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C2A52"/>
    <w:rPr>
      <w:vertAlign w:val="superscript"/>
    </w:rPr>
  </w:style>
  <w:style w:type="paragraph" w:styleId="EndnoteText">
    <w:name w:val="endnote text"/>
    <w:basedOn w:val="Normal"/>
    <w:link w:val="EndnoteTextChar"/>
    <w:uiPriority w:val="99"/>
    <w:unhideWhenUsed/>
    <w:rsid w:val="00EC2A52"/>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EC2A52"/>
    <w:rPr>
      <w:sz w:val="20"/>
      <w:szCs w:val="20"/>
    </w:rPr>
  </w:style>
  <w:style w:type="paragraph" w:styleId="ListParagraph">
    <w:name w:val="List Paragraph"/>
    <w:basedOn w:val="Normal"/>
    <w:uiPriority w:val="34"/>
    <w:qFormat/>
    <w:rsid w:val="00EC2A52"/>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qFormat/>
    <w:rsid w:val="00EC2A52"/>
  </w:style>
  <w:style w:type="character" w:styleId="Hyperlink">
    <w:name w:val="Hyperlink"/>
    <w:basedOn w:val="DefaultParagraphFont"/>
    <w:uiPriority w:val="99"/>
    <w:unhideWhenUsed/>
    <w:rsid w:val="00EC2A52"/>
    <w:rPr>
      <w:color w:val="0000FF" w:themeColor="hyperlink"/>
      <w:u w:val="single"/>
    </w:rPr>
  </w:style>
  <w:style w:type="paragraph" w:customStyle="1" w:styleId="Standard">
    <w:name w:val="Standard"/>
    <w:qFormat/>
    <w:rsid w:val="00EC2A52"/>
    <w:pPr>
      <w:suppressAutoHyphens/>
      <w:spacing w:after="0" w:line="240" w:lineRule="auto"/>
      <w:textAlignment w:val="baseline"/>
    </w:pPr>
    <w:rPr>
      <w:rFonts w:ascii="Liberation Serif" w:eastAsia="Droid Sans Fallback" w:hAnsi="Liberation Serif" w:cs="FreeSans"/>
      <w:sz w:val="24"/>
      <w:szCs w:val="24"/>
      <w:lang w:val="sv-SE" w:eastAsia="zh-CN" w:bidi="hi-IN"/>
    </w:rPr>
  </w:style>
  <w:style w:type="character" w:styleId="CommentReference">
    <w:name w:val="annotation reference"/>
    <w:basedOn w:val="DefaultParagraphFont"/>
    <w:uiPriority w:val="99"/>
    <w:semiHidden/>
    <w:unhideWhenUsed/>
    <w:rsid w:val="00EC2A52"/>
    <w:rPr>
      <w:sz w:val="16"/>
      <w:szCs w:val="16"/>
    </w:rPr>
  </w:style>
  <w:style w:type="paragraph" w:styleId="CommentText">
    <w:name w:val="annotation text"/>
    <w:basedOn w:val="Normal"/>
    <w:link w:val="CommentTextChar"/>
    <w:uiPriority w:val="99"/>
    <w:unhideWhenUsed/>
    <w:rsid w:val="00EC2A52"/>
    <w:rPr>
      <w:sz w:val="20"/>
      <w:szCs w:val="20"/>
    </w:rPr>
  </w:style>
  <w:style w:type="character" w:customStyle="1" w:styleId="CommentTextChar">
    <w:name w:val="Comment Text Char"/>
    <w:basedOn w:val="DefaultParagraphFont"/>
    <w:link w:val="CommentText"/>
    <w:uiPriority w:val="99"/>
    <w:rsid w:val="00EC2A52"/>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EC2A52"/>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C2A52"/>
    <w:rPr>
      <w:b/>
      <w:bCs/>
    </w:rPr>
  </w:style>
  <w:style w:type="paragraph" w:styleId="BalloonText">
    <w:name w:val="Balloon Text"/>
    <w:basedOn w:val="Normal"/>
    <w:link w:val="BalloonTextChar"/>
    <w:uiPriority w:val="99"/>
    <w:semiHidden/>
    <w:unhideWhenUsed/>
    <w:rsid w:val="00EC2A52"/>
    <w:rPr>
      <w:rFonts w:ascii="Tahoma" w:hAnsi="Tahoma" w:cs="Tahoma"/>
      <w:sz w:val="16"/>
      <w:szCs w:val="16"/>
    </w:rPr>
  </w:style>
  <w:style w:type="character" w:customStyle="1" w:styleId="BalloonTextChar">
    <w:name w:val="Balloon Text Char"/>
    <w:basedOn w:val="DefaultParagraphFont"/>
    <w:link w:val="BalloonText"/>
    <w:uiPriority w:val="99"/>
    <w:semiHidden/>
    <w:rsid w:val="00EC2A52"/>
    <w:rPr>
      <w:rFonts w:ascii="Tahoma" w:eastAsia="Times New Roman" w:hAnsi="Tahoma" w:cs="Tahoma"/>
      <w:sz w:val="16"/>
      <w:szCs w:val="16"/>
    </w:rPr>
  </w:style>
  <w:style w:type="paragraph" w:styleId="FootnoteText">
    <w:name w:val="footnote text"/>
    <w:basedOn w:val="Normal"/>
    <w:link w:val="FootnoteTextChar"/>
    <w:uiPriority w:val="99"/>
    <w:unhideWhenUsed/>
    <w:rsid w:val="00EC2A52"/>
    <w:rPr>
      <w:sz w:val="20"/>
      <w:szCs w:val="20"/>
    </w:rPr>
  </w:style>
  <w:style w:type="character" w:customStyle="1" w:styleId="FootnoteTextChar">
    <w:name w:val="Footnote Text Char"/>
    <w:basedOn w:val="DefaultParagraphFont"/>
    <w:link w:val="FootnoteText"/>
    <w:uiPriority w:val="99"/>
    <w:rsid w:val="00EC2A5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qFormat/>
    <w:rsid w:val="00EC2A52"/>
    <w:rPr>
      <w:vertAlign w:val="superscript"/>
    </w:rPr>
  </w:style>
  <w:style w:type="paragraph" w:customStyle="1" w:styleId="Default">
    <w:name w:val="Default"/>
    <w:rsid w:val="00EC2A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C2A5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C2A52"/>
  </w:style>
  <w:style w:type="paragraph" w:styleId="Footer">
    <w:name w:val="footer"/>
    <w:basedOn w:val="Normal"/>
    <w:link w:val="FooterChar"/>
    <w:uiPriority w:val="99"/>
    <w:unhideWhenUsed/>
    <w:rsid w:val="00EC2A5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C2A52"/>
  </w:style>
  <w:style w:type="paragraph" w:customStyle="1" w:styleId="EDFLetterText">
    <w:name w:val="EDF_LetterText"/>
    <w:basedOn w:val="Normal"/>
    <w:qFormat/>
    <w:rsid w:val="00EC2A52"/>
    <w:pPr>
      <w:spacing w:line="276" w:lineRule="auto"/>
    </w:pPr>
    <w:rPr>
      <w:rFonts w:ascii="Georgia" w:eastAsia="Cambria" w:hAnsi="Georgia"/>
      <w:sz w:val="22"/>
    </w:rPr>
  </w:style>
  <w:style w:type="paragraph" w:customStyle="1" w:styleId="xmsonormal">
    <w:name w:val="x_msonormal"/>
    <w:basedOn w:val="Normal"/>
    <w:qFormat/>
    <w:rsid w:val="00EC2A52"/>
    <w:pPr>
      <w:spacing w:before="100" w:beforeAutospacing="1" w:after="100" w:afterAutospacing="1"/>
    </w:pPr>
  </w:style>
  <w:style w:type="paragraph" w:styleId="Bibliography">
    <w:name w:val="Bibliography"/>
    <w:basedOn w:val="Normal"/>
    <w:next w:val="Normal"/>
    <w:uiPriority w:val="37"/>
    <w:unhideWhenUsed/>
    <w:rsid w:val="00EC2A52"/>
    <w:pPr>
      <w:spacing w:after="200" w:line="276" w:lineRule="auto"/>
    </w:pPr>
    <w:rPr>
      <w:rFonts w:asciiTheme="minorHAnsi" w:eastAsiaTheme="minorHAnsi" w:hAnsiTheme="minorHAnsi" w:cstheme="minorBidi"/>
      <w:sz w:val="22"/>
      <w:szCs w:val="22"/>
    </w:rPr>
  </w:style>
  <w:style w:type="character" w:customStyle="1" w:styleId="Betonad">
    <w:name w:val="Betonad"/>
    <w:rsid w:val="00EC2A52"/>
    <w:rPr>
      <w:i/>
      <w:iCs/>
    </w:rPr>
  </w:style>
  <w:style w:type="character" w:customStyle="1" w:styleId="Internetlnk">
    <w:name w:val="Internetlänk"/>
    <w:rsid w:val="00EC2A52"/>
    <w:rPr>
      <w:color w:val="000080"/>
      <w:u w:val="single"/>
    </w:rPr>
  </w:style>
  <w:style w:type="character" w:customStyle="1" w:styleId="Numreringstecken">
    <w:name w:val="Numreringstecken"/>
    <w:qFormat/>
    <w:rsid w:val="00EC2A52"/>
  </w:style>
  <w:style w:type="paragraph" w:customStyle="1" w:styleId="Rubrik">
    <w:name w:val="Rubrik"/>
    <w:basedOn w:val="Normal"/>
    <w:next w:val="Brdtext"/>
    <w:qFormat/>
    <w:rsid w:val="00EC2A52"/>
    <w:pPr>
      <w:keepNext/>
      <w:widowControl w:val="0"/>
      <w:suppressAutoHyphens/>
      <w:spacing w:before="240" w:after="120" w:line="276" w:lineRule="auto"/>
      <w:ind w:left="340" w:hanging="340"/>
      <w:jc w:val="both"/>
    </w:pPr>
    <w:rPr>
      <w:rFonts w:ascii="Liberation Sans" w:eastAsia="Droid Sans Fallback" w:hAnsi="Liberation Sans" w:cs="FreeSans"/>
      <w:sz w:val="28"/>
      <w:szCs w:val="28"/>
      <w:lang w:val="sv-SE" w:eastAsia="zh-CN" w:bidi="hi-IN"/>
    </w:rPr>
  </w:style>
  <w:style w:type="paragraph" w:customStyle="1" w:styleId="Brdtext">
    <w:name w:val="Brödtext"/>
    <w:basedOn w:val="Normal"/>
    <w:rsid w:val="00EC2A52"/>
    <w:pPr>
      <w:widowControl w:val="0"/>
      <w:suppressAutoHyphens/>
      <w:spacing w:after="140" w:line="288" w:lineRule="auto"/>
      <w:ind w:left="340" w:hanging="340"/>
      <w:jc w:val="both"/>
    </w:pPr>
    <w:rPr>
      <w:rFonts w:ascii="Liberation Serif" w:eastAsia="Droid Sans Fallback" w:hAnsi="Liberation Serif" w:cs="FreeSans"/>
      <w:sz w:val="22"/>
      <w:lang w:val="sv-SE" w:eastAsia="zh-CN" w:bidi="hi-IN"/>
    </w:rPr>
  </w:style>
  <w:style w:type="paragraph" w:customStyle="1" w:styleId="Lista">
    <w:name w:val="Lista"/>
    <w:basedOn w:val="Brdtext"/>
    <w:rsid w:val="00EC2A52"/>
  </w:style>
  <w:style w:type="paragraph" w:customStyle="1" w:styleId="Bildtext">
    <w:name w:val="Bildtext"/>
    <w:basedOn w:val="Normal"/>
    <w:rsid w:val="00EC2A52"/>
    <w:pPr>
      <w:widowControl w:val="0"/>
      <w:suppressLineNumbers/>
      <w:suppressAutoHyphens/>
      <w:spacing w:before="120" w:after="120" w:line="276" w:lineRule="auto"/>
      <w:ind w:left="340" w:hanging="340"/>
      <w:jc w:val="both"/>
    </w:pPr>
    <w:rPr>
      <w:rFonts w:ascii="Liberation Serif" w:eastAsia="Droid Sans Fallback" w:hAnsi="Liberation Serif" w:cs="FreeSans"/>
      <w:i/>
      <w:iCs/>
      <w:sz w:val="22"/>
      <w:lang w:val="sv-SE" w:eastAsia="zh-CN" w:bidi="hi-IN"/>
    </w:rPr>
  </w:style>
  <w:style w:type="paragraph" w:customStyle="1" w:styleId="Frteckning">
    <w:name w:val="Förteckning"/>
    <w:basedOn w:val="Normal"/>
    <w:qFormat/>
    <w:rsid w:val="00EC2A52"/>
    <w:pPr>
      <w:widowControl w:val="0"/>
      <w:suppressLineNumbers/>
      <w:suppressAutoHyphens/>
      <w:spacing w:line="276" w:lineRule="auto"/>
      <w:ind w:left="340" w:hanging="340"/>
      <w:jc w:val="both"/>
    </w:pPr>
    <w:rPr>
      <w:rFonts w:ascii="Liberation Serif" w:eastAsia="Droid Sans Fallback" w:hAnsi="Liberation Serif" w:cs="FreeSans"/>
      <w:sz w:val="22"/>
      <w:lang w:val="sv-SE"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rplanet.com/imgversn/113/berz.html" TargetMode="External"/><Relationship Id="rId13" Type="http://schemas.openxmlformats.org/officeDocument/2006/relationships/hyperlink" Target="http://fmwww.bc.edu/RePEc/dsug2012/desug12_jann.pdf"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npapers.repec.org/software/bocbocode/s457114.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s.ucla.edu/stat/stata/dae/rreg.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x.doi.org/10.7927/H4XW4GQ1" TargetMode="External"/><Relationship Id="rId4" Type="http://schemas.openxmlformats.org/officeDocument/2006/relationships/settings" Target="settings.xml"/><Relationship Id="rId9" Type="http://schemas.openxmlformats.org/officeDocument/2006/relationships/hyperlink" Target="http://sedac.ciesin.columbia.edu/data/set/sdp-downscaled-gdp-a1a2b1b2-1990-2100/metadata" TargetMode="External"/><Relationship Id="rId14" Type="http://schemas.openxmlformats.org/officeDocument/2006/relationships/hyperlink" Target="http://sedac.ciesin.columbia.edu/data/set/sdp-downscaled-gdp-a1a2b1b2-1990-2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E8160-1994-4241-AE8C-A7B8CB16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48</Pages>
  <Words>13875</Words>
  <Characters>79089</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Howard2</dc:creator>
  <cp:lastModifiedBy>0004407</cp:lastModifiedBy>
  <cp:revision>3</cp:revision>
  <dcterms:created xsi:type="dcterms:W3CDTF">2017-05-17T12:51:00Z</dcterms:created>
  <dcterms:modified xsi:type="dcterms:W3CDTF">2017-06-02T05:56:00Z</dcterms:modified>
</cp:coreProperties>
</file>