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B2270">
      <w:pPr>
        <w:adjustRightInd w:val="0"/>
        <w:snapToGrid w:val="0"/>
        <w:spacing w:before="480" w:after="360"/>
        <w:jc w:val="center"/>
        <w:outlineLvl w:val="0"/>
        <w:rPr>
          <w:rFonts w:ascii="Times New Roman" w:hAnsi="Times New Roman" w:eastAsia="黑体" w:cs="Times New Roman"/>
          <w:sz w:val="32"/>
          <w:szCs w:val="32"/>
          <w14:ligatures w14:val="standardContextual"/>
        </w:rPr>
      </w:pPr>
      <w:r>
        <w:rPr>
          <w:rFonts w:ascii="Times New Roman" w:hAnsi="Times New Roman" w:eastAsia="黑体" w:cs="Times New Roman"/>
          <w:sz w:val="32"/>
          <w:szCs w:val="32"/>
        </w:rPr>
        <w:t>第</w:t>
      </w:r>
      <w:r>
        <w:rPr>
          <w:rFonts w:hint="eastAsia" w:ascii="Times New Roman" w:hAnsi="Times New Roman" w:eastAsia="黑体" w:cs="Times New Roman"/>
          <w:sz w:val="32"/>
          <w:szCs w:val="32"/>
        </w:rPr>
        <w:t>5</w:t>
      </w:r>
      <w:r>
        <w:rPr>
          <w:rFonts w:ascii="Times New Roman" w:hAnsi="Times New Roman" w:eastAsia="黑体" w:cs="Times New Roman"/>
          <w:sz w:val="32"/>
          <w:szCs w:val="32"/>
        </w:rPr>
        <w:t>章</w:t>
      </w:r>
      <w:r>
        <w:rPr>
          <w:rFonts w:ascii="Times New Roman" w:hAnsi="Times New Roman" w:eastAsia="黑体" w:cs="Times New Roman"/>
          <w:sz w:val="32"/>
          <w:szCs w:val="32"/>
          <w14:ligatures w14:val="standardContextual"/>
        </w:rPr>
        <w:t>实验</w:t>
      </w:r>
    </w:p>
    <w:p w14:paraId="12151D59">
      <w:pPr>
        <w:adjustRightInd w:val="0"/>
        <w:snapToGrid w:val="0"/>
        <w:spacing w:before="480" w:after="360" w:line="278" w:lineRule="auto"/>
        <w:jc w:val="left"/>
        <w:outlineLvl w:val="0"/>
        <w:rPr>
          <w:rFonts w:ascii="Times New Roman" w:hAnsi="Times New Roman" w:eastAsia="黑体" w:cs="Times New Roman"/>
          <w:sz w:val="28"/>
          <w:szCs w:val="28"/>
          <w14:ligatures w14:val="standardContextual"/>
        </w:rPr>
      </w:pPr>
      <w:r>
        <w:rPr>
          <w:rFonts w:ascii="Times New Roman" w:hAnsi="Times New Roman" w:eastAsia="黑体" w:cs="Times New Roman"/>
          <w:sz w:val="28"/>
          <w:szCs w:val="28"/>
          <w14:ligatures w14:val="standardContextual"/>
        </w:rPr>
        <w:t>5.1实验设置</w:t>
      </w:r>
    </w:p>
    <w:p w14:paraId="4F13A025">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了验证所提出的Safe-RL框架（结合Clipper线性规划投影的强化学习方法）在实际城市轨道交通运营中的有效性与安全性，本研究构建了一个基于Python的高保真离散事件仿真平台。该平台集成了列车运动学模型、动态客流到达过程以及移动闭塞信号系统约束，并遵循OpenAI</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Gym标准接口以支持智能体的训练与交互。</w:t>
      </w:r>
    </w:p>
    <w:p w14:paraId="3EF389DA">
      <w:pPr>
        <w:adjustRightInd w:val="0"/>
        <w:snapToGrid w:val="0"/>
        <w:spacing w:before="480" w:after="360"/>
        <w:jc w:val="left"/>
        <w:outlineLvl w:val="0"/>
        <w:rPr>
          <w:rFonts w:ascii="Times New Roman" w:hAnsi="Times New Roman" w:eastAsia="黑体" w:cs="Times New Roman"/>
          <w:sz w:val="28"/>
          <w:szCs w:val="28"/>
          <w14:ligatures w14:val="standardContextual"/>
        </w:rPr>
      </w:pPr>
      <w:r>
        <w:rPr>
          <w:rFonts w:ascii="Times New Roman" w:hAnsi="Times New Roman" w:eastAsia="黑体" w:cs="Times New Roman"/>
          <w:sz w:val="28"/>
          <w:szCs w:val="28"/>
          <w14:ligatures w14:val="standardContextual"/>
        </w:rPr>
        <w:t>5.1.1线路拓扑与原型</w:t>
      </w:r>
    </w:p>
    <w:p w14:paraId="1FFC44F1">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本研究选取北京地铁5号线(Beijing</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Subway</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Line</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5)作为实证案例。该线路是北京市的一条南北向骨干线路，连接了天通苑大型居住区与市中心商业区，具有典型的潮汐客流特征与极高的运营压力。线路全长27.6km，共包含23座车站。在仿真环境中，车站索引被标记为</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oMath>
      <w:r>
        <w:rPr>
          <w:rFonts w:ascii="Times New Roman" w:hAnsi="Times New Roman" w:eastAsia="宋体" w:cs="Times New Roman"/>
          <w:sz w:val="24"/>
          <w14:ligatures w14:val="standardContextual"/>
        </w:rPr>
        <w:t>至</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23</m:t>
            </m:r>
            <m:ctrlPr>
              <w:rPr>
                <w:rFonts w:ascii="Cambria Math" w:hAnsi="Cambria Math" w:eastAsia="宋体"/>
                <w:sz w:val="24"/>
              </w:rPr>
            </m:ctrlPr>
          </m:sub>
        </m:sSub>
      </m:oMath>
      <w:r>
        <w:rPr>
          <w:rFonts w:ascii="Times New Roman" w:hAnsi="Times New Roman" w:eastAsia="宋体" w:cs="Times New Roman"/>
          <w:sz w:val="24"/>
          <w14:ligatures w14:val="standardContextual"/>
        </w:rPr>
        <w:t>（即天通苑北站至宋家庄站）。线路采用双线运营模式，分为上行（由南向北）和下行（由北向南）。根据实际基础设施配置，线路在两端终点站（</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1</m:t>
            </m:r>
            <m:ctrlPr>
              <w:rPr>
                <w:rFonts w:ascii="Cambria Math" w:hAnsi="Cambria Math" w:eastAsia="宋体"/>
                <w:sz w:val="24"/>
              </w:rPr>
            </m:ctrlPr>
          </m:sub>
        </m:sSub>
        <m:r>
          <m:rPr/>
          <w:rPr>
            <w:rFonts w:ascii="Cambria Math" w:hAnsi="Cambria Math" w:eastAsia="宋体"/>
            <w:sz w:val="24"/>
          </w:rPr>
          <m:t>,</m:t>
        </m:r>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23</m:t>
            </m:r>
            <m:ctrlPr>
              <w:rPr>
                <w:rFonts w:ascii="Cambria Math" w:hAnsi="Cambria Math" w:eastAsia="宋体"/>
                <w:sz w:val="24"/>
              </w:rPr>
            </m:ctrlPr>
          </m:sub>
        </m:sSub>
      </m:oMath>
      <w:r>
        <w:rPr>
          <w:rFonts w:ascii="Times New Roman" w:hAnsi="Times New Roman" w:eastAsia="宋体" w:cs="Times New Roman"/>
          <w:sz w:val="24"/>
          <w14:ligatures w14:val="standardContextual"/>
        </w:rPr>
        <w:t>）及部分中间车站（如</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5</m:t>
            </m:r>
            <m:ctrlPr>
              <w:rPr>
                <w:rFonts w:ascii="Cambria Math" w:hAnsi="Cambria Math" w:eastAsia="宋体"/>
                <w:sz w:val="24"/>
              </w:rPr>
            </m:ctrlPr>
          </m:sub>
        </m:sSub>
      </m:oMath>
      <w:r>
        <w:rPr>
          <w:rFonts w:ascii="Times New Roman" w:hAnsi="Times New Roman" w:eastAsia="宋体" w:cs="Times New Roman"/>
          <w:sz w:val="24"/>
          <w14:ligatures w14:val="standardContextual"/>
        </w:rPr>
        <w:t>立水桥南、</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15</m:t>
            </m:r>
            <m:ctrlPr>
              <w:rPr>
                <w:rFonts w:ascii="Cambria Math" w:hAnsi="Cambria Math" w:eastAsia="宋体"/>
                <w:sz w:val="24"/>
              </w:rPr>
            </m:ctrlPr>
          </m:sub>
        </m:sSub>
      </m:oMath>
      <w:r>
        <w:rPr>
          <w:rFonts w:ascii="Times New Roman" w:hAnsi="Times New Roman" w:eastAsia="宋体" w:cs="Times New Roman"/>
          <w:sz w:val="24"/>
          <w14:ligatures w14:val="standardContextual"/>
        </w:rPr>
        <w:t>和平西桥等）设有折返线，允许列车在紧急情况下执行区间折返操作。</w:t>
      </w:r>
    </w:p>
    <w:p w14:paraId="2BED95BD">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为在保证工程合理性的同时控制变量并提升实验可复现性，本文在仿真模型中对折返设施进行简化设置：尽管实际线路可能存在多个可折返站点，但本研究在仿真环境中仅启用一个可用折返站</w:t>
      </w:r>
      <m:oMath>
        <m:sSub>
          <m:sSubPr>
            <m:ctrlPr>
              <w:rPr>
                <w:rFonts w:ascii="Cambria Math" w:hAnsi="Cambria Math" w:eastAsia="宋体"/>
                <w:sz w:val="24"/>
              </w:rPr>
            </m:ctrlPr>
          </m:sSubPr>
          <m:e>
            <m:r>
              <m:rPr/>
              <w:rPr>
                <w:rFonts w:ascii="Cambria Math" w:hAnsi="Cambria Math" w:eastAsia="宋体"/>
                <w:sz w:val="24"/>
              </w:rPr>
              <m:t>S</m:t>
            </m:r>
            <m:ctrlPr>
              <w:rPr>
                <w:rFonts w:ascii="Cambria Math" w:hAnsi="Cambria Math" w:eastAsia="宋体"/>
                <w:sz w:val="24"/>
              </w:rPr>
            </m:ctrlPr>
          </m:e>
          <m:sub>
            <m:r>
              <m:rPr/>
              <w:rPr>
                <w:rFonts w:ascii="Cambria Math" w:hAnsi="Cambria Math" w:eastAsia="宋体"/>
                <w:sz w:val="24"/>
              </w:rPr>
              <m:t>tb</m:t>
            </m:r>
            <m:ctrlPr>
              <w:rPr>
                <w:rFonts w:ascii="Cambria Math" w:hAnsi="Cambria Math" w:eastAsia="宋体"/>
                <w:sz w:val="24"/>
              </w:rPr>
            </m:ctrlPr>
          </m:sub>
        </m:sSub>
      </m:oMath>
      <w:r>
        <w:rPr>
          <w:rFonts w:ascii="Times New Roman" w:hAnsi="Times New Roman" w:eastAsia="宋体" w:cs="Times New Roman"/>
          <w:sz w:val="24"/>
          <w14:ligatures w14:val="standardContextual"/>
        </w:rPr>
        <w:t>，用于扰动恢复阶段的应急折返与服务重构。该设定使得折返行为的触发位置与可用资源保持一致，从而便于在不同算法之间进行公平对比与消融分析。</w:t>
      </w:r>
    </w:p>
    <w:p w14:paraId="54963260">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列车运行的关键物理参数设定如表5-1所示。其中，列车定员设定为1440人（标准6B型车满载定员），最小物理追踪间隔由信号系统闭塞分区决定，设定为70秒。</w:t>
      </w:r>
    </w:p>
    <w:p w14:paraId="211767FD">
      <w:pPr>
        <w:jc w:val="center"/>
        <w:rPr>
          <w:rFonts w:hint="eastAsia" w:ascii="黑体" w:hAnsi="黑体" w:eastAsia="黑体" w:cs="黑体"/>
          <w:sz w:val="24"/>
          <w14:ligatures w14:val="standardContextual"/>
        </w:rPr>
      </w:pPr>
      <w:r>
        <w:rPr>
          <w:rFonts w:hint="eastAsia" w:ascii="黑体" w:hAnsi="黑体" w:eastAsia="黑体" w:cs="黑体"/>
          <w:sz w:val="24"/>
          <w14:ligatures w14:val="standardContextual"/>
        </w:rPr>
        <w:t>表5-1仿真实验关键参数设置</w:t>
      </w:r>
    </w:p>
    <w:tbl>
      <w:tblPr>
        <w:tblStyle w:val="6"/>
        <w:tblW w:w="0" w:type="auto"/>
        <w:jc w:val="center"/>
        <w:tblLayout w:type="autofit"/>
        <w:tblCellMar>
          <w:top w:w="0" w:type="dxa"/>
          <w:left w:w="108" w:type="dxa"/>
          <w:bottom w:w="0" w:type="dxa"/>
          <w:right w:w="108" w:type="dxa"/>
        </w:tblCellMar>
      </w:tblPr>
      <w:tblGrid>
        <w:gridCol w:w="1296"/>
        <w:gridCol w:w="873"/>
        <w:gridCol w:w="1034"/>
        <w:gridCol w:w="576"/>
        <w:gridCol w:w="2196"/>
      </w:tblGrid>
      <w:tr w14:paraId="480482BE">
        <w:tblPrEx>
          <w:tblCellMar>
            <w:top w:w="0" w:type="dxa"/>
            <w:left w:w="108" w:type="dxa"/>
            <w:bottom w:w="0" w:type="dxa"/>
            <w:right w:w="108" w:type="dxa"/>
          </w:tblCellMar>
        </w:tblPrEx>
        <w:trPr>
          <w:trHeight w:val="285" w:hRule="atLeast"/>
          <w:jc w:val="center"/>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19FD29F5">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参数名称</w:t>
            </w:r>
          </w:p>
        </w:tc>
        <w:tc>
          <w:tcPr>
            <w:tcW w:w="0" w:type="auto"/>
            <w:tcBorders>
              <w:top w:val="single" w:color="1F1F1F" w:sz="8" w:space="0"/>
              <w:left w:val="nil"/>
              <w:bottom w:val="single" w:color="1F1F1F" w:sz="8" w:space="0"/>
              <w:right w:val="single" w:color="1F1F1F" w:sz="8" w:space="0"/>
            </w:tcBorders>
            <w:shd w:val="clear" w:color="auto" w:fill="auto"/>
            <w:vAlign w:val="center"/>
          </w:tcPr>
          <w:p w14:paraId="203F55B3">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符号</w:t>
            </w:r>
          </w:p>
        </w:tc>
        <w:tc>
          <w:tcPr>
            <w:tcW w:w="0" w:type="auto"/>
            <w:tcBorders>
              <w:top w:val="single" w:color="1F1F1F" w:sz="8" w:space="0"/>
              <w:left w:val="nil"/>
              <w:bottom w:val="single" w:color="1F1F1F" w:sz="8" w:space="0"/>
              <w:right w:val="single" w:color="1F1F1F" w:sz="8" w:space="0"/>
            </w:tcBorders>
            <w:shd w:val="clear" w:color="auto" w:fill="auto"/>
            <w:vAlign w:val="center"/>
          </w:tcPr>
          <w:p w14:paraId="38C7889F">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数值</w:t>
            </w:r>
          </w:p>
        </w:tc>
        <w:tc>
          <w:tcPr>
            <w:tcW w:w="0" w:type="auto"/>
            <w:tcBorders>
              <w:top w:val="single" w:color="1F1F1F" w:sz="8" w:space="0"/>
              <w:left w:val="nil"/>
              <w:bottom w:val="single" w:color="1F1F1F" w:sz="8" w:space="0"/>
              <w:right w:val="single" w:color="1F1F1F" w:sz="8" w:space="0"/>
            </w:tcBorders>
            <w:shd w:val="clear" w:color="auto" w:fill="auto"/>
            <w:vAlign w:val="center"/>
          </w:tcPr>
          <w:p w14:paraId="59D1185F">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单位</w:t>
            </w:r>
          </w:p>
        </w:tc>
        <w:tc>
          <w:tcPr>
            <w:tcW w:w="0" w:type="auto"/>
            <w:tcBorders>
              <w:top w:val="single" w:color="1F1F1F" w:sz="8" w:space="0"/>
              <w:left w:val="nil"/>
              <w:bottom w:val="single" w:color="1F1F1F" w:sz="8" w:space="0"/>
              <w:right w:val="single" w:color="1F1F1F" w:sz="8" w:space="0"/>
            </w:tcBorders>
            <w:shd w:val="clear" w:color="auto" w:fill="auto"/>
            <w:vAlign w:val="center"/>
          </w:tcPr>
          <w:p w14:paraId="45A0E1D5">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说明</w:t>
            </w:r>
          </w:p>
        </w:tc>
      </w:tr>
      <w:tr w14:paraId="7100EAAF">
        <w:tblPrEx>
          <w:tblCellMar>
            <w:top w:w="0" w:type="dxa"/>
            <w:left w:w="108" w:type="dxa"/>
            <w:bottom w:w="0" w:type="dxa"/>
            <w:right w:w="108" w:type="dxa"/>
          </w:tblCellMar>
        </w:tblPrEx>
        <w:trPr>
          <w:trHeight w:val="645"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70188F1C">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车站数量</w:t>
            </w:r>
          </w:p>
        </w:tc>
        <w:tc>
          <w:tcPr>
            <w:tcW w:w="0" w:type="auto"/>
            <w:tcBorders>
              <w:top w:val="nil"/>
              <w:left w:val="nil"/>
              <w:bottom w:val="single" w:color="1F1F1F" w:sz="8" w:space="0"/>
              <w:right w:val="single" w:color="1F1F1F" w:sz="8" w:space="0"/>
            </w:tcBorders>
            <w:shd w:val="clear" w:color="auto" w:fill="auto"/>
            <w:vAlign w:val="center"/>
          </w:tcPr>
          <w:p w14:paraId="79370813">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N</m:t>
                    </m:r>
                    <m:ctrlPr>
                      <w:rPr>
                        <w:rFonts w:ascii="Cambria Math" w:hAnsi="Cambria Math" w:eastAsia="宋体"/>
                        <w:sz w:val="18"/>
                      </w:rPr>
                    </m:ctrlPr>
                  </m:e>
                  <m:sub>
                    <m:r>
                      <m:rPr/>
                      <w:rPr>
                        <w:rFonts w:ascii="Cambria Math" w:hAnsi="Cambria Math" w:eastAsia="宋体"/>
                        <w:sz w:val="18"/>
                      </w:rPr>
                      <m:t>station</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4F3DB81D">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23</w:t>
            </w:r>
          </w:p>
        </w:tc>
        <w:tc>
          <w:tcPr>
            <w:tcW w:w="0" w:type="auto"/>
            <w:tcBorders>
              <w:top w:val="nil"/>
              <w:left w:val="nil"/>
              <w:bottom w:val="single" w:color="1F1F1F" w:sz="8" w:space="0"/>
              <w:right w:val="single" w:color="1F1F1F" w:sz="8" w:space="0"/>
            </w:tcBorders>
            <w:shd w:val="clear" w:color="auto" w:fill="auto"/>
            <w:vAlign w:val="center"/>
          </w:tcPr>
          <w:p w14:paraId="0DCD0A14">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w:t>
            </w:r>
          </w:p>
        </w:tc>
        <w:tc>
          <w:tcPr>
            <w:tcW w:w="0" w:type="auto"/>
            <w:tcBorders>
              <w:top w:val="nil"/>
              <w:left w:val="nil"/>
              <w:bottom w:val="single" w:color="1F1F1F" w:sz="8" w:space="0"/>
              <w:right w:val="single" w:color="1F1F1F" w:sz="8" w:space="0"/>
            </w:tcBorders>
            <w:shd w:val="clear" w:color="auto" w:fill="auto"/>
            <w:vAlign w:val="center"/>
          </w:tcPr>
          <w:p w14:paraId="0E085711">
            <w:pPr>
              <w:widowControl/>
              <w:jc w:val="center"/>
              <w:textAlignment w:val="center"/>
              <w:rPr>
                <w:rFonts w:hint="eastAsia" w:ascii="宋体" w:hAnsi="宋体" w:eastAsia="宋体" w:cs="宋体"/>
                <w:color w:val="1F1F1F"/>
                <w:sz w:val="18"/>
                <w:szCs w:val="18"/>
              </w:rPr>
            </w:pPr>
            <m:oMathPara>
              <m:oMath>
                <m:r>
                  <m:rPr>
                    <m:sty m:val="p"/>
                  </m:rPr>
                  <w:rPr>
                    <w:rFonts w:ascii="Cambria Math" w:hAnsi="Cambria Math" w:eastAsia="宋体"/>
                    <w:sz w:val="18"/>
                  </w:rPr>
                  <m:t>天通苑北</m:t>
                </m:r>
                <m:r>
                  <m:rPr/>
                  <w:rPr>
                    <w:rFonts w:ascii="Cambria Math" w:hAnsi="Cambria Math" w:eastAsia="宋体"/>
                    <w:sz w:val="18"/>
                  </w:rPr>
                  <m:t>↔</m:t>
                </m:r>
                <m:r>
                  <m:rPr>
                    <m:sty m:val="p"/>
                  </m:rPr>
                  <w:rPr>
                    <w:rFonts w:ascii="Cambria Math" w:hAnsi="Cambria Math" w:eastAsia="宋体"/>
                    <w:sz w:val="18"/>
                  </w:rPr>
                  <m:t>宋家庄</m:t>
                </m:r>
              </m:oMath>
            </m:oMathPara>
          </w:p>
        </w:tc>
      </w:tr>
      <w:tr w14:paraId="76ABB39B">
        <w:tblPrEx>
          <w:tblCellMar>
            <w:top w:w="0" w:type="dxa"/>
            <w:left w:w="108" w:type="dxa"/>
            <w:bottom w:w="0" w:type="dxa"/>
            <w:right w:w="108" w:type="dxa"/>
          </w:tblCellMar>
        </w:tblPrEx>
        <w:trPr>
          <w:trHeight w:val="480"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4B382EAA">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列车定员</w:t>
            </w:r>
          </w:p>
        </w:tc>
        <w:tc>
          <w:tcPr>
            <w:tcW w:w="0" w:type="auto"/>
            <w:tcBorders>
              <w:top w:val="nil"/>
              <w:left w:val="nil"/>
              <w:bottom w:val="single" w:color="1F1F1F" w:sz="8" w:space="0"/>
              <w:right w:val="single" w:color="1F1F1F" w:sz="8" w:space="0"/>
            </w:tcBorders>
            <w:shd w:val="clear" w:color="auto" w:fill="auto"/>
            <w:vAlign w:val="center"/>
          </w:tcPr>
          <w:p w14:paraId="45630999">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C</m:t>
                    </m:r>
                    <m:ctrlPr>
                      <w:rPr>
                        <w:rFonts w:ascii="Cambria Math" w:hAnsi="Cambria Math" w:eastAsia="宋体"/>
                        <w:sz w:val="18"/>
                      </w:rPr>
                    </m:ctrlPr>
                  </m:e>
                  <m:sub>
                    <m:r>
                      <m:rPr/>
                      <w:rPr>
                        <w:rFonts w:ascii="Cambria Math" w:hAnsi="Cambria Math" w:eastAsia="宋体"/>
                        <w:sz w:val="18"/>
                      </w:rPr>
                      <m:t>train</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03740442">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1440</w:t>
            </w:r>
          </w:p>
        </w:tc>
        <w:tc>
          <w:tcPr>
            <w:tcW w:w="0" w:type="auto"/>
            <w:tcBorders>
              <w:top w:val="nil"/>
              <w:left w:val="nil"/>
              <w:bottom w:val="single" w:color="1F1F1F" w:sz="8" w:space="0"/>
              <w:right w:val="single" w:color="1F1F1F" w:sz="8" w:space="0"/>
            </w:tcBorders>
            <w:shd w:val="clear" w:color="auto" w:fill="auto"/>
            <w:vAlign w:val="center"/>
          </w:tcPr>
          <w:p w14:paraId="14D40B01">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pax</w:t>
            </w:r>
          </w:p>
        </w:tc>
        <w:tc>
          <w:tcPr>
            <w:tcW w:w="0" w:type="auto"/>
            <w:tcBorders>
              <w:top w:val="nil"/>
              <w:left w:val="nil"/>
              <w:bottom w:val="single" w:color="1F1F1F" w:sz="8" w:space="0"/>
              <w:right w:val="single" w:color="1F1F1F" w:sz="8" w:space="0"/>
            </w:tcBorders>
            <w:shd w:val="clear" w:color="auto" w:fill="auto"/>
            <w:vAlign w:val="center"/>
          </w:tcPr>
          <w:p w14:paraId="25B6F397">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标准</w:t>
            </w:r>
            <w:r>
              <w:rPr>
                <w:rFonts w:ascii="Times New Roman" w:hAnsi="Times New Roman" w:eastAsia="宋体" w:cs="Times New Roman"/>
                <w:color w:val="1F1F1F"/>
                <w:kern w:val="0"/>
                <w:sz w:val="18"/>
                <w:szCs w:val="18"/>
                <w:lang w:bidi="ar"/>
              </w:rPr>
              <w:t>6</w:t>
            </w:r>
            <w:r>
              <w:rPr>
                <w:rFonts w:hint="eastAsia" w:ascii="宋体" w:hAnsi="宋体" w:eastAsia="宋体" w:cs="宋体"/>
                <w:color w:val="1F1F1F"/>
                <w:kern w:val="0"/>
                <w:sz w:val="18"/>
                <w:szCs w:val="18"/>
                <w:lang w:bidi="ar"/>
              </w:rPr>
              <w:t>编组</w:t>
            </w:r>
            <w:r>
              <w:rPr>
                <w:rFonts w:ascii="Times New Roman" w:hAnsi="Times New Roman" w:eastAsia="宋体" w:cs="Times New Roman"/>
                <w:color w:val="1F1F1F"/>
                <w:kern w:val="0"/>
                <w:sz w:val="18"/>
                <w:szCs w:val="18"/>
                <w:lang w:bidi="ar"/>
              </w:rPr>
              <w:t>B</w:t>
            </w:r>
            <w:r>
              <w:rPr>
                <w:rFonts w:hint="eastAsia" w:ascii="宋体" w:hAnsi="宋体" w:eastAsia="宋体" w:cs="宋体"/>
                <w:color w:val="1F1F1F"/>
                <w:kern w:val="0"/>
                <w:sz w:val="18"/>
                <w:szCs w:val="18"/>
                <w:lang w:bidi="ar"/>
              </w:rPr>
              <w:t>型车</w:t>
            </w:r>
          </w:p>
        </w:tc>
      </w:tr>
      <w:tr w14:paraId="73782453">
        <w:tblPrEx>
          <w:tblCellMar>
            <w:top w:w="0" w:type="dxa"/>
            <w:left w:w="108" w:type="dxa"/>
            <w:bottom w:w="0" w:type="dxa"/>
            <w:right w:w="108" w:type="dxa"/>
          </w:tblCellMar>
        </w:tblPrEx>
        <w:trPr>
          <w:trHeight w:val="465"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341633A6">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最小追踪间隔</w:t>
            </w:r>
          </w:p>
        </w:tc>
        <w:tc>
          <w:tcPr>
            <w:tcW w:w="0" w:type="auto"/>
            <w:tcBorders>
              <w:top w:val="nil"/>
              <w:left w:val="nil"/>
              <w:bottom w:val="single" w:color="1F1F1F" w:sz="8" w:space="0"/>
              <w:right w:val="single" w:color="1F1F1F" w:sz="8" w:space="0"/>
            </w:tcBorders>
            <w:shd w:val="clear" w:color="auto" w:fill="auto"/>
            <w:vAlign w:val="center"/>
          </w:tcPr>
          <w:p w14:paraId="52C84856">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h</m:t>
                    </m:r>
                    <m:ctrlPr>
                      <w:rPr>
                        <w:rFonts w:ascii="Cambria Math" w:hAnsi="Cambria Math" w:eastAsia="宋体"/>
                        <w:sz w:val="18"/>
                      </w:rPr>
                    </m:ctrlPr>
                  </m:e>
                  <m:sub>
                    <m:r>
                      <m:rPr>
                        <m:sty m:val="p"/>
                      </m:rPr>
                      <w:rPr>
                        <w:rFonts w:ascii="Cambria Math" w:hAnsi="Cambria Math" w:eastAsia="宋体"/>
                        <w:sz w:val="18"/>
                      </w:rPr>
                      <m:t>min</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688BEDB2">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70</w:t>
            </w:r>
          </w:p>
        </w:tc>
        <w:tc>
          <w:tcPr>
            <w:tcW w:w="0" w:type="auto"/>
            <w:tcBorders>
              <w:top w:val="nil"/>
              <w:left w:val="nil"/>
              <w:bottom w:val="single" w:color="1F1F1F" w:sz="8" w:space="0"/>
              <w:right w:val="single" w:color="1F1F1F" w:sz="8" w:space="0"/>
            </w:tcBorders>
            <w:shd w:val="clear" w:color="auto" w:fill="auto"/>
            <w:vAlign w:val="center"/>
          </w:tcPr>
          <w:p w14:paraId="5B2AB96D">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s</w:t>
            </w:r>
          </w:p>
        </w:tc>
        <w:tc>
          <w:tcPr>
            <w:tcW w:w="0" w:type="auto"/>
            <w:tcBorders>
              <w:top w:val="nil"/>
              <w:left w:val="nil"/>
              <w:bottom w:val="single" w:color="1F1F1F" w:sz="8" w:space="0"/>
              <w:right w:val="single" w:color="1F1F1F" w:sz="8" w:space="0"/>
            </w:tcBorders>
            <w:shd w:val="clear" w:color="auto" w:fill="auto"/>
            <w:vAlign w:val="center"/>
          </w:tcPr>
          <w:p w14:paraId="11187CCB">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物理安全极限</w:t>
            </w:r>
          </w:p>
        </w:tc>
      </w:tr>
      <w:tr w14:paraId="24A40520">
        <w:tblPrEx>
          <w:tblCellMar>
            <w:top w:w="0" w:type="dxa"/>
            <w:left w:w="108" w:type="dxa"/>
            <w:bottom w:w="0" w:type="dxa"/>
            <w:right w:w="108" w:type="dxa"/>
          </w:tblCellMar>
        </w:tblPrEx>
        <w:trPr>
          <w:trHeight w:val="465"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63168746">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折返作业时间</w:t>
            </w:r>
          </w:p>
        </w:tc>
        <w:tc>
          <w:tcPr>
            <w:tcW w:w="0" w:type="auto"/>
            <w:tcBorders>
              <w:top w:val="nil"/>
              <w:left w:val="nil"/>
              <w:bottom w:val="single" w:color="1F1F1F" w:sz="8" w:space="0"/>
              <w:right w:val="single" w:color="1F1F1F" w:sz="8" w:space="0"/>
            </w:tcBorders>
            <w:shd w:val="clear" w:color="auto" w:fill="auto"/>
            <w:vAlign w:val="center"/>
          </w:tcPr>
          <w:p w14:paraId="725083D5">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t</m:t>
                    </m:r>
                    <m:ctrlPr>
                      <w:rPr>
                        <w:rFonts w:ascii="Cambria Math" w:hAnsi="Cambria Math" w:eastAsia="宋体"/>
                        <w:sz w:val="18"/>
                      </w:rPr>
                    </m:ctrlPr>
                  </m:e>
                  <m:sub>
                    <m:r>
                      <m:rPr/>
                      <w:rPr>
                        <w:rFonts w:ascii="Cambria Math" w:hAnsi="Cambria Math" w:eastAsia="宋体"/>
                        <w:sz w:val="18"/>
                      </w:rPr>
                      <m:t>tb</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15DE88CE">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90</w:t>
            </w:r>
          </w:p>
        </w:tc>
        <w:tc>
          <w:tcPr>
            <w:tcW w:w="0" w:type="auto"/>
            <w:tcBorders>
              <w:top w:val="nil"/>
              <w:left w:val="nil"/>
              <w:bottom w:val="single" w:color="1F1F1F" w:sz="8" w:space="0"/>
              <w:right w:val="single" w:color="1F1F1F" w:sz="8" w:space="0"/>
            </w:tcBorders>
            <w:shd w:val="clear" w:color="auto" w:fill="auto"/>
            <w:vAlign w:val="center"/>
          </w:tcPr>
          <w:p w14:paraId="1532F538">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s</w:t>
            </w:r>
          </w:p>
        </w:tc>
        <w:tc>
          <w:tcPr>
            <w:tcW w:w="0" w:type="auto"/>
            <w:tcBorders>
              <w:top w:val="nil"/>
              <w:left w:val="nil"/>
              <w:bottom w:val="single" w:color="1F1F1F" w:sz="8" w:space="0"/>
              <w:right w:val="single" w:color="1F1F1F" w:sz="8" w:space="0"/>
            </w:tcBorders>
            <w:shd w:val="clear" w:color="auto" w:fill="auto"/>
            <w:vAlign w:val="center"/>
          </w:tcPr>
          <w:p w14:paraId="5EF62987">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换端作业耗时</w:t>
            </w:r>
          </w:p>
        </w:tc>
      </w:tr>
      <w:tr w14:paraId="0370A67D">
        <w:tblPrEx>
          <w:tblCellMar>
            <w:top w:w="0" w:type="dxa"/>
            <w:left w:w="108" w:type="dxa"/>
            <w:bottom w:w="0" w:type="dxa"/>
            <w:right w:w="108" w:type="dxa"/>
          </w:tblCellMar>
        </w:tblPrEx>
        <w:trPr>
          <w:trHeight w:val="690"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43655160">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最大站台容量</w:t>
            </w:r>
          </w:p>
        </w:tc>
        <w:tc>
          <w:tcPr>
            <w:tcW w:w="0" w:type="auto"/>
            <w:tcBorders>
              <w:top w:val="nil"/>
              <w:left w:val="nil"/>
              <w:bottom w:val="single" w:color="1F1F1F" w:sz="8" w:space="0"/>
              <w:right w:val="single" w:color="1F1F1F" w:sz="8" w:space="0"/>
            </w:tcBorders>
            <w:shd w:val="clear" w:color="auto" w:fill="auto"/>
            <w:vAlign w:val="center"/>
          </w:tcPr>
          <w:p w14:paraId="20EFA4EC">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C</m:t>
                    </m:r>
                    <m:ctrlPr>
                      <w:rPr>
                        <w:rFonts w:ascii="Cambria Math" w:hAnsi="Cambria Math" w:eastAsia="宋体"/>
                        <w:sz w:val="18"/>
                      </w:rPr>
                    </m:ctrlPr>
                  </m:e>
                  <m:sub>
                    <m:r>
                      <m:rPr/>
                      <w:rPr>
                        <w:rFonts w:ascii="Cambria Math" w:hAnsi="Cambria Math" w:eastAsia="宋体"/>
                        <w:sz w:val="18"/>
                      </w:rPr>
                      <m:t>platform</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2496AB6E">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1300~2000</w:t>
            </w:r>
          </w:p>
        </w:tc>
        <w:tc>
          <w:tcPr>
            <w:tcW w:w="0" w:type="auto"/>
            <w:tcBorders>
              <w:top w:val="nil"/>
              <w:left w:val="nil"/>
              <w:bottom w:val="single" w:color="1F1F1F" w:sz="8" w:space="0"/>
              <w:right w:val="single" w:color="1F1F1F" w:sz="8" w:space="0"/>
            </w:tcBorders>
            <w:shd w:val="clear" w:color="auto" w:fill="auto"/>
            <w:vAlign w:val="center"/>
          </w:tcPr>
          <w:p w14:paraId="433B6F8E">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pax</w:t>
            </w:r>
          </w:p>
        </w:tc>
        <w:tc>
          <w:tcPr>
            <w:tcW w:w="0" w:type="auto"/>
            <w:tcBorders>
              <w:top w:val="nil"/>
              <w:left w:val="nil"/>
              <w:bottom w:val="single" w:color="1F1F1F" w:sz="8" w:space="0"/>
              <w:right w:val="single" w:color="1F1F1F" w:sz="8" w:space="0"/>
            </w:tcBorders>
            <w:shd w:val="clear" w:color="auto" w:fill="auto"/>
            <w:vAlign w:val="center"/>
          </w:tcPr>
          <w:p w14:paraId="5A337732">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依据各站台实际面积设定</w:t>
            </w:r>
          </w:p>
        </w:tc>
      </w:tr>
      <w:tr w14:paraId="25DA5BA7">
        <w:tblPrEx>
          <w:tblCellMar>
            <w:top w:w="0" w:type="dxa"/>
            <w:left w:w="108" w:type="dxa"/>
            <w:bottom w:w="0" w:type="dxa"/>
            <w:right w:w="108" w:type="dxa"/>
          </w:tblCellMar>
        </w:tblPrEx>
        <w:trPr>
          <w:trHeight w:val="465" w:hRule="atLeast"/>
          <w:jc w:val="center"/>
        </w:trPr>
        <w:tc>
          <w:tcPr>
            <w:tcW w:w="0" w:type="auto"/>
            <w:tcBorders>
              <w:top w:val="nil"/>
              <w:left w:val="single" w:color="1F1F1F" w:sz="8" w:space="0"/>
              <w:bottom w:val="single" w:color="1F1F1F" w:sz="8" w:space="0"/>
              <w:right w:val="single" w:color="1F1F1F" w:sz="8" w:space="0"/>
            </w:tcBorders>
            <w:shd w:val="clear" w:color="auto" w:fill="auto"/>
            <w:vAlign w:val="center"/>
          </w:tcPr>
          <w:p w14:paraId="13AFBD6A">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越线容量</w:t>
            </w:r>
          </w:p>
        </w:tc>
        <w:tc>
          <w:tcPr>
            <w:tcW w:w="0" w:type="auto"/>
            <w:tcBorders>
              <w:top w:val="nil"/>
              <w:left w:val="nil"/>
              <w:bottom w:val="single" w:color="1F1F1F" w:sz="8" w:space="0"/>
              <w:right w:val="single" w:color="1F1F1F" w:sz="8" w:space="0"/>
            </w:tcBorders>
            <w:shd w:val="clear" w:color="auto" w:fill="auto"/>
            <w:vAlign w:val="center"/>
          </w:tcPr>
          <w:p w14:paraId="5802413B">
            <w:pPr>
              <w:widowControl/>
              <w:jc w:val="center"/>
              <w:textAlignment w:val="center"/>
              <w:rPr>
                <w:rFonts w:ascii="Times New Roman" w:hAnsi="Times New Roman" w:eastAsia="宋体" w:cs="Times New Roman"/>
                <w:color w:val="1F1F1F"/>
                <w:sz w:val="18"/>
                <w:szCs w:val="18"/>
              </w:rPr>
            </w:pPr>
            <m:oMathPara>
              <m:oMath>
                <m:sSub>
                  <m:sSubPr>
                    <m:ctrlPr>
                      <w:rPr>
                        <w:rFonts w:ascii="Cambria Math" w:hAnsi="Cambria Math" w:eastAsia="宋体"/>
                        <w:sz w:val="18"/>
                      </w:rPr>
                    </m:ctrlPr>
                  </m:sSubPr>
                  <m:e>
                    <m:r>
                      <m:rPr/>
                      <w:rPr>
                        <w:rFonts w:ascii="Cambria Math" w:hAnsi="Cambria Math" w:eastAsia="宋体"/>
                        <w:sz w:val="18"/>
                      </w:rPr>
                      <m:t>C</m:t>
                    </m:r>
                    <m:ctrlPr>
                      <w:rPr>
                        <w:rFonts w:ascii="Cambria Math" w:hAnsi="Cambria Math" w:eastAsia="宋体"/>
                        <w:sz w:val="18"/>
                      </w:rPr>
                    </m:ctrlPr>
                  </m:e>
                  <m:sub>
                    <m:r>
                      <m:rPr/>
                      <w:rPr>
                        <w:rFonts w:ascii="Cambria Math" w:hAnsi="Cambria Math" w:eastAsia="宋体"/>
                        <w:sz w:val="18"/>
                      </w:rPr>
                      <m:t>cross</m:t>
                    </m:r>
                    <m:ctrlPr>
                      <w:rPr>
                        <w:rFonts w:ascii="Cambria Math" w:hAnsi="Cambria Math" w:eastAsia="宋体"/>
                        <w:sz w:val="18"/>
                      </w:rPr>
                    </m:ctrlPr>
                  </m:sub>
                </m:sSub>
              </m:oMath>
            </m:oMathPara>
          </w:p>
        </w:tc>
        <w:tc>
          <w:tcPr>
            <w:tcW w:w="0" w:type="auto"/>
            <w:tcBorders>
              <w:top w:val="nil"/>
              <w:left w:val="nil"/>
              <w:bottom w:val="single" w:color="1F1F1F" w:sz="8" w:space="0"/>
              <w:right w:val="single" w:color="1F1F1F" w:sz="8" w:space="0"/>
            </w:tcBorders>
            <w:shd w:val="clear" w:color="auto" w:fill="auto"/>
            <w:vAlign w:val="center"/>
          </w:tcPr>
          <w:p w14:paraId="698D5756">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3</w:t>
            </w:r>
          </w:p>
        </w:tc>
        <w:tc>
          <w:tcPr>
            <w:tcW w:w="0" w:type="auto"/>
            <w:tcBorders>
              <w:top w:val="nil"/>
              <w:left w:val="nil"/>
              <w:bottom w:val="single" w:color="1F1F1F" w:sz="8" w:space="0"/>
              <w:right w:val="single" w:color="1F1F1F" w:sz="8" w:space="0"/>
            </w:tcBorders>
            <w:shd w:val="clear" w:color="auto" w:fill="auto"/>
            <w:vAlign w:val="center"/>
          </w:tcPr>
          <w:p w14:paraId="6E5C7573">
            <w:pPr>
              <w:widowControl/>
              <w:jc w:val="center"/>
              <w:textAlignment w:val="center"/>
              <w:rPr>
                <w:rFonts w:ascii="Times New Roman" w:hAnsi="Times New Roman" w:eastAsia="宋体" w:cs="Times New Roman"/>
                <w:color w:val="1F1F1F"/>
                <w:sz w:val="18"/>
                <w:szCs w:val="18"/>
              </w:rPr>
            </w:pPr>
            <w:r>
              <w:rPr>
                <w:rFonts w:ascii="Times New Roman" w:hAnsi="Times New Roman" w:eastAsia="宋体" w:cs="Times New Roman"/>
                <w:color w:val="1F1F1F"/>
                <w:kern w:val="0"/>
                <w:sz w:val="18"/>
                <w:szCs w:val="18"/>
                <w:lang w:bidi="ar"/>
              </w:rPr>
              <w:t>train</w:t>
            </w:r>
          </w:p>
        </w:tc>
        <w:tc>
          <w:tcPr>
            <w:tcW w:w="0" w:type="auto"/>
            <w:tcBorders>
              <w:top w:val="nil"/>
              <w:left w:val="nil"/>
              <w:bottom w:val="single" w:color="1F1F1F" w:sz="8" w:space="0"/>
              <w:right w:val="single" w:color="1F1F1F" w:sz="8" w:space="0"/>
            </w:tcBorders>
            <w:shd w:val="clear" w:color="auto" w:fill="auto"/>
            <w:vAlign w:val="center"/>
          </w:tcPr>
          <w:p w14:paraId="6C12BC9A">
            <w:pPr>
              <w:widowControl/>
              <w:jc w:val="center"/>
              <w:textAlignment w:val="center"/>
              <w:rPr>
                <w:rFonts w:hint="eastAsia" w:ascii="宋体" w:hAnsi="宋体" w:eastAsia="宋体" w:cs="宋体"/>
                <w:color w:val="1F1F1F"/>
                <w:sz w:val="18"/>
                <w:szCs w:val="18"/>
              </w:rPr>
            </w:pPr>
            <w:r>
              <w:rPr>
                <w:rFonts w:hint="eastAsia" w:ascii="宋体" w:hAnsi="宋体" w:eastAsia="宋体" w:cs="宋体"/>
                <w:color w:val="1F1F1F"/>
                <w:kern w:val="0"/>
                <w:sz w:val="18"/>
                <w:szCs w:val="18"/>
                <w:lang w:bidi="ar"/>
              </w:rPr>
              <w:t>信号闭塞分区限制</w:t>
            </w:r>
          </w:p>
        </w:tc>
      </w:tr>
    </w:tbl>
    <w:p w14:paraId="44FAEB50">
      <w:pPr>
        <w:pStyle w:val="5"/>
        <w:widowControl/>
        <w:spacing w:beforeAutospacing="0" w:line="17" w:lineRule="atLeast"/>
        <w:rPr>
          <w:rFonts w:hint="eastAsia" w:ascii="宋体" w:hAnsi="宋体" w:eastAsia="宋体" w:cs="宋体"/>
        </w:rPr>
      </w:pPr>
    </w:p>
    <w:p w14:paraId="69222723">
      <w:pPr>
        <w:jc w:val="center"/>
        <w:rPr>
          <w:rFonts w:hint="eastAsia" w:ascii="黑体" w:hAnsi="黑体" w:eastAsia="黑体" w:cs="黑体"/>
          <w:sz w:val="24"/>
          <w14:ligatures w14:val="standardContextual"/>
        </w:rPr>
      </w:pPr>
      <w:r>
        <w:rPr>
          <w:rFonts w:ascii="黑体" w:hAnsi="黑体" w:eastAsia="黑体" w:cs="黑体"/>
          <w:sz w:val="24"/>
          <w14:ligatures w14:val="standardContextual"/>
        </w:rPr>
        <w:t>此处插入：图5-1</w:t>
      </w:r>
      <w:r>
        <w:rPr>
          <w:rFonts w:hint="eastAsia" w:ascii="黑体" w:hAnsi="黑体" w:eastAsia="黑体" w:cs="黑体"/>
          <w:sz w:val="24"/>
          <w14:ligatures w14:val="standardContextual"/>
        </w:rPr>
        <w:t>线路图</w:t>
      </w:r>
    </w:p>
    <w:p w14:paraId="5E446A11">
      <w:pPr>
        <w:adjustRightInd w:val="0"/>
        <w:snapToGrid w:val="0"/>
        <w:spacing w:before="480" w:after="360"/>
        <w:jc w:val="left"/>
        <w:outlineLvl w:val="0"/>
        <w:rPr>
          <w:rFonts w:ascii="Times New Roman" w:hAnsi="Times New Roman" w:eastAsia="黑体" w:cs="Times New Roman"/>
          <w:sz w:val="28"/>
          <w:szCs w:val="28"/>
          <w14:ligatures w14:val="standardContextual"/>
        </w:rPr>
      </w:pPr>
      <w:r>
        <w:rPr>
          <w:rFonts w:ascii="Times New Roman" w:hAnsi="Times New Roman" w:eastAsia="黑体" w:cs="Times New Roman"/>
          <w:sz w:val="28"/>
          <w:szCs w:val="28"/>
          <w14:ligatures w14:val="standardContextual"/>
        </w:rPr>
        <w:t>5.1.2</w:t>
      </w:r>
      <w:r>
        <w:rPr>
          <w:rFonts w:hint="eastAsia" w:ascii="Times New Roman" w:hAnsi="Times New Roman" w:eastAsia="黑体" w:cs="Times New Roman"/>
          <w:sz w:val="28"/>
          <w:szCs w:val="28"/>
          <w14:ligatures w14:val="standardContextual"/>
        </w:rPr>
        <w:t>乘客流量数据与输入构建</w:t>
      </w:r>
    </w:p>
    <w:p w14:paraId="01A5EDCA">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在城市轨道交通系统中，乘客进出站刷卡记录由自动收费系统（AFC）采集。该数据包含刷卡时间与站点信息，虽不直接提供乘客在网络中的完整路径，却是刻画高峰期时变需求的最佳数据源。为保证数据可获得性并精准还原客流特征，本研究基于AFC数据构建仿真输入，采用“到达事件列表”与“时变OD张量”相结合的方式驱动乘客出行过程。两类数据的定义与用途如下：</w:t>
      </w:r>
    </w:p>
    <w:p w14:paraId="55A0092A">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到达事件列表：定义为站点</w:t>
      </w:r>
      <m:oMath>
        <m:r>
          <m:rPr/>
          <w:rPr>
            <w:rFonts w:ascii="Cambria Math" w:hAnsi="Cambria Math" w:eastAsia="宋体" w:cs="Times New Roman"/>
            <w:sz w:val="24"/>
            <w14:ligatures w14:val="standardContextual"/>
          </w:rPr>
          <m:t>i</m:t>
        </m:r>
      </m:oMath>
      <w:r>
        <w:rPr>
          <w:rFonts w:ascii="Times New Roman" w:hAnsi="Times New Roman" w:eastAsia="宋体" w:cs="Times New Roman"/>
          <w:sz w:val="24"/>
          <w14:ligatures w14:val="standardContextual"/>
        </w:rPr>
        <w:t>的乘客到达序列，每条记录表示为</w:t>
      </w:r>
      <m:oMath>
        <m:d>
          <m:dPr>
            <m:begChr m:val="["/>
            <m:endChr m:val="]"/>
            <m:ctrlPr>
              <w:rPr>
                <w:rFonts w:ascii="Cambria Math" w:hAnsi="Cambria Math" w:eastAsia="宋体" w:cs="Times New Roman"/>
                <w:i/>
                <w:sz w:val="24"/>
                <w14:ligatures w14:val="standardContextual"/>
              </w:rPr>
            </m:ctrlPr>
          </m:dPr>
          <m:e>
            <m:r>
              <m:rPr/>
              <w:rPr>
                <w:rFonts w:ascii="Cambria Math" w:hAnsi="Cambria Math" w:eastAsia="宋体" w:cs="Times New Roman"/>
                <w:sz w:val="24"/>
                <w14:ligatures w14:val="standardContextual"/>
              </w:rPr>
              <m:t>t,d</m:t>
            </m:r>
            <m:ctrlPr>
              <w:rPr>
                <w:rFonts w:ascii="Cambria Math" w:hAnsi="Cambria Math" w:eastAsia="宋体" w:cs="Times New Roman"/>
                <w:i/>
                <w:sz w:val="24"/>
                <w14:ligatures w14:val="standardContextual"/>
              </w:rPr>
            </m:ctrlPr>
          </m:e>
        </m:d>
      </m:oMath>
      <w:r>
        <w:rPr>
          <w:rFonts w:ascii="Times New Roman" w:hAnsi="Times New Roman" w:eastAsia="宋体" w:cs="Times New Roman"/>
          <w:sz w:val="24"/>
          <w14:ligatures w14:val="standardContextual"/>
        </w:rPr>
        <w:t>。其中，</w:t>
      </w:r>
      <m:oMath>
        <m:r>
          <m:rPr/>
          <w:rPr>
            <w:rFonts w:ascii="Cambria Math" w:hAnsi="Cambria Math" w:eastAsia="宋体" w:cs="Times New Roman"/>
            <w:sz w:val="24"/>
            <w14:ligatures w14:val="standardContextual"/>
          </w:rPr>
          <m:t>t</m:t>
        </m:r>
      </m:oMath>
      <w:r>
        <w:rPr>
          <w:rFonts w:ascii="Times New Roman" w:hAnsi="Times New Roman" w:eastAsia="宋体" w:cs="Times New Roman"/>
          <w:sz w:val="24"/>
          <w14:ligatures w14:val="standardContextual"/>
        </w:rPr>
        <w:t>为乘客到达时刻，</w:t>
      </w:r>
      <m:oMath>
        <m:r>
          <m:rPr/>
          <w:rPr>
            <w:rFonts w:ascii="Cambria Math" w:hAnsi="Cambria Math" w:eastAsia="宋体" w:cs="Times New Roman"/>
            <w:sz w:val="24"/>
            <w14:ligatures w14:val="standardContextual"/>
          </w:rPr>
          <m:t>d</m:t>
        </m:r>
      </m:oMath>
      <w:r>
        <w:rPr>
          <w:rFonts w:ascii="Times New Roman" w:hAnsi="Times New Roman" w:eastAsia="宋体" w:cs="Times New Roman"/>
          <w:sz w:val="24"/>
          <w14:ligatures w14:val="standardContextual"/>
        </w:rPr>
        <w:t>为目的站编号。该输入作为微观仿真的直接驱动源，用于在秒级步长下生成站外到达与排队过程，并与站台限流（PFC）机制耦合以刻画需求侧调控效果。</w:t>
      </w:r>
    </w:p>
    <w:p w14:paraId="778C8598">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时变OD张量：以</w:t>
      </w:r>
      <m:oMath>
        <m:d>
          <m:dPr>
            <m:ctrlPr>
              <w:rPr>
                <w:rFonts w:ascii="Cambria Math" w:hAnsi="Cambria Math" w:eastAsia="宋体" w:cs="Times New Roman"/>
                <w:i/>
                <w:sz w:val="24"/>
                <w14:ligatures w14:val="standardContextual"/>
              </w:rPr>
            </m:ctrlPr>
          </m:dPr>
          <m:e>
            <m:r>
              <m:rPr/>
              <w:rPr>
                <w:rFonts w:ascii="Cambria Math" w:hAnsi="Cambria Math" w:eastAsia="宋体" w:cs="Times New Roman"/>
                <w:sz w:val="24"/>
                <w14:ligatures w14:val="standardContextual"/>
              </w:rPr>
              <m:t>T</m:t>
            </m:r>
            <m:r>
              <m:rPr>
                <m:sty m:val="p"/>
              </m:rPr>
              <w:rPr>
                <w:rFonts w:hint="eastAsia" w:ascii="Cambria Math" w:hAnsi="Cambria Math" w:eastAsia="宋体" w:cs="Times New Roman"/>
                <w:sz w:val="24"/>
                <w14:ligatures w14:val="standardContextual"/>
              </w:rPr>
              <m:t>×</m:t>
            </m:r>
            <m:r>
              <m:rPr/>
              <w:rPr>
                <w:rFonts w:ascii="Cambria Math" w:hAnsi="Cambria Math" w:eastAsia="宋体" w:cs="Times New Roman"/>
                <w:sz w:val="24"/>
                <w14:ligatures w14:val="standardContextual"/>
              </w:rPr>
              <m:t>N</m:t>
            </m:r>
            <m:r>
              <m:rPr>
                <m:sty m:val="p"/>
              </m:rPr>
              <w:rPr>
                <w:rFonts w:hint="eastAsia" w:ascii="Cambria Math" w:hAnsi="Cambria Math" w:eastAsia="宋体" w:cs="Times New Roman"/>
                <w:sz w:val="24"/>
                <w14:ligatures w14:val="standardContextual"/>
              </w:rPr>
              <m:t>×</m:t>
            </m:r>
            <m:r>
              <m:rPr/>
              <w:rPr>
                <w:rFonts w:ascii="Cambria Math" w:hAnsi="Cambria Math" w:eastAsia="宋体" w:cs="Times New Roman"/>
                <w:sz w:val="24"/>
                <w14:ligatures w14:val="standardContextual"/>
              </w:rPr>
              <m:t>N</m:t>
            </m:r>
            <m:ctrlPr>
              <w:rPr>
                <w:rFonts w:ascii="Cambria Math" w:hAnsi="Cambria Math" w:eastAsia="宋体" w:cs="Times New Roman"/>
                <w:i/>
                <w:sz w:val="24"/>
                <w14:ligatures w14:val="standardContextual"/>
              </w:rPr>
            </m:ctrlPr>
          </m:e>
        </m:d>
      </m:oMath>
      <w:r>
        <w:rPr>
          <w:rFonts w:ascii="Times New Roman" w:hAnsi="Times New Roman" w:eastAsia="宋体" w:cs="Times New Roman"/>
          <w:sz w:val="24"/>
          <w14:ligatures w14:val="standardContextual"/>
        </w:rPr>
        <w:t>的三维矩阵形式描述2小时窗口内站间需求结构随时间的演变（其中N=23，T=7201，对应0-7200s的仿真时段）。该输入主要用于表征宏观OD结构与时变性，并作为鲁棒性实验中需求强度缩放（如0.8倍、1.0倍、1.2倍基准需求）的统一基准。</w:t>
      </w:r>
    </w:p>
    <w:p w14:paraId="64EE0EC1">
      <w:pPr>
        <w:spacing w:line="400" w:lineRule="exact"/>
        <w:ind w:firstLine="480" w:firstLineChars="200"/>
        <w:rPr>
          <w:rFonts w:ascii="Times New Roman" w:hAnsi="Times New Roman" w:eastAsia="宋体" w:cs="Times New Roman"/>
          <w:sz w:val="24"/>
          <w14:ligatures w14:val="standardContextual"/>
        </w:rPr>
      </w:pPr>
      <w:r>
        <w:rPr>
          <w:rFonts w:hint="eastAsia" w:ascii="Times New Roman" w:hAnsi="Times New Roman" w:eastAsia="宋体" w:cs="Times New Roman"/>
          <w:sz w:val="24"/>
          <w14:ligatures w14:val="standardContextual"/>
        </w:rPr>
        <w:t>为保证对比公平性，本章所有方法均在相同客流输入与相同参考运行图下评估；方法间差异仅来自控制策略与模块配置。数据采用标准化格式存储，字段定义与读取接口在补充材料/开源实现中提供，以支持实验的可复现性。</w:t>
      </w:r>
    </w:p>
    <w:p w14:paraId="1BB8E9BE">
      <w:pPr>
        <w:adjustRightInd w:val="0"/>
        <w:snapToGrid w:val="0"/>
        <w:spacing w:before="480" w:after="360"/>
        <w:jc w:val="left"/>
        <w:outlineLvl w:val="0"/>
        <w:rPr>
          <w:rFonts w:ascii="Times New Roman" w:hAnsi="Times New Roman" w:eastAsia="黑体" w:cs="Times New Roman"/>
          <w:sz w:val="28"/>
          <w:szCs w:val="28"/>
          <w14:ligatures w14:val="standardContextual"/>
        </w:rPr>
      </w:pPr>
      <w:r>
        <w:rPr>
          <w:rFonts w:ascii="Times New Roman" w:hAnsi="Times New Roman" w:eastAsia="黑体" w:cs="Times New Roman"/>
          <w:sz w:val="28"/>
          <w:szCs w:val="28"/>
          <w14:ligatures w14:val="standardContextual"/>
        </w:rPr>
        <w:t>5.1.3扰动场景设定（DisruptionScenario）</w:t>
      </w:r>
    </w:p>
    <w:p w14:paraId="1FEBD985">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为评估所提出方法在实际运营扰动下的恢复能力，本研究设置典型的“区间/站点阻断”扰动场景。在仿真时间</w:t>
      </w:r>
      <m:oMath>
        <m:r>
          <m:rPr/>
          <w:rPr>
            <w:rFonts w:ascii="Cambria Math" w:hAnsi="Cambria Math" w:eastAsia="宋体" w:cs="Times New Roman"/>
            <w:sz w:val="24"/>
            <w14:ligatures w14:val="standardContextual"/>
          </w:rPr>
          <m:t>t=2100</m:t>
        </m:r>
        <m:r>
          <m:rPr>
            <m:nor/>
            <m:sty m:val="p"/>
          </m:rPr>
          <w:rPr>
            <w:rFonts w:ascii="Cambria Math" w:hAnsi="Cambria Math" w:eastAsia="宋体" w:cs="Times New Roman"/>
            <w:b w:val="0"/>
            <w:bCs/>
            <w:i w:val="0"/>
            <w:sz w:val="24"/>
            <w14:ligatures w14:val="standardContextual"/>
          </w:rPr>
          <m:t xml:space="preserve"> s</m:t>
        </m:r>
      </m:oMath>
      <w:r>
        <w:rPr>
          <w:rFonts w:ascii="Times New Roman" w:hAnsi="Times New Roman" w:eastAsia="宋体" w:cs="Times New Roman"/>
          <w:sz w:val="24"/>
          <w14:ligatures w14:val="standardContextual"/>
        </w:rPr>
        <w:t>时刻，上行方向在站点</w:t>
      </w:r>
      <m:oMath>
        <m:sSub>
          <m:sSubPr>
            <m:ctrlPr>
              <w:rPr>
                <w:rFonts w:ascii="Cambria Math" w:hAnsi="Cambria Math" w:eastAsia="宋体" w:cs="Times New Roman"/>
                <w:bCs/>
                <w:i/>
                <w:sz w:val="24"/>
                <w14:ligatures w14:val="standardContextual"/>
              </w:rPr>
            </m:ctrlPr>
          </m:sSubPr>
          <m:e>
            <m:r>
              <m:rPr/>
              <w:rPr>
                <w:rFonts w:ascii="Cambria Math" w:hAnsi="Cambria Math" w:eastAsia="宋体" w:cs="Times New Roman"/>
                <w:sz w:val="24"/>
                <w14:ligatures w14:val="standardContextual"/>
              </w:rPr>
              <m:t>S</m:t>
            </m:r>
            <m:ctrlPr>
              <w:rPr>
                <w:rFonts w:ascii="Cambria Math" w:hAnsi="Cambria Math" w:eastAsia="宋体" w:cs="Times New Roman"/>
                <w:bCs/>
                <w:i/>
                <w:sz w:val="24"/>
                <w14:ligatures w14:val="standardContextual"/>
              </w:rPr>
            </m:ctrlPr>
          </m:e>
          <m:sub>
            <m:r>
              <m:rPr/>
              <w:rPr>
                <w:rFonts w:ascii="Cambria Math" w:hAnsi="Cambria Math" w:eastAsia="宋体" w:cs="Times New Roman"/>
                <w:sz w:val="24"/>
                <w14:ligatures w14:val="standardContextual"/>
              </w:rPr>
              <m:t>6</m:t>
            </m:r>
            <m:ctrlPr>
              <w:rPr>
                <w:rFonts w:ascii="Cambria Math" w:hAnsi="Cambria Math" w:eastAsia="宋体" w:cs="Times New Roman"/>
                <w:bCs/>
                <w:i/>
                <w:sz w:val="24"/>
                <w14:ligatures w14:val="standardContextual"/>
              </w:rPr>
            </m:ctrlPr>
          </m:sub>
        </m:sSub>
      </m:oMath>
      <w:r>
        <w:rPr>
          <w:rFonts w:ascii="Times New Roman" w:hAnsi="Times New Roman" w:eastAsia="宋体" w:cs="Times New Roman"/>
          <w:sz w:val="24"/>
          <w14:ligatures w14:val="standardContextual"/>
        </w:rPr>
        <w:t>处发生运行中断（阻断点固定为</w:t>
      </w:r>
      <m:oMath>
        <m:sSub>
          <m:sSubPr>
            <m:ctrlPr>
              <w:rPr>
                <w:rFonts w:ascii="Cambria Math" w:hAnsi="Cambria Math" w:eastAsia="宋体" w:cs="Times New Roman"/>
                <w:bCs/>
                <w:i/>
                <w:sz w:val="24"/>
                <w14:ligatures w14:val="standardContextual"/>
              </w:rPr>
            </m:ctrlPr>
          </m:sSubPr>
          <m:e>
            <m:r>
              <m:rPr/>
              <w:rPr>
                <w:rFonts w:ascii="Cambria Math" w:hAnsi="Cambria Math" w:eastAsia="宋体" w:cs="Times New Roman"/>
                <w:sz w:val="24"/>
                <w14:ligatures w14:val="standardContextual"/>
              </w:rPr>
              <m:t>S</m:t>
            </m:r>
            <m:ctrlPr>
              <w:rPr>
                <w:rFonts w:ascii="Cambria Math" w:hAnsi="Cambria Math" w:eastAsia="宋体" w:cs="Times New Roman"/>
                <w:bCs/>
                <w:i/>
                <w:sz w:val="24"/>
                <w14:ligatures w14:val="standardContextual"/>
              </w:rPr>
            </m:ctrlPr>
          </m:e>
          <m:sub>
            <m:r>
              <m:rPr/>
              <w:rPr>
                <w:rFonts w:ascii="Cambria Math" w:hAnsi="Cambria Math" w:eastAsia="宋体" w:cs="Times New Roman"/>
                <w:sz w:val="24"/>
                <w14:ligatures w14:val="standardContextual"/>
              </w:rPr>
              <m:t>6</m:t>
            </m:r>
            <m:ctrlPr>
              <w:rPr>
                <w:rFonts w:ascii="Cambria Math" w:hAnsi="Cambria Math" w:eastAsia="宋体" w:cs="Times New Roman"/>
                <w:bCs/>
                <w:i/>
                <w:sz w:val="24"/>
                <w14:ligatures w14:val="standardContextual"/>
              </w:rPr>
            </m:ctrlPr>
          </m:sub>
        </m:sSub>
      </m:oMath>
      <w:r>
        <w:rPr>
          <w:rFonts w:ascii="Times New Roman" w:hAnsi="Times New Roman" w:eastAsia="宋体" w:cs="Times New Roman"/>
          <w:sz w:val="24"/>
          <w14:ligatures w14:val="standardContextual"/>
        </w:rPr>
        <w:t>，方向为上行），从而导致故障区段内列车运行受限并引发上游站点排队与站台拥挤的级联传播。扰动持续时间设置为</w:t>
      </w:r>
      <m:oMath>
        <m:r>
          <m:rPr/>
          <w:rPr>
            <w:rFonts w:ascii="Cambria Math" w:hAnsi="Cambria Math" w:eastAsia="宋体" w:cs="Times New Roman"/>
            <w:sz w:val="24"/>
            <w14:ligatures w14:val="standardContextual"/>
          </w:rPr>
          <m:t>3300</m:t>
        </m:r>
        <m:r>
          <m:rPr>
            <m:nor/>
            <m:sty m:val="p"/>
          </m:rPr>
          <w:rPr>
            <w:rFonts w:ascii="Cambria Math" w:hAnsi="Cambria Math" w:eastAsia="宋体" w:cs="Times New Roman"/>
            <w:b w:val="0"/>
            <w:bCs/>
            <w:i w:val="0"/>
            <w:sz w:val="24"/>
            <w14:ligatures w14:val="standardContextual"/>
          </w:rPr>
          <m:t>s</m:t>
        </m:r>
      </m:oMath>
      <w:r>
        <w:rPr>
          <w:rFonts w:ascii="Times New Roman" w:hAnsi="Times New Roman" w:eastAsia="宋体" w:cs="Times New Roman"/>
          <w:sz w:val="24"/>
          <w14:ligatures w14:val="standardContextual"/>
        </w:rPr>
        <w:t>，仿真总时长为</w:t>
      </w:r>
      <m:oMath>
        <m:r>
          <m:rPr/>
          <w:rPr>
            <w:rFonts w:ascii="Cambria Math" w:hAnsi="Cambria Math" w:eastAsia="宋体" w:cs="Times New Roman"/>
            <w:sz w:val="24"/>
            <w14:ligatures w14:val="standardContextual"/>
          </w:rPr>
          <m:t>8000</m:t>
        </m:r>
        <m:r>
          <m:rPr>
            <m:nor/>
            <m:sty m:val="p"/>
          </m:rPr>
          <w:rPr>
            <w:rFonts w:ascii="Cambria Math" w:hAnsi="Cambria Math" w:eastAsia="宋体" w:cs="Times New Roman"/>
            <w:b w:val="0"/>
            <w:bCs/>
            <w:i w:val="0"/>
            <w:sz w:val="24"/>
            <w14:ligatures w14:val="standardContextual"/>
          </w:rPr>
          <m:t>s</m:t>
        </m:r>
      </m:oMath>
      <w:r>
        <w:rPr>
          <w:rFonts w:ascii="Times New Roman" w:hAnsi="Times New Roman" w:eastAsia="宋体" w:cs="Times New Roman"/>
          <w:sz w:val="24"/>
          <w14:ligatures w14:val="standardContextual"/>
        </w:rPr>
        <w:t>，覆盖扰动发生、持续及恢复后的稳定阶段。</w:t>
      </w:r>
    </w:p>
    <w:p w14:paraId="36047F56">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扰动触发后，系统首先经历一个</w:t>
      </w:r>
      <m:oMath>
        <m:r>
          <m:rPr/>
          <w:rPr>
            <w:rFonts w:ascii="Cambria Math" w:hAnsi="Cambria Math" w:eastAsia="宋体" w:cs="Times New Roman"/>
            <w:sz w:val="24"/>
            <w14:ligatures w14:val="standardContextual"/>
          </w:rPr>
          <m:t>120</m:t>
        </m:r>
        <m:r>
          <m:rPr>
            <m:nor/>
            <m:sty m:val="p"/>
          </m:rPr>
          <w:rPr>
            <w:rFonts w:ascii="Cambria Math" w:hAnsi="Cambria Math" w:eastAsia="宋体" w:cs="Times New Roman"/>
            <w:b w:val="0"/>
            <w:bCs/>
            <w:i w:val="0"/>
            <w:sz w:val="24"/>
            <w14:ligatures w14:val="standardContextual"/>
          </w:rPr>
          <m:t xml:space="preserve"> s</m:t>
        </m:r>
      </m:oMath>
      <w:r>
        <w:rPr>
          <w:rFonts w:ascii="Times New Roman" w:hAnsi="Times New Roman" w:eastAsia="宋体" w:cs="Times New Roman"/>
          <w:sz w:val="24"/>
          <w14:ligatures w14:val="standardContextual"/>
        </w:rPr>
        <w:t>的安全响应缓冲窗口，用于模拟紧急制动与运行状态切换过程；随后控制器启动滚动恢复决策。滚动控制的决策间隔设置为</w:t>
      </w:r>
      <m:oMath>
        <m:r>
          <m:rPr/>
          <w:rPr>
            <w:rFonts w:ascii="Cambria Math" w:hAnsi="Cambria Math" w:eastAsia="宋体" w:cs="Times New Roman"/>
            <w:sz w:val="24"/>
            <w14:ligatures w14:val="standardContextual"/>
          </w:rPr>
          <m:t>300</m:t>
        </m:r>
        <m:r>
          <m:rPr>
            <m:nor/>
            <m:sty m:val="p"/>
          </m:rPr>
          <w:rPr>
            <w:rFonts w:ascii="Cambria Math" w:hAnsi="Cambria Math" w:eastAsia="宋体" w:cs="Times New Roman"/>
            <w:b w:val="0"/>
            <w:bCs/>
            <w:i w:val="0"/>
            <w:sz w:val="24"/>
            <w14:ligatures w14:val="standardContextual"/>
          </w:rPr>
          <m:t xml:space="preserve"> s</m:t>
        </m:r>
      </m:oMath>
      <w:r>
        <w:rPr>
          <w:rFonts w:ascii="Times New Roman" w:hAnsi="Times New Roman" w:eastAsia="宋体" w:cs="Times New Roman"/>
          <w:sz w:val="24"/>
          <w14:ligatures w14:val="standardContextual"/>
        </w:rPr>
        <w:t>，以反映实际调度系统中“周期性重优化/重决策”的操作模式。在恢复过程中，线路提供一个可用折返资源站点</w:t>
      </w:r>
      <m:oMath>
        <m:sSub>
          <m:sSubPr>
            <m:ctrlPr>
              <w:rPr>
                <w:rFonts w:ascii="Cambria Math" w:hAnsi="Cambria Math" w:eastAsia="宋体" w:cs="Times New Roman"/>
                <w:i/>
                <w:sz w:val="24"/>
                <w14:ligatures w14:val="standardContextual"/>
              </w:rPr>
            </m:ctrlPr>
          </m:sSubPr>
          <m:e>
            <m:r>
              <m:rPr/>
              <w:rPr>
                <w:rFonts w:ascii="Cambria Math" w:hAnsi="Cambria Math" w:eastAsia="宋体" w:cs="Times New Roman"/>
                <w:sz w:val="24"/>
                <w14:ligatures w14:val="standardContextual"/>
              </w:rPr>
              <m:t>S</m:t>
            </m:r>
            <m:ctrlPr>
              <w:rPr>
                <w:rFonts w:ascii="Cambria Math" w:hAnsi="Cambria Math" w:eastAsia="宋体" w:cs="Times New Roman"/>
                <w:i/>
                <w:sz w:val="24"/>
                <w14:ligatures w14:val="standardContextual"/>
              </w:rPr>
            </m:ctrlPr>
          </m:e>
          <m:sub>
            <m:r>
              <m:rPr/>
              <w:rPr>
                <w:rFonts w:ascii="Cambria Math" w:hAnsi="Cambria Math" w:eastAsia="宋体" w:cs="Times New Roman"/>
                <w:sz w:val="24"/>
                <w14:ligatures w14:val="standardContextual"/>
              </w:rPr>
              <m:t>tb</m:t>
            </m:r>
            <m:ctrlPr>
              <w:rPr>
                <w:rFonts w:ascii="Cambria Math" w:hAnsi="Cambria Math" w:eastAsia="宋体" w:cs="Times New Roman"/>
                <w:i/>
                <w:sz w:val="24"/>
                <w14:ligatures w14:val="standardContextual"/>
              </w:rPr>
            </m:ctrlPr>
          </m:sub>
        </m:sSub>
      </m:oMath>
      <w:r>
        <w:rPr>
          <w:rFonts w:ascii="Times New Roman" w:hAnsi="Times New Roman" w:eastAsia="宋体" w:cs="Times New Roman"/>
          <w:sz w:val="24"/>
          <w14:ligatures w14:val="standardContextual"/>
        </w:rPr>
        <w:t>（折返站设置为</w:t>
      </w:r>
      <m:oMath>
        <m:sSub>
          <m:sSubPr>
            <m:ctrlPr>
              <w:rPr>
                <w:rFonts w:ascii="Cambria Math" w:hAnsi="Cambria Math" w:eastAsia="宋体" w:cs="Times New Roman"/>
                <w:i/>
                <w:sz w:val="24"/>
                <w14:ligatures w14:val="standardContextual"/>
              </w:rPr>
            </m:ctrlPr>
          </m:sSubPr>
          <m:e>
            <m:r>
              <m:rPr/>
              <w:rPr>
                <w:rFonts w:ascii="Cambria Math" w:hAnsi="Cambria Math" w:eastAsia="宋体" w:cs="Times New Roman"/>
                <w:sz w:val="24"/>
                <w14:ligatures w14:val="standardContextual"/>
              </w:rPr>
              <m:t>S</m:t>
            </m:r>
            <m:ctrlPr>
              <w:rPr>
                <w:rFonts w:ascii="Cambria Math" w:hAnsi="Cambria Math" w:eastAsia="宋体" w:cs="Times New Roman"/>
                <w:i/>
                <w:sz w:val="24"/>
                <w14:ligatures w14:val="standardContextual"/>
              </w:rPr>
            </m:ctrlPr>
          </m:e>
          <m:sub>
            <m:r>
              <m:rPr/>
              <w:rPr>
                <w:rFonts w:ascii="Cambria Math" w:hAnsi="Cambria Math" w:eastAsia="宋体" w:cs="Times New Roman"/>
                <w:sz w:val="24"/>
                <w14:ligatures w14:val="standardContextual"/>
              </w:rPr>
              <m:t>10</m:t>
            </m:r>
            <m:ctrlPr>
              <w:rPr>
                <w:rFonts w:ascii="Cambria Math" w:hAnsi="Cambria Math" w:eastAsia="宋体" w:cs="Times New Roman"/>
                <w:i/>
                <w:sz w:val="24"/>
                <w14:ligatures w14:val="standardContextual"/>
              </w:rPr>
            </m:ctrlPr>
          </m:sub>
        </m:sSub>
      </m:oMath>
      <w:r>
        <w:rPr>
          <w:rFonts w:ascii="Times New Roman" w:hAnsi="Times New Roman" w:eastAsia="宋体" w:cs="Times New Roman"/>
          <w:sz w:val="24"/>
          <w14:ligatures w14:val="standardContextual"/>
        </w:rPr>
        <w:t>），用于支持应急折返与服务重构，从而在供给侧缓解故障区段对行车组织的约束。</w:t>
      </w:r>
    </w:p>
    <w:p w14:paraId="6595CCAC">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保证对比的公平性，本章所有方法均在相同扰动位置、触发时刻与持续时间配置下评估；方法间差异仅来自控制策略与模块配置（如是否启用可行性投影Clipper、是否启用站台限流PFC、是否启用折返/重构策略等）。上述扰动参数在实验脚本中固定，并结合多随机种子重复运行，以确保结果可复现。</w:t>
      </w:r>
    </w:p>
    <w:p w14:paraId="3ED9D8CC">
      <w:pPr>
        <w:adjustRightInd w:val="0"/>
        <w:snapToGrid w:val="0"/>
        <w:spacing w:before="480" w:after="360"/>
        <w:jc w:val="left"/>
        <w:outlineLvl w:val="0"/>
        <w:rPr>
          <w:rFonts w:ascii="Times New Roman" w:hAnsi="Times New Roman" w:eastAsia="黑体" w:cs="Times New Roman"/>
          <w:sz w:val="28"/>
          <w:szCs w:val="28"/>
          <w14:ligatures w14:val="standardContextual"/>
        </w:rPr>
      </w:pPr>
    </w:p>
    <w:p w14:paraId="465EDCAE">
      <w:pPr>
        <w:adjustRightInd w:val="0"/>
        <w:snapToGrid w:val="0"/>
        <w:spacing w:before="480" w:after="360"/>
        <w:jc w:val="left"/>
        <w:outlineLvl w:val="0"/>
        <w:rPr>
          <w:rFonts w:ascii="Times New Roman" w:hAnsi="Times New Roman" w:eastAsia="黑体" w:cs="Times New Roman"/>
          <w:sz w:val="28"/>
          <w:szCs w:val="28"/>
          <w14:ligatures w14:val="standardContextual"/>
        </w:rPr>
      </w:pPr>
      <w:r>
        <w:rPr>
          <w:rFonts w:hint="eastAsia" w:ascii="Times New Roman" w:hAnsi="Times New Roman" w:eastAsia="黑体" w:cs="Times New Roman"/>
          <w:sz w:val="28"/>
          <w:szCs w:val="28"/>
          <w14:ligatures w14:val="standardContextual"/>
        </w:rPr>
        <w:t>5</w:t>
      </w:r>
      <w:r>
        <w:rPr>
          <w:rFonts w:ascii="Times New Roman" w:hAnsi="Times New Roman" w:eastAsia="黑体" w:cs="Times New Roman"/>
          <w:sz w:val="28"/>
          <w:szCs w:val="28"/>
          <w14:ligatures w14:val="standardContextual"/>
        </w:rPr>
        <w:t>.2.算法性能与收敛性分析</w:t>
      </w:r>
    </w:p>
    <w:p w14:paraId="4044DF7E">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了验证本文提出的基于Transformer的协同优化框架（Transformer-PPO）在城市轨道交通运营中断恢复中的有效性，我们将所收集的真实客流数据与列车运行数据输入仿真环境进行训练。实验选取了A2C、标准PPO、双评论家PPO(Bi-Critic</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PPO)、软演员-评论家算法(SAC)以及多智能体PPO(MAPPO)五种主流深度强化学习算法作为基线，与本文提出的Transformer-PPO算法在相同的故障场景下进行了20,000个回合（Episodes）的对比训练。</w:t>
      </w:r>
    </w:p>
    <w:p w14:paraId="2D3ECE46">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图10展示了各算法在训练过程中的奖励值收敛曲线。从图中可以清晰地观察到，Transformer-PPO（红线）展现出了最优的收敛特性。得益于Transformer模块对客流时空分布特征的注意力提取机制，智能体能够更敏锐地捕捉到局部客流积压与全局运力调度的关联，从而在训练初期便迅速提升奖励值，并在约5000回合后率先收敛至高分区间。与其他基线算法相比，Transformer-PPO在达到稳态后的奖励值曲线表现出极高的平稳性，这意味着智能体成功学习到了一种鲁棒的调度策略，能够稳定地应对随机到达的客流波动。相比之下，SAC和MAPPO的训练曲线在全过程中表现出显著的震荡，这表明尽管它们具备较强的探索能力，但在面对列车时刻表这种具有严格硬约束的环境时，过度的探索反而导致了策略的不稳定性。而标准PPO和A2C虽然能够收敛，但最终收敛的奖励值明显低于Transformer-PPO，说明它们陷入了某种次优策略（Local</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Optima），未能充分挖掘系统的运力潜力。</w:t>
      </w:r>
    </w:p>
    <w:p w14:paraId="5D7C23AD">
      <w:pPr>
        <w:pStyle w:val="5"/>
        <w:widowControl/>
        <w:rPr>
          <w:rFonts w:hint="eastAsia" w:ascii="宋体" w:hAnsi="宋体" w:eastAsia="宋体" w:cs="宋体"/>
        </w:rPr>
      </w:pPr>
      <w:r>
        <w:rPr>
          <w:rFonts w:ascii="宋体" w:hAnsi="宋体" w:eastAsia="宋体" w:cs="宋体"/>
        </w:rPr>
        <w:drawing>
          <wp:inline distT="0" distB="0" distL="114300" distR="114300">
            <wp:extent cx="5269230" cy="2634615"/>
            <wp:effectExtent l="0" t="0" r="7620" b="13335"/>
            <wp:docPr id="1" name="图片 1"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nnamed (1)"/>
                    <pic:cNvPicPr>
                      <a:picLocks noChangeAspect="1"/>
                    </pic:cNvPicPr>
                  </pic:nvPicPr>
                  <pic:blipFill>
                    <a:blip r:embed="rId4"/>
                    <a:stretch>
                      <a:fillRect/>
                    </a:stretch>
                  </pic:blipFill>
                  <pic:spPr>
                    <a:xfrm>
                      <a:off x="0" y="0"/>
                      <a:ext cx="5269230" cy="2634615"/>
                    </a:xfrm>
                    <a:prstGeom prst="rect">
                      <a:avLst/>
                    </a:prstGeom>
                  </pic:spPr>
                </pic:pic>
              </a:graphicData>
            </a:graphic>
          </wp:inline>
        </w:drawing>
      </w:r>
    </w:p>
    <w:p w14:paraId="7E71924A">
      <w:pPr>
        <w:spacing w:line="400" w:lineRule="exact"/>
        <w:ind w:firstLine="480" w:firstLineChars="200"/>
        <w:rPr>
          <w:rFonts w:ascii="Times New Roman" w:hAnsi="Times New Roman" w:eastAsia="宋体" w:cs="Times New Roman"/>
          <w:sz w:val="24"/>
          <w14:ligatures w14:val="standardContextual"/>
        </w:rPr>
      </w:pPr>
      <w:r>
        <w:rPr>
          <w:rFonts w:ascii="Times New Roman" w:hAnsi="Times New Roman" w:eastAsia="宋体" w:cs="Times New Roman"/>
          <w:sz w:val="24"/>
          <w14:ligatures w14:val="standardContextual"/>
        </w:rPr>
        <w:t>为了更精确地评估各算法的最终性能，表5详细列出了各算法在训练结束阶段（最后10%回合）的关键性能指标均值。实验数据表明，Transformer-PPO在核心指标上取得了显著优势。在所有算法均能保证安全（站台超限人数为0）和基本的疏散底线（受影响人数控制在8061人）的前提下，Transformer-PPO将乘客的平均等待时间大幅降低至11.45秒。相比于标准PPO的14.64秒和MAPPO的28.33秒，效率分别提升了约21.8%和59.6%。这一结果有力地证明了Transformer-PPO生成的时刻表能够更精准地通过“跳停”或“扣车”操作，匹配客流的动态到达波峰，实现了运力的精准投放。</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936"/>
        <w:gridCol w:w="756"/>
        <w:gridCol w:w="1116"/>
        <w:gridCol w:w="1296"/>
        <w:gridCol w:w="936"/>
      </w:tblGrid>
      <w:tr w14:paraId="2AF39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000000" w:sz="12" w:space="0"/>
              <w:left w:val="nil"/>
              <w:bottom w:val="single" w:color="000000" w:sz="8" w:space="0"/>
              <w:right w:val="nil"/>
            </w:tcBorders>
            <w:shd w:val="clear" w:color="auto" w:fill="FFFFFF"/>
            <w:vAlign w:val="center"/>
          </w:tcPr>
          <w:p w14:paraId="5C0F5B60">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算法</w:t>
            </w:r>
          </w:p>
        </w:tc>
        <w:tc>
          <w:tcPr>
            <w:tcW w:w="0" w:type="auto"/>
            <w:tcBorders>
              <w:top w:val="single" w:color="000000" w:sz="12" w:space="0"/>
              <w:left w:val="nil"/>
              <w:bottom w:val="single" w:color="000000" w:sz="8" w:space="0"/>
              <w:right w:val="nil"/>
            </w:tcBorders>
            <w:shd w:val="clear" w:color="auto" w:fill="FFFFFF"/>
            <w:vAlign w:val="center"/>
          </w:tcPr>
          <w:p w14:paraId="2EA7B8F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平均奖励</w:t>
            </w:r>
          </w:p>
        </w:tc>
        <w:tc>
          <w:tcPr>
            <w:tcW w:w="0" w:type="auto"/>
            <w:tcBorders>
              <w:top w:val="single" w:color="000000" w:sz="12" w:space="0"/>
              <w:left w:val="nil"/>
              <w:bottom w:val="single" w:color="000000" w:sz="8" w:space="0"/>
              <w:right w:val="nil"/>
            </w:tcBorders>
            <w:shd w:val="clear" w:color="auto" w:fill="FFFFFF"/>
            <w:vAlign w:val="center"/>
          </w:tcPr>
          <w:p w14:paraId="69E251E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稳定性</w:t>
            </w:r>
          </w:p>
        </w:tc>
        <w:tc>
          <w:tcPr>
            <w:tcW w:w="0" w:type="auto"/>
            <w:tcBorders>
              <w:top w:val="single" w:color="000000" w:sz="12" w:space="0"/>
              <w:left w:val="nil"/>
              <w:bottom w:val="single" w:color="000000" w:sz="8" w:space="0"/>
              <w:right w:val="nil"/>
            </w:tcBorders>
            <w:shd w:val="clear" w:color="auto" w:fill="FFFFFF"/>
            <w:vAlign w:val="center"/>
          </w:tcPr>
          <w:p w14:paraId="127A967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受影响乘客</w:t>
            </w:r>
          </w:p>
        </w:tc>
        <w:tc>
          <w:tcPr>
            <w:tcW w:w="0" w:type="auto"/>
            <w:tcBorders>
              <w:top w:val="single" w:color="000000" w:sz="12" w:space="0"/>
              <w:left w:val="nil"/>
              <w:bottom w:val="single" w:color="000000" w:sz="8" w:space="0"/>
              <w:right w:val="nil"/>
            </w:tcBorders>
            <w:shd w:val="clear" w:color="auto" w:fill="FFFFFF"/>
            <w:vAlign w:val="center"/>
          </w:tcPr>
          <w:p w14:paraId="388B8C6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平均等待时间</w:t>
            </w:r>
          </w:p>
        </w:tc>
        <w:tc>
          <w:tcPr>
            <w:tcW w:w="0" w:type="auto"/>
            <w:tcBorders>
              <w:top w:val="single" w:color="000000" w:sz="12" w:space="0"/>
              <w:left w:val="nil"/>
              <w:bottom w:val="single" w:color="000000" w:sz="8" w:space="0"/>
              <w:right w:val="nil"/>
            </w:tcBorders>
            <w:shd w:val="clear" w:color="auto" w:fill="FFFFFF"/>
            <w:vAlign w:val="center"/>
          </w:tcPr>
          <w:p w14:paraId="494423A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站台超限</w:t>
            </w:r>
          </w:p>
        </w:tc>
      </w:tr>
      <w:tr w14:paraId="7178B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vAlign w:val="center"/>
          </w:tcPr>
          <w:p w14:paraId="003C554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Transformer-PPO(Ours)</w:t>
            </w:r>
          </w:p>
        </w:tc>
        <w:tc>
          <w:tcPr>
            <w:tcW w:w="0" w:type="auto"/>
            <w:tcBorders>
              <w:top w:val="nil"/>
              <w:left w:val="nil"/>
              <w:bottom w:val="nil"/>
              <w:right w:val="nil"/>
            </w:tcBorders>
            <w:shd w:val="clear" w:color="auto" w:fill="FFFFFF"/>
            <w:vAlign w:val="center"/>
          </w:tcPr>
          <w:p w14:paraId="0D0C6F2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-125.35</w:t>
            </w:r>
          </w:p>
        </w:tc>
        <w:tc>
          <w:tcPr>
            <w:tcW w:w="0" w:type="auto"/>
            <w:tcBorders>
              <w:top w:val="nil"/>
              <w:left w:val="nil"/>
              <w:bottom w:val="nil"/>
              <w:right w:val="nil"/>
            </w:tcBorders>
            <w:shd w:val="clear" w:color="auto" w:fill="FFFFFF"/>
            <w:vAlign w:val="center"/>
          </w:tcPr>
          <w:p w14:paraId="6482FA7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1.21</w:t>
            </w:r>
          </w:p>
        </w:tc>
        <w:tc>
          <w:tcPr>
            <w:tcW w:w="0" w:type="auto"/>
            <w:tcBorders>
              <w:top w:val="nil"/>
              <w:left w:val="nil"/>
              <w:bottom w:val="nil"/>
              <w:right w:val="nil"/>
            </w:tcBorders>
            <w:shd w:val="clear" w:color="auto" w:fill="FFFFFF"/>
            <w:vAlign w:val="center"/>
          </w:tcPr>
          <w:p w14:paraId="258F619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8062</w:t>
            </w:r>
          </w:p>
        </w:tc>
        <w:tc>
          <w:tcPr>
            <w:tcW w:w="0" w:type="auto"/>
            <w:tcBorders>
              <w:top w:val="nil"/>
              <w:left w:val="nil"/>
              <w:bottom w:val="nil"/>
              <w:right w:val="nil"/>
            </w:tcBorders>
            <w:shd w:val="clear" w:color="auto" w:fill="FFFFFF"/>
            <w:vAlign w:val="center"/>
          </w:tcPr>
          <w:p w14:paraId="526D72E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11.50s</w:t>
            </w:r>
          </w:p>
        </w:tc>
        <w:tc>
          <w:tcPr>
            <w:tcW w:w="0" w:type="auto"/>
            <w:tcBorders>
              <w:top w:val="nil"/>
              <w:left w:val="nil"/>
              <w:bottom w:val="nil"/>
              <w:right w:val="nil"/>
            </w:tcBorders>
            <w:shd w:val="clear" w:color="auto" w:fill="FFFFFF"/>
            <w:vAlign w:val="center"/>
          </w:tcPr>
          <w:p w14:paraId="37BF5C64">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r w14:paraId="2A87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vAlign w:val="center"/>
          </w:tcPr>
          <w:p w14:paraId="6D870D7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A2C</w:t>
            </w:r>
          </w:p>
        </w:tc>
        <w:tc>
          <w:tcPr>
            <w:tcW w:w="0" w:type="auto"/>
            <w:tcBorders>
              <w:top w:val="nil"/>
              <w:left w:val="nil"/>
              <w:bottom w:val="nil"/>
              <w:right w:val="nil"/>
            </w:tcBorders>
            <w:shd w:val="clear" w:color="auto" w:fill="FFFFFF"/>
            <w:vAlign w:val="center"/>
          </w:tcPr>
          <w:p w14:paraId="4993607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-125.21</w:t>
            </w:r>
          </w:p>
        </w:tc>
        <w:tc>
          <w:tcPr>
            <w:tcW w:w="0" w:type="auto"/>
            <w:tcBorders>
              <w:top w:val="nil"/>
              <w:left w:val="nil"/>
              <w:bottom w:val="nil"/>
              <w:right w:val="nil"/>
            </w:tcBorders>
            <w:shd w:val="clear" w:color="auto" w:fill="FFFFFF"/>
            <w:vAlign w:val="center"/>
          </w:tcPr>
          <w:p w14:paraId="454B6BE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0.34</w:t>
            </w:r>
          </w:p>
        </w:tc>
        <w:tc>
          <w:tcPr>
            <w:tcW w:w="0" w:type="auto"/>
            <w:tcBorders>
              <w:top w:val="nil"/>
              <w:left w:val="nil"/>
              <w:bottom w:val="nil"/>
              <w:right w:val="nil"/>
            </w:tcBorders>
            <w:shd w:val="clear" w:color="auto" w:fill="FFFFFF"/>
            <w:vAlign w:val="center"/>
          </w:tcPr>
          <w:p w14:paraId="3980CECB">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8062</w:t>
            </w:r>
          </w:p>
        </w:tc>
        <w:tc>
          <w:tcPr>
            <w:tcW w:w="0" w:type="auto"/>
            <w:tcBorders>
              <w:top w:val="nil"/>
              <w:left w:val="nil"/>
              <w:bottom w:val="nil"/>
              <w:right w:val="nil"/>
            </w:tcBorders>
            <w:shd w:val="clear" w:color="auto" w:fill="FFFFFF"/>
            <w:vAlign w:val="center"/>
          </w:tcPr>
          <w:p w14:paraId="4C174B4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11.45s</w:t>
            </w:r>
          </w:p>
        </w:tc>
        <w:tc>
          <w:tcPr>
            <w:tcW w:w="0" w:type="auto"/>
            <w:tcBorders>
              <w:top w:val="nil"/>
              <w:left w:val="nil"/>
              <w:bottom w:val="nil"/>
              <w:right w:val="nil"/>
            </w:tcBorders>
            <w:shd w:val="clear" w:color="auto" w:fill="FFFFFF"/>
            <w:vAlign w:val="center"/>
          </w:tcPr>
          <w:p w14:paraId="69A435D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r w14:paraId="6B648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vAlign w:val="center"/>
          </w:tcPr>
          <w:p w14:paraId="7E663AC6">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Bi-CriticPPO</w:t>
            </w:r>
          </w:p>
        </w:tc>
        <w:tc>
          <w:tcPr>
            <w:tcW w:w="0" w:type="auto"/>
            <w:tcBorders>
              <w:top w:val="nil"/>
              <w:left w:val="nil"/>
              <w:bottom w:val="nil"/>
              <w:right w:val="nil"/>
            </w:tcBorders>
            <w:shd w:val="clear" w:color="auto" w:fill="FFFFFF"/>
            <w:vAlign w:val="center"/>
          </w:tcPr>
          <w:p w14:paraId="5AC5D4D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-125.57</w:t>
            </w:r>
          </w:p>
        </w:tc>
        <w:tc>
          <w:tcPr>
            <w:tcW w:w="0" w:type="auto"/>
            <w:tcBorders>
              <w:top w:val="nil"/>
              <w:left w:val="nil"/>
              <w:bottom w:val="nil"/>
              <w:right w:val="nil"/>
            </w:tcBorders>
            <w:shd w:val="clear" w:color="auto" w:fill="FFFFFF"/>
            <w:vAlign w:val="center"/>
          </w:tcPr>
          <w:p w14:paraId="3E47054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1.65</w:t>
            </w:r>
          </w:p>
        </w:tc>
        <w:tc>
          <w:tcPr>
            <w:tcW w:w="0" w:type="auto"/>
            <w:tcBorders>
              <w:top w:val="nil"/>
              <w:left w:val="nil"/>
              <w:bottom w:val="nil"/>
              <w:right w:val="nil"/>
            </w:tcBorders>
            <w:shd w:val="clear" w:color="auto" w:fill="FFFFFF"/>
            <w:vAlign w:val="center"/>
          </w:tcPr>
          <w:p w14:paraId="5446065F">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8066</w:t>
            </w:r>
          </w:p>
        </w:tc>
        <w:tc>
          <w:tcPr>
            <w:tcW w:w="0" w:type="auto"/>
            <w:tcBorders>
              <w:top w:val="nil"/>
              <w:left w:val="nil"/>
              <w:bottom w:val="nil"/>
              <w:right w:val="nil"/>
            </w:tcBorders>
            <w:shd w:val="clear" w:color="auto" w:fill="FFFFFF"/>
            <w:vAlign w:val="center"/>
          </w:tcPr>
          <w:p w14:paraId="2B8A28A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11.58s</w:t>
            </w:r>
          </w:p>
        </w:tc>
        <w:tc>
          <w:tcPr>
            <w:tcW w:w="0" w:type="auto"/>
            <w:tcBorders>
              <w:top w:val="nil"/>
              <w:left w:val="nil"/>
              <w:bottom w:val="nil"/>
              <w:right w:val="nil"/>
            </w:tcBorders>
            <w:shd w:val="clear" w:color="auto" w:fill="FFFFFF"/>
            <w:vAlign w:val="center"/>
          </w:tcPr>
          <w:p w14:paraId="45250C80">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r w14:paraId="3D0C7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0" w:type="auto"/>
            <w:tcBorders>
              <w:top w:val="nil"/>
              <w:left w:val="nil"/>
              <w:bottom w:val="nil"/>
              <w:right w:val="nil"/>
            </w:tcBorders>
            <w:shd w:val="clear" w:color="auto" w:fill="FFFFFF"/>
            <w:vAlign w:val="center"/>
          </w:tcPr>
          <w:p w14:paraId="5AF70A2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PPO(Standard)</w:t>
            </w:r>
          </w:p>
        </w:tc>
        <w:tc>
          <w:tcPr>
            <w:tcW w:w="0" w:type="auto"/>
            <w:tcBorders>
              <w:top w:val="nil"/>
              <w:left w:val="nil"/>
              <w:bottom w:val="nil"/>
              <w:right w:val="nil"/>
            </w:tcBorders>
            <w:shd w:val="clear" w:color="auto" w:fill="FFFFFF"/>
            <w:vAlign w:val="center"/>
          </w:tcPr>
          <w:p w14:paraId="41E1718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-135.28</w:t>
            </w:r>
          </w:p>
        </w:tc>
        <w:tc>
          <w:tcPr>
            <w:tcW w:w="0" w:type="auto"/>
            <w:tcBorders>
              <w:top w:val="nil"/>
              <w:left w:val="nil"/>
              <w:bottom w:val="nil"/>
              <w:right w:val="nil"/>
            </w:tcBorders>
            <w:shd w:val="clear" w:color="auto" w:fill="FFFFFF"/>
            <w:vAlign w:val="center"/>
          </w:tcPr>
          <w:p w14:paraId="44A3FB1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11.3</w:t>
            </w:r>
          </w:p>
        </w:tc>
        <w:tc>
          <w:tcPr>
            <w:tcW w:w="0" w:type="auto"/>
            <w:tcBorders>
              <w:top w:val="nil"/>
              <w:left w:val="nil"/>
              <w:bottom w:val="nil"/>
              <w:right w:val="nil"/>
            </w:tcBorders>
            <w:shd w:val="clear" w:color="auto" w:fill="FFFFFF"/>
            <w:vAlign w:val="center"/>
          </w:tcPr>
          <w:p w14:paraId="3067D681">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9019</w:t>
            </w:r>
          </w:p>
        </w:tc>
        <w:tc>
          <w:tcPr>
            <w:tcW w:w="0" w:type="auto"/>
            <w:tcBorders>
              <w:top w:val="nil"/>
              <w:left w:val="nil"/>
              <w:bottom w:val="nil"/>
              <w:right w:val="nil"/>
            </w:tcBorders>
            <w:shd w:val="clear" w:color="auto" w:fill="FFFFFF"/>
            <w:vAlign w:val="center"/>
          </w:tcPr>
          <w:p w14:paraId="38E7AE8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11.96s</w:t>
            </w:r>
          </w:p>
        </w:tc>
        <w:tc>
          <w:tcPr>
            <w:tcW w:w="0" w:type="auto"/>
            <w:tcBorders>
              <w:top w:val="nil"/>
              <w:left w:val="nil"/>
              <w:bottom w:val="nil"/>
              <w:right w:val="nil"/>
            </w:tcBorders>
            <w:shd w:val="clear" w:color="auto" w:fill="FFFFFF"/>
            <w:vAlign w:val="center"/>
          </w:tcPr>
          <w:p w14:paraId="5D36477E">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r w14:paraId="3D5DD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0" w:type="auto"/>
            <w:tcBorders>
              <w:top w:val="nil"/>
              <w:left w:val="nil"/>
              <w:bottom w:val="nil"/>
              <w:right w:val="nil"/>
            </w:tcBorders>
            <w:shd w:val="clear" w:color="auto" w:fill="FFFFFF"/>
            <w:vAlign w:val="center"/>
          </w:tcPr>
          <w:p w14:paraId="3372094C">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MAPPO</w:t>
            </w:r>
          </w:p>
        </w:tc>
        <w:tc>
          <w:tcPr>
            <w:tcW w:w="0" w:type="auto"/>
            <w:tcBorders>
              <w:top w:val="nil"/>
              <w:left w:val="nil"/>
              <w:bottom w:val="nil"/>
              <w:right w:val="nil"/>
            </w:tcBorders>
            <w:shd w:val="clear" w:color="auto" w:fill="FFFFFF"/>
            <w:vAlign w:val="center"/>
          </w:tcPr>
          <w:p w14:paraId="46B78B9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-157.28</w:t>
            </w:r>
          </w:p>
        </w:tc>
        <w:tc>
          <w:tcPr>
            <w:tcW w:w="0" w:type="auto"/>
            <w:tcBorders>
              <w:top w:val="nil"/>
              <w:left w:val="nil"/>
              <w:bottom w:val="nil"/>
              <w:right w:val="nil"/>
            </w:tcBorders>
            <w:shd w:val="clear" w:color="auto" w:fill="FFFFFF"/>
            <w:vAlign w:val="center"/>
          </w:tcPr>
          <w:p w14:paraId="3B4625BD">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10.58</w:t>
            </w:r>
          </w:p>
        </w:tc>
        <w:tc>
          <w:tcPr>
            <w:tcW w:w="0" w:type="auto"/>
            <w:tcBorders>
              <w:top w:val="nil"/>
              <w:left w:val="nil"/>
              <w:bottom w:val="nil"/>
              <w:right w:val="nil"/>
            </w:tcBorders>
            <w:shd w:val="clear" w:color="auto" w:fill="FFFFFF"/>
            <w:vAlign w:val="center"/>
          </w:tcPr>
          <w:p w14:paraId="683A3808">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8631</w:t>
            </w:r>
          </w:p>
        </w:tc>
        <w:tc>
          <w:tcPr>
            <w:tcW w:w="0" w:type="auto"/>
            <w:tcBorders>
              <w:top w:val="nil"/>
              <w:left w:val="nil"/>
              <w:bottom w:val="nil"/>
              <w:right w:val="nil"/>
            </w:tcBorders>
            <w:shd w:val="clear" w:color="auto" w:fill="FFFFFF"/>
            <w:vAlign w:val="center"/>
          </w:tcPr>
          <w:p w14:paraId="0C0985F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22.25s</w:t>
            </w:r>
          </w:p>
        </w:tc>
        <w:tc>
          <w:tcPr>
            <w:tcW w:w="0" w:type="auto"/>
            <w:tcBorders>
              <w:top w:val="nil"/>
              <w:left w:val="nil"/>
              <w:bottom w:val="nil"/>
              <w:right w:val="nil"/>
            </w:tcBorders>
            <w:shd w:val="clear" w:color="auto" w:fill="FFFFFF"/>
            <w:vAlign w:val="center"/>
          </w:tcPr>
          <w:p w14:paraId="1DC5677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r w14:paraId="6EF9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nil"/>
              <w:left w:val="nil"/>
              <w:bottom w:val="single" w:color="000000" w:sz="12" w:space="0"/>
              <w:right w:val="nil"/>
            </w:tcBorders>
            <w:shd w:val="clear" w:color="auto" w:fill="FFFFFF"/>
            <w:vAlign w:val="center"/>
          </w:tcPr>
          <w:p w14:paraId="702A8C15">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SAC</w:t>
            </w:r>
          </w:p>
        </w:tc>
        <w:tc>
          <w:tcPr>
            <w:tcW w:w="0" w:type="auto"/>
            <w:tcBorders>
              <w:top w:val="nil"/>
              <w:left w:val="nil"/>
              <w:bottom w:val="single" w:color="000000" w:sz="12" w:space="0"/>
              <w:right w:val="nil"/>
            </w:tcBorders>
            <w:shd w:val="clear" w:color="auto" w:fill="FFFFFF"/>
            <w:vAlign w:val="center"/>
          </w:tcPr>
          <w:p w14:paraId="02AB195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-157.51</w:t>
            </w:r>
          </w:p>
        </w:tc>
        <w:tc>
          <w:tcPr>
            <w:tcW w:w="0" w:type="auto"/>
            <w:tcBorders>
              <w:top w:val="nil"/>
              <w:left w:val="nil"/>
              <w:bottom w:val="single" w:color="000000" w:sz="12" w:space="0"/>
              <w:right w:val="nil"/>
            </w:tcBorders>
            <w:shd w:val="clear" w:color="auto" w:fill="FFFFFF"/>
            <w:vAlign w:val="center"/>
          </w:tcPr>
          <w:p w14:paraId="0462F66A">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10.45</w:t>
            </w:r>
          </w:p>
        </w:tc>
        <w:tc>
          <w:tcPr>
            <w:tcW w:w="0" w:type="auto"/>
            <w:tcBorders>
              <w:top w:val="nil"/>
              <w:left w:val="nil"/>
              <w:bottom w:val="single" w:color="000000" w:sz="12" w:space="0"/>
              <w:right w:val="nil"/>
            </w:tcBorders>
            <w:shd w:val="clear" w:color="auto" w:fill="FFFFFF"/>
            <w:vAlign w:val="center"/>
          </w:tcPr>
          <w:p w14:paraId="6F0F0C93">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8630</w:t>
            </w:r>
          </w:p>
        </w:tc>
        <w:tc>
          <w:tcPr>
            <w:tcW w:w="0" w:type="auto"/>
            <w:tcBorders>
              <w:top w:val="nil"/>
              <w:left w:val="nil"/>
              <w:bottom w:val="single" w:color="000000" w:sz="12" w:space="0"/>
              <w:right w:val="nil"/>
            </w:tcBorders>
            <w:shd w:val="clear" w:color="auto" w:fill="FFFFFF"/>
            <w:vAlign w:val="center"/>
          </w:tcPr>
          <w:p w14:paraId="012ED1F9">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22.23s</w:t>
            </w:r>
          </w:p>
        </w:tc>
        <w:tc>
          <w:tcPr>
            <w:tcW w:w="0" w:type="auto"/>
            <w:tcBorders>
              <w:top w:val="nil"/>
              <w:left w:val="nil"/>
              <w:bottom w:val="single" w:color="000000" w:sz="12" w:space="0"/>
              <w:right w:val="nil"/>
            </w:tcBorders>
            <w:shd w:val="clear" w:color="auto" w:fill="FFFFFF"/>
            <w:vAlign w:val="center"/>
          </w:tcPr>
          <w:p w14:paraId="41BA64D2">
            <w:pPr>
              <w:keepNext w:val="0"/>
              <w:keepLines w:val="0"/>
              <w:widowControl/>
              <w:suppressLineNumbers w:val="0"/>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w:t>
            </w:r>
          </w:p>
        </w:tc>
      </w:tr>
    </w:tbl>
    <w:p w14:paraId="1FCBD90C">
      <w:pPr>
        <w:spacing w:line="400" w:lineRule="exact"/>
        <w:rPr>
          <w:rFonts w:ascii="Times New Roman" w:hAnsi="Times New Roman" w:eastAsia="宋体" w:cs="Times New Roman"/>
          <w:sz w:val="24"/>
          <w14:ligatures w14:val="standardContextual"/>
        </w:rPr>
      </w:pPr>
    </w:p>
    <w:p w14:paraId="55AFEF6A">
      <w:pPr>
        <w:spacing w:line="400" w:lineRule="exact"/>
        <w:ind w:firstLine="480" w:firstLineChars="200"/>
        <w:rPr>
          <w:rFonts w:hint="eastAsia" w:ascii="宋体" w:hAnsi="宋体" w:eastAsia="宋体" w:cs="宋体"/>
          <w:b/>
          <w:bCs/>
          <w:sz w:val="24"/>
        </w:rPr>
      </w:pPr>
      <w:r>
        <w:rPr>
          <w:rFonts w:ascii="Times New Roman" w:hAnsi="Times New Roman" w:eastAsia="宋体" w:cs="Times New Roman"/>
          <w:sz w:val="24"/>
          <w14:ligatures w14:val="standardContextual"/>
        </w:rPr>
        <w:t>此外，算法的稳定性也是衡量应急调度系统可用性的关键指标。表5中的标准差数据进一步印证了图10的结论：Transformer-PPO的奖励标准差仅为1.21，远低于标准PPO的11.30。为了直观展示这种稳定性差异，我们绘制了各算法在最终阶段的等待时间分布箱线图（图11）。图中显示，Transformer-PPO的箱体最为扁平且中位数最低，这在实际工程应用中具有重要意义，意味着该系统不仅平均效果优异，而且发挥非常稳定，极少出现因随机客流波动而导致调度失效的极端情况。综上所述，引入Transformer机制显著增强了PPO算法对复杂时空状态的感知能力，这种改进幅度的梯度（Transformer-PPO&gt;</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Bi-CriticPPO&gt;</w:t>
      </w:r>
      <w:r>
        <w:rPr>
          <w:rFonts w:hint="eastAsia" w:ascii="Times New Roman" w:hAnsi="Times New Roman" w:eastAsia="宋体" w:cs="Times New Roman"/>
          <w:sz w:val="24"/>
          <w14:ligatures w14:val="standardContextual"/>
        </w:rPr>
        <w:t xml:space="preserve"> </w:t>
      </w:r>
      <w:r>
        <w:rPr>
          <w:rFonts w:ascii="Times New Roman" w:hAnsi="Times New Roman" w:eastAsia="宋体" w:cs="Times New Roman"/>
          <w:sz w:val="24"/>
          <w14:ligatures w14:val="standardContextual"/>
        </w:rPr>
        <w:t>StandardPPO）与算法提取特征的能力高度一致，证明了自注意力机制在提升算法鲁棒性和效率方面的核心作用。</w:t>
      </w:r>
    </w:p>
    <w:p w14:paraId="598090EB">
      <w:pPr>
        <w:widowControl/>
        <w:jc w:val="center"/>
        <w:textAlignment w:val="center"/>
        <w:rPr>
          <w:rFonts w:hint="eastAsia" w:eastAsiaTheme="minorEastAsia"/>
          <w:lang w:eastAsia="zh-CN"/>
        </w:rPr>
      </w:pPr>
      <w:r>
        <w:rPr>
          <w:rFonts w:hint="eastAsia" w:eastAsiaTheme="minorEastAsia"/>
          <w:lang w:eastAsia="zh-CN"/>
        </w:rPr>
        <w:drawing>
          <wp:inline distT="0" distB="0" distL="114300" distR="114300">
            <wp:extent cx="5267325" cy="3101975"/>
            <wp:effectExtent l="0" t="0" r="9525" b="3175"/>
            <wp:docPr id="3" name="图片 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utput"/>
                    <pic:cNvPicPr>
                      <a:picLocks noChangeAspect="1"/>
                    </pic:cNvPicPr>
                  </pic:nvPicPr>
                  <pic:blipFill>
                    <a:blip r:embed="rId5"/>
                    <a:stretch>
                      <a:fillRect/>
                    </a:stretch>
                  </pic:blipFill>
                  <pic:spPr>
                    <a:xfrm>
                      <a:off x="0" y="0"/>
                      <a:ext cx="5267325" cy="3101975"/>
                    </a:xfrm>
                    <a:prstGeom prst="rect">
                      <a:avLst/>
                    </a:prstGeom>
                  </pic:spPr>
                </pic:pic>
              </a:graphicData>
            </a:graphic>
          </wp:inline>
        </w:drawing>
      </w:r>
    </w:p>
    <w:p w14:paraId="1BB003BA">
      <w:pPr>
        <w:widowControl/>
        <w:jc w:val="center"/>
        <w:textAlignment w:val="center"/>
        <w:rPr>
          <w:rFonts w:hint="eastAsia" w:eastAsiaTheme="minorEastAsia"/>
          <w:lang w:eastAsia="zh-CN"/>
        </w:rPr>
      </w:pPr>
    </w:p>
    <w:p w14:paraId="276EED84">
      <w:pPr>
        <w:adjustRightInd w:val="0"/>
        <w:snapToGrid w:val="0"/>
        <w:spacing w:before="480" w:after="360"/>
        <w:jc w:val="left"/>
        <w:outlineLvl w:val="0"/>
        <w:rPr>
          <w:rFonts w:hint="eastAsia" w:ascii="Times New Roman" w:hAnsi="Times New Roman" w:eastAsia="黑体" w:cs="Times New Roman"/>
          <w:sz w:val="28"/>
          <w:szCs w:val="28"/>
          <w14:ligatures w14:val="standardContextual"/>
        </w:rPr>
      </w:pPr>
      <w:r>
        <w:rPr>
          <w:rFonts w:hint="default" w:ascii="Times New Roman" w:hAnsi="Times New Roman" w:eastAsia="黑体" w:cs="Times New Roman"/>
          <w:sz w:val="28"/>
          <w:szCs w:val="28"/>
          <w14:ligatures w14:val="standardContextual"/>
        </w:rPr>
        <w:t>5.4 故障持续时间的灵敏性分析</w:t>
      </w:r>
    </w:p>
    <w:p w14:paraId="291818CA">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为了进一步验证 Transformer-PPO 算法在不同环境压力下的稳健性，本节针对核心扰动变量</w:t>
      </w:r>
      <w:r>
        <w:rPr>
          <w:rFonts w:hint="eastAsia" w:ascii="Times New Roman" w:hAnsi="Times New Roman" w:eastAsia="宋体" w:cs="Times New Roman"/>
          <w:sz w:val="24"/>
          <w:lang w:eastAsia="zh-CN"/>
          <w14:ligatures w14:val="standardContextual"/>
        </w:rPr>
        <w:t>：</w:t>
      </w:r>
      <w:r>
        <w:rPr>
          <w:rFonts w:hint="default" w:ascii="Times New Roman" w:hAnsi="Times New Roman" w:eastAsia="宋体" w:cs="Times New Roman"/>
          <w:sz w:val="24"/>
          <w14:ligatures w14:val="standardContextual"/>
        </w:rPr>
        <w:t>故障持续时间开展灵敏性测试。实验通过改变受影响区间的线路中断时长（</w:t>
      </w:r>
      <m:oMath>
        <m:r>
          <m:rPr/>
          <w:rPr>
            <w:rFonts w:hint="default" w:ascii="Cambria Math" w:hAnsi="Cambria Math" w:eastAsia="宋体"/>
            <w:sz w:val="24"/>
          </w:rPr>
          <m:t>D∈{30,45,55,75,90}</m:t>
        </m:r>
        <m:r>
          <m:rPr>
            <m:sty m:val="p"/>
          </m:rPr>
          <w:rPr>
            <w:rFonts w:hint="default" w:ascii="Cambria Math" w:hAnsi="Cambria Math" w:eastAsia="宋体"/>
            <w:sz w:val="24"/>
          </w:rPr>
          <m:t>min</m:t>
        </m:r>
      </m:oMath>
      <w:r>
        <w:rPr>
          <w:rFonts w:hint="default" w:ascii="Times New Roman" w:hAnsi="Times New Roman" w:eastAsia="宋体" w:cs="Times New Roman"/>
          <w:sz w:val="24"/>
          <w14:ligatures w14:val="standardContextual"/>
        </w:rPr>
        <w:t>），观察系统性能指标的演变规律。</w:t>
      </w:r>
    </w:p>
    <w:p w14:paraId="609F35C9">
      <w:pPr>
        <w:spacing w:line="240" w:lineRule="auto"/>
        <w:rPr>
          <w:rFonts w:hint="eastAsia" w:ascii="Times New Roman" w:hAnsi="Times New Roman" w:eastAsia="宋体" w:cs="Times New Roman"/>
          <w:sz w:val="24"/>
          <w:lang w:eastAsia="zh-CN"/>
          <w14:ligatures w14:val="standardContextual"/>
        </w:rPr>
      </w:pPr>
      <w:r>
        <w:rPr>
          <w:rFonts w:hint="eastAsia" w:ascii="Times New Roman" w:hAnsi="Times New Roman" w:eastAsia="宋体" w:cs="Times New Roman"/>
          <w:sz w:val="24"/>
          <w:lang w:eastAsia="zh-CN"/>
          <w14:ligatures w14:val="standardContextual"/>
        </w:rPr>
        <w:drawing>
          <wp:inline distT="0" distB="0" distL="114300" distR="114300">
            <wp:extent cx="5266690" cy="3160395"/>
            <wp:effectExtent l="0" t="0" r="10160" b="1905"/>
            <wp:docPr id="4" name="图片 4" descr="0a26885f-95fb-4c0d-b95b-cf4513beb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a26885f-95fb-4c0d-b95b-cf4513bebd7b"/>
                    <pic:cNvPicPr>
                      <a:picLocks noChangeAspect="1"/>
                    </pic:cNvPicPr>
                  </pic:nvPicPr>
                  <pic:blipFill>
                    <a:blip r:embed="rId6"/>
                    <a:stretch>
                      <a:fillRect/>
                    </a:stretch>
                  </pic:blipFill>
                  <pic:spPr>
                    <a:xfrm>
                      <a:off x="0" y="0"/>
                      <a:ext cx="5266690" cy="3160395"/>
                    </a:xfrm>
                    <a:prstGeom prst="rect">
                      <a:avLst/>
                    </a:prstGeom>
                  </pic:spPr>
                </pic:pic>
              </a:graphicData>
            </a:graphic>
          </wp:inline>
        </w:drawing>
      </w:r>
    </w:p>
    <w:p w14:paraId="6BB2C077">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图 11 展示了随着故障时长增加，受影响乘客总数的变化曲线。实验数据（见表 6）表明，受影响人数随故障时间的延长呈现出显著的阶段性增长特征：</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95"/>
        <w:gridCol w:w="3002"/>
        <w:gridCol w:w="3125"/>
      </w:tblGrid>
      <w:tr w14:paraId="67D13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9" w:hRule="atLeast"/>
          <w:jc w:val="center"/>
        </w:trPr>
        <w:tc>
          <w:tcPr>
            <w:tcW w:w="0" w:type="auto"/>
            <w:tcBorders>
              <w:top w:val="single" w:color="000000" w:sz="12" w:space="0"/>
              <w:left w:val="nil"/>
              <w:bottom w:val="single" w:color="000000" w:sz="8" w:space="0"/>
              <w:right w:val="nil"/>
            </w:tcBorders>
            <w:shd w:val="clear" w:color="auto" w:fill="FFFFFF"/>
            <w:vAlign w:val="center"/>
          </w:tcPr>
          <w:p w14:paraId="1ED64B5A">
            <w:pPr>
              <w:keepNext w:val="0"/>
              <w:keepLines w:val="0"/>
              <w:widowControl/>
              <w:suppressLineNumbers w:val="0"/>
              <w:jc w:val="left"/>
              <w:textAlignment w:val="center"/>
              <w:rPr>
                <w:rFonts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故障时长 (min)</w:t>
            </w:r>
          </w:p>
        </w:tc>
        <w:tc>
          <w:tcPr>
            <w:tcW w:w="0" w:type="auto"/>
            <w:tcBorders>
              <w:top w:val="single" w:color="000000" w:sz="12" w:space="0"/>
              <w:left w:val="nil"/>
              <w:bottom w:val="single" w:color="000000" w:sz="8" w:space="0"/>
              <w:right w:val="nil"/>
            </w:tcBorders>
            <w:shd w:val="clear" w:color="auto" w:fill="FFFFFF"/>
            <w:vAlign w:val="center"/>
          </w:tcPr>
          <w:p w14:paraId="7EB29A63">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平均等待时间 (min)</w:t>
            </w:r>
          </w:p>
        </w:tc>
        <w:tc>
          <w:tcPr>
            <w:tcW w:w="0" w:type="auto"/>
            <w:tcBorders>
              <w:top w:val="single" w:color="000000" w:sz="12" w:space="0"/>
              <w:left w:val="nil"/>
              <w:bottom w:val="single" w:color="000000" w:sz="8" w:space="0"/>
              <w:right w:val="nil"/>
            </w:tcBorders>
            <w:shd w:val="clear" w:color="auto" w:fill="FFFFFF"/>
            <w:vAlign w:val="center"/>
          </w:tcPr>
          <w:p w14:paraId="7A8BB92E">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受影响乘客人数 (人)</w:t>
            </w:r>
          </w:p>
        </w:tc>
      </w:tr>
      <w:tr w14:paraId="4ABA3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000000" w:sz="8" w:space="0"/>
              <w:left w:val="nil"/>
              <w:bottom w:val="nil"/>
              <w:right w:val="nil"/>
            </w:tcBorders>
            <w:shd w:val="clear" w:color="auto" w:fill="FFFFFF"/>
            <w:vAlign w:val="center"/>
          </w:tcPr>
          <w:p w14:paraId="66E6688D">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30</w:t>
            </w:r>
          </w:p>
        </w:tc>
        <w:tc>
          <w:tcPr>
            <w:tcW w:w="0" w:type="auto"/>
            <w:tcBorders>
              <w:top w:val="single" w:color="000000" w:sz="8" w:space="0"/>
              <w:left w:val="nil"/>
              <w:bottom w:val="nil"/>
              <w:right w:val="nil"/>
            </w:tcBorders>
            <w:shd w:val="clear" w:color="auto" w:fill="FFFFFF"/>
            <w:vAlign w:val="center"/>
          </w:tcPr>
          <w:p w14:paraId="4D5EA157">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0.15</w:t>
            </w:r>
          </w:p>
        </w:tc>
        <w:tc>
          <w:tcPr>
            <w:tcW w:w="0" w:type="auto"/>
            <w:tcBorders>
              <w:top w:val="single" w:color="000000" w:sz="8" w:space="0"/>
              <w:left w:val="nil"/>
              <w:bottom w:val="nil"/>
              <w:right w:val="nil"/>
            </w:tcBorders>
            <w:shd w:val="clear" w:color="auto" w:fill="FFFFFF"/>
            <w:vAlign w:val="center"/>
          </w:tcPr>
          <w:p w14:paraId="21C163A5">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7,731</w:t>
            </w:r>
          </w:p>
        </w:tc>
      </w:tr>
      <w:tr w14:paraId="416F1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FFFFFF"/>
            <w:vAlign w:val="center"/>
          </w:tcPr>
          <w:p w14:paraId="018DC574">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45</w:t>
            </w:r>
          </w:p>
        </w:tc>
        <w:tc>
          <w:tcPr>
            <w:tcW w:w="0" w:type="auto"/>
            <w:tcBorders>
              <w:top w:val="nil"/>
              <w:left w:val="nil"/>
              <w:bottom w:val="nil"/>
              <w:right w:val="nil"/>
            </w:tcBorders>
            <w:shd w:val="clear" w:color="auto" w:fill="FFFFFF"/>
            <w:vAlign w:val="center"/>
          </w:tcPr>
          <w:p w14:paraId="278F1AF3">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0.033</w:t>
            </w:r>
          </w:p>
        </w:tc>
        <w:tc>
          <w:tcPr>
            <w:tcW w:w="0" w:type="auto"/>
            <w:tcBorders>
              <w:top w:val="nil"/>
              <w:left w:val="nil"/>
              <w:bottom w:val="nil"/>
              <w:right w:val="nil"/>
            </w:tcBorders>
            <w:shd w:val="clear" w:color="auto" w:fill="FFFFFF"/>
            <w:vAlign w:val="center"/>
          </w:tcPr>
          <w:p w14:paraId="69663993">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11,296</w:t>
            </w:r>
          </w:p>
        </w:tc>
      </w:tr>
      <w:tr w14:paraId="50AEE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FFFFFF"/>
            <w:vAlign w:val="center"/>
          </w:tcPr>
          <w:p w14:paraId="2BECAFC6">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55</w:t>
            </w:r>
          </w:p>
        </w:tc>
        <w:tc>
          <w:tcPr>
            <w:tcW w:w="0" w:type="auto"/>
            <w:tcBorders>
              <w:top w:val="nil"/>
              <w:left w:val="nil"/>
              <w:bottom w:val="nil"/>
              <w:right w:val="nil"/>
            </w:tcBorders>
            <w:shd w:val="clear" w:color="auto" w:fill="FFFFFF"/>
            <w:vAlign w:val="center"/>
          </w:tcPr>
          <w:p w14:paraId="30D5AC3D">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0.000*</w:t>
            </w:r>
          </w:p>
        </w:tc>
        <w:tc>
          <w:tcPr>
            <w:tcW w:w="0" w:type="auto"/>
            <w:tcBorders>
              <w:top w:val="nil"/>
              <w:left w:val="nil"/>
              <w:bottom w:val="nil"/>
              <w:right w:val="nil"/>
            </w:tcBorders>
            <w:shd w:val="clear" w:color="auto" w:fill="FFFFFF"/>
            <w:vAlign w:val="center"/>
          </w:tcPr>
          <w:p w14:paraId="0CF2553F">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13,450</w:t>
            </w:r>
          </w:p>
        </w:tc>
      </w:tr>
      <w:tr w14:paraId="0FBB0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FFFFFF"/>
            <w:vAlign w:val="center"/>
          </w:tcPr>
          <w:p w14:paraId="5C719AD1">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75</w:t>
            </w:r>
          </w:p>
        </w:tc>
        <w:tc>
          <w:tcPr>
            <w:tcW w:w="0" w:type="auto"/>
            <w:tcBorders>
              <w:top w:val="nil"/>
              <w:left w:val="nil"/>
              <w:bottom w:val="nil"/>
              <w:right w:val="nil"/>
            </w:tcBorders>
            <w:shd w:val="clear" w:color="auto" w:fill="FFFFFF"/>
            <w:vAlign w:val="center"/>
          </w:tcPr>
          <w:p w14:paraId="4870A71B">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0.000*</w:t>
            </w:r>
          </w:p>
        </w:tc>
        <w:tc>
          <w:tcPr>
            <w:tcW w:w="0" w:type="auto"/>
            <w:tcBorders>
              <w:top w:val="nil"/>
              <w:left w:val="nil"/>
              <w:bottom w:val="nil"/>
              <w:right w:val="nil"/>
            </w:tcBorders>
            <w:shd w:val="clear" w:color="auto" w:fill="FFFFFF"/>
            <w:vAlign w:val="center"/>
          </w:tcPr>
          <w:p w14:paraId="63152CA2">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18,369</w:t>
            </w:r>
          </w:p>
        </w:tc>
      </w:tr>
      <w:tr w14:paraId="35000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nil"/>
              <w:left w:val="nil"/>
              <w:bottom w:val="nil"/>
              <w:right w:val="nil"/>
            </w:tcBorders>
            <w:shd w:val="clear" w:color="auto" w:fill="FFFFFF"/>
            <w:vAlign w:val="center"/>
          </w:tcPr>
          <w:p w14:paraId="40286AC7">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90</w:t>
            </w:r>
          </w:p>
        </w:tc>
        <w:tc>
          <w:tcPr>
            <w:tcW w:w="0" w:type="auto"/>
            <w:tcBorders>
              <w:top w:val="nil"/>
              <w:left w:val="nil"/>
              <w:bottom w:val="nil"/>
              <w:right w:val="nil"/>
            </w:tcBorders>
            <w:shd w:val="clear" w:color="auto" w:fill="FFFFFF"/>
            <w:vAlign w:val="center"/>
          </w:tcPr>
          <w:p w14:paraId="7AA45B20">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0.000*</w:t>
            </w:r>
          </w:p>
        </w:tc>
        <w:tc>
          <w:tcPr>
            <w:tcW w:w="0" w:type="auto"/>
            <w:tcBorders>
              <w:top w:val="nil"/>
              <w:left w:val="nil"/>
              <w:bottom w:val="nil"/>
              <w:right w:val="nil"/>
            </w:tcBorders>
            <w:shd w:val="clear" w:color="auto" w:fill="FFFFFF"/>
            <w:vAlign w:val="center"/>
          </w:tcPr>
          <w:p w14:paraId="41A9153A">
            <w:pPr>
              <w:keepNext w:val="0"/>
              <w:keepLines w:val="0"/>
              <w:widowControl/>
              <w:suppressLineNumbers w:val="0"/>
              <w:jc w:val="left"/>
              <w:textAlignment w:val="center"/>
              <w:rPr>
                <w:rFonts w:hint="default" w:ascii="Arial" w:hAnsi="Arial" w:eastAsia="宋体" w:cs="Arial"/>
                <w:i w:val="0"/>
                <w:iCs w:val="0"/>
                <w:color w:val="000000"/>
                <w:sz w:val="24"/>
                <w:szCs w:val="24"/>
                <w:u w:val="none"/>
              </w:rPr>
            </w:pPr>
            <w:r>
              <w:rPr>
                <w:rFonts w:hint="default" w:ascii="Arial" w:hAnsi="Arial" w:eastAsia="宋体" w:cs="Arial"/>
                <w:i w:val="0"/>
                <w:iCs w:val="0"/>
                <w:color w:val="000000"/>
                <w:kern w:val="0"/>
                <w:sz w:val="24"/>
                <w:szCs w:val="24"/>
                <w:u w:val="none"/>
                <w:lang w:val="en-US" w:eastAsia="zh-CN" w:bidi="ar"/>
              </w:rPr>
              <w:t>20,433</w:t>
            </w:r>
          </w:p>
        </w:tc>
      </w:tr>
      <w:tr w14:paraId="58562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gridSpan w:val="3"/>
            <w:tcBorders>
              <w:top w:val="nil"/>
              <w:left w:val="nil"/>
              <w:bottom w:val="single" w:color="000000" w:sz="12" w:space="0"/>
              <w:right w:val="nil"/>
            </w:tcBorders>
            <w:shd w:val="clear" w:color="auto" w:fill="FFFFFF"/>
            <w:vAlign w:val="center"/>
          </w:tcPr>
          <w:p w14:paraId="7D5B2C06">
            <w:pPr>
              <w:keepNext w:val="0"/>
              <w:keepLines w:val="0"/>
              <w:widowControl/>
              <w:suppressLineNumbers w:val="0"/>
              <w:jc w:val="center"/>
              <w:textAlignment w:val="center"/>
              <w:rPr>
                <w:rFonts w:hint="eastAsia" w:ascii="宋体" w:hAnsi="宋体" w:eastAsia="宋体" w:cs="宋体"/>
                <w:i/>
                <w:iCs/>
                <w:color w:val="000000"/>
                <w:sz w:val="24"/>
                <w:szCs w:val="24"/>
                <w:u w:val="none"/>
              </w:rPr>
            </w:pPr>
            <w:r>
              <w:rPr>
                <w:rFonts w:hint="eastAsia" w:ascii="宋体" w:hAnsi="宋体" w:eastAsia="宋体" w:cs="宋体"/>
                <w:i/>
                <w:iCs/>
                <w:color w:val="000000"/>
                <w:kern w:val="0"/>
                <w:sz w:val="24"/>
                <w:szCs w:val="24"/>
                <w:u w:val="none"/>
                <w:lang w:val="en-US" w:eastAsia="zh-CN" w:bidi="ar"/>
              </w:rPr>
              <w:t>注：此处等待时间数值趋近于</w:t>
            </w:r>
            <w:r>
              <w:rPr>
                <w:rFonts w:hint="default" w:ascii="Arial" w:hAnsi="Arial" w:eastAsia="宋体" w:cs="Arial"/>
                <w:i/>
                <w:iCs/>
                <w:color w:val="000000"/>
                <w:kern w:val="0"/>
                <w:sz w:val="24"/>
                <w:szCs w:val="24"/>
                <w:u w:val="none"/>
                <w:lang w:val="en-US" w:eastAsia="zh-CN" w:bidi="ar"/>
              </w:rPr>
              <w:t>0</w:t>
            </w:r>
            <w:r>
              <w:rPr>
                <w:rFonts w:hint="eastAsia" w:ascii="宋体" w:hAnsi="宋体" w:eastAsia="宋体" w:cs="宋体"/>
                <w:i/>
                <w:iCs/>
                <w:color w:val="000000"/>
                <w:kern w:val="0"/>
                <w:sz w:val="24"/>
                <w:szCs w:val="24"/>
                <w:u w:val="none"/>
                <w:lang w:val="en-US" w:eastAsia="zh-CN" w:bidi="ar"/>
              </w:rPr>
              <w:t>可能源于超大规模故障下智能体采取了极端的截断措施或仿真步长限制。</w:t>
            </w:r>
          </w:p>
        </w:tc>
      </w:tr>
    </w:tbl>
    <w:p w14:paraId="3A142DF4">
      <w:pPr>
        <w:spacing w:line="400" w:lineRule="exact"/>
        <w:ind w:firstLine="480" w:firstLineChars="200"/>
        <w:rPr>
          <w:rFonts w:hint="default" w:ascii="Times New Roman" w:hAnsi="Times New Roman" w:eastAsia="宋体" w:cs="Times New Roman"/>
          <w:sz w:val="24"/>
          <w14:ligatures w14:val="standardContextual"/>
        </w:rPr>
      </w:pPr>
    </w:p>
    <w:p w14:paraId="67EF1B48">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在扰动初期，受影响人数从 7,731 人增长至 13,450 人。这一阶段，由于 Transformer-PPO 能够通过注意力机制提前感知客流时空堆积趋势，并利用折返站</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tb</m:t>
            </m:r>
            <m:ctrlPr>
              <w:rPr>
                <w:rFonts w:ascii="Cambria Math" w:hAnsi="Cambria Math" w:eastAsia="宋体"/>
                <w:sz w:val="24"/>
              </w:rPr>
            </m:ctrlPr>
          </m:sub>
        </m:sSub>
      </m:oMath>
      <w:r>
        <w:rPr>
          <w:rFonts w:hint="default" w:ascii="Times New Roman" w:hAnsi="Times New Roman" w:eastAsia="宋体" w:cs="Times New Roman"/>
          <w:sz w:val="24"/>
          <w14:ligatures w14:val="standardContextual"/>
        </w:rPr>
        <w:t>进行有效的运力重构，系统仍能维持一定的服务效能，总延迟的增长相对平缓。当故障时长达到 75 分钟及以上时，受影响人数激增至 18,369 人以上，并在 90 分钟时达到 20,433 人的峰值。此时，由于大量乘客滞留在站台，客流密度已逼近车站承载上限，导致“滚雪球效应”加剧，系统进入级联失效状态。</w:t>
      </w:r>
    </w:p>
    <w:p w14:paraId="324015E9">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通过对上述数据的深入分析可以发现，Transformer-PPO 算法展现出了优异的抗扰动鲁棒性。与传统基线算法在长时故障下迅速崩溃的表现不同，本文算法能够根据扰动时长的不同，动态调整列车在故障区间的折返频率。</w:t>
      </w:r>
    </w:p>
    <w:p w14:paraId="19FD640F">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这种灵敏性分析结果不仅验证了算法的有效性，也为实际运营管理提供了决策支持：当故障预计超过 60 分钟时，仅靠时刻表微调已无法完全消化客流压力，必须启动更高级别的应急预案。这再次证明了将 Transformer 机制引入强化学习框架，对于处理城市轨道交通中复杂、多变的突发状况具有至关重要的学术价值与实践意义。</w:t>
      </w:r>
    </w:p>
    <w:p w14:paraId="5DEA62D5">
      <w:pPr>
        <w:spacing w:line="400" w:lineRule="exact"/>
        <w:rPr>
          <w:rFonts w:hint="eastAsia" w:ascii="Times New Roman" w:hAnsi="Times New Roman" w:eastAsia="宋体" w:cs="Times New Roman"/>
          <w:sz w:val="24"/>
          <w:lang w:eastAsia="zh-CN"/>
          <w14:ligatures w14:val="standardContextual"/>
        </w:rPr>
      </w:pPr>
    </w:p>
    <w:p w14:paraId="5F68B2ED">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为深入探究本文提出的 Safe-RL 框架中各核心组件对调度性能的影响，本节开展了消融实验。实验通过移除特定模块构建了三个变体模型，并与启发式算法（Heuristic Holding）及无控制场景（No Control）进行对比：</w:t>
      </w:r>
    </w:p>
    <w:p w14:paraId="3BB3EB63">
      <w:pPr>
        <w:numPr>
          <w:ilvl w:val="0"/>
          <w:numId w:val="1"/>
        </w:numPr>
        <w:spacing w:line="400" w:lineRule="exact"/>
        <w:ind w:left="425" w:leftChars="0" w:hanging="425" w:firstLineChars="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Proposed (Clipper+PFC)：本文完整的 Safe-RL 框架。</w:t>
      </w:r>
    </w:p>
    <w:p w14:paraId="1A589F5E">
      <w:pPr>
        <w:numPr>
          <w:ilvl w:val="0"/>
          <w:numId w:val="1"/>
        </w:numPr>
        <w:spacing w:line="400" w:lineRule="exact"/>
        <w:ind w:left="425" w:leftChars="0" w:hanging="425" w:firstLineChars="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No Clipper (End-to-end)：移除线性规划投影层，采用端到端的强化学习直接输出动作。</w:t>
      </w:r>
    </w:p>
    <w:p w14:paraId="27A648F1">
      <w:pPr>
        <w:numPr>
          <w:ilvl w:val="0"/>
          <w:numId w:val="1"/>
        </w:numPr>
        <w:spacing w:line="400" w:lineRule="exact"/>
        <w:ind w:left="425" w:leftChars="0" w:hanging="425" w:firstLineChars="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No PFC (No Passenger Flow Control)：移除客流控制约束，不再对站台过载进行惩罚。</w:t>
      </w:r>
    </w:p>
    <w:p w14:paraId="25F7E49E">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实验结果如表 7 所示（各指标均为 5 次随机实验的均值）。</w:t>
      </w:r>
    </w:p>
    <w:tbl>
      <w:tblPr>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86"/>
        <w:gridCol w:w="1485"/>
        <w:gridCol w:w="1545"/>
        <w:gridCol w:w="1737"/>
        <w:gridCol w:w="2076"/>
      </w:tblGrid>
      <w:tr w14:paraId="7D6F9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85" w:hRule="atLeast"/>
        </w:trPr>
        <w:tc>
          <w:tcPr>
            <w:tcW w:w="0" w:type="auto"/>
            <w:tcBorders>
              <w:top w:val="single" w:color="000000" w:sz="12" w:space="0"/>
              <w:left w:val="nil"/>
              <w:bottom w:val="single" w:color="000000" w:sz="4" w:space="0"/>
              <w:right w:val="nil"/>
              <w:tl2br w:val="nil"/>
            </w:tcBorders>
            <w:shd w:val="clear" w:color="auto" w:fill="FFFFFF"/>
            <w:vAlign w:val="center"/>
          </w:tcPr>
          <w:p w14:paraId="56170E20">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实验方案</w:t>
            </w:r>
          </w:p>
        </w:tc>
        <w:tc>
          <w:tcPr>
            <w:tcW w:w="0" w:type="auto"/>
            <w:tcBorders>
              <w:top w:val="single" w:color="000000" w:sz="12" w:space="0"/>
              <w:left w:val="nil"/>
              <w:bottom w:val="single" w:color="000000" w:sz="4" w:space="0"/>
              <w:right w:val="nil"/>
            </w:tcBorders>
            <w:shd w:val="clear" w:color="auto" w:fill="FFFFFF"/>
            <w:vAlign w:val="center"/>
          </w:tcPr>
          <w:p w14:paraId="5F6C6B62">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受影响乘客数 (人)</w:t>
            </w:r>
          </w:p>
        </w:tc>
        <w:tc>
          <w:tcPr>
            <w:tcW w:w="0" w:type="auto"/>
            <w:tcBorders>
              <w:top w:val="single" w:color="000000" w:sz="12" w:space="0"/>
              <w:left w:val="nil"/>
              <w:bottom w:val="single" w:color="000000" w:sz="4" w:space="0"/>
              <w:right w:val="nil"/>
            </w:tcBorders>
            <w:shd w:val="clear" w:color="auto" w:fill="FFFFFF"/>
            <w:vAlign w:val="center"/>
          </w:tcPr>
          <w:p w14:paraId="796523E9">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平均等待时间 (s)</w:t>
            </w:r>
          </w:p>
        </w:tc>
        <w:tc>
          <w:tcPr>
            <w:tcW w:w="0" w:type="auto"/>
            <w:tcBorders>
              <w:top w:val="single" w:color="000000" w:sz="12" w:space="0"/>
              <w:left w:val="nil"/>
              <w:bottom w:val="single" w:color="000000" w:sz="4" w:space="0"/>
              <w:right w:val="nil"/>
            </w:tcBorders>
            <w:shd w:val="clear" w:color="auto" w:fill="FFFFFF"/>
            <w:vAlign w:val="center"/>
          </w:tcPr>
          <w:p w14:paraId="601B8483">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站台溢流强度 (人·秒)</w:t>
            </w:r>
          </w:p>
        </w:tc>
        <w:tc>
          <w:tcPr>
            <w:tcW w:w="0" w:type="auto"/>
            <w:tcBorders>
              <w:top w:val="single" w:color="000000" w:sz="12" w:space="0"/>
              <w:left w:val="nil"/>
              <w:bottom w:val="single" w:color="000000" w:sz="4" w:space="0"/>
              <w:right w:val="nil"/>
            </w:tcBorders>
            <w:shd w:val="clear" w:color="auto" w:fill="FFFFFF"/>
            <w:vAlign w:val="center"/>
          </w:tcPr>
          <w:p w14:paraId="31160977">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严重延误强度 (人·秒)</w:t>
            </w:r>
          </w:p>
        </w:tc>
      </w:tr>
      <w:tr w14:paraId="128C0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5" w:hRule="atLeast"/>
        </w:trPr>
        <w:tc>
          <w:tcPr>
            <w:tcW w:w="0" w:type="auto"/>
            <w:tcBorders>
              <w:top w:val="single" w:color="000000" w:sz="4" w:space="0"/>
              <w:left w:val="nil"/>
              <w:bottom w:val="nil"/>
              <w:right w:val="nil"/>
            </w:tcBorders>
            <w:shd w:val="clear" w:color="auto" w:fill="FFFFFF"/>
            <w:vAlign w:val="center"/>
          </w:tcPr>
          <w:p w14:paraId="01E6A932">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No Control (NC)</w:t>
            </w:r>
          </w:p>
        </w:tc>
        <w:tc>
          <w:tcPr>
            <w:tcW w:w="0" w:type="auto"/>
            <w:tcBorders>
              <w:top w:val="single" w:color="000000" w:sz="4" w:space="0"/>
              <w:left w:val="nil"/>
              <w:bottom w:val="nil"/>
              <w:right w:val="nil"/>
            </w:tcBorders>
            <w:shd w:val="clear" w:color="auto" w:fill="FFFFFF"/>
            <w:vAlign w:val="center"/>
          </w:tcPr>
          <w:p w14:paraId="0B987B2F">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2,169</w:t>
            </w:r>
          </w:p>
        </w:tc>
        <w:tc>
          <w:tcPr>
            <w:tcW w:w="0" w:type="auto"/>
            <w:tcBorders>
              <w:top w:val="single" w:color="000000" w:sz="4" w:space="0"/>
              <w:left w:val="nil"/>
              <w:bottom w:val="nil"/>
              <w:right w:val="nil"/>
            </w:tcBorders>
            <w:shd w:val="clear" w:color="auto" w:fill="FFFFFF"/>
            <w:vAlign w:val="center"/>
          </w:tcPr>
          <w:p w14:paraId="1EF35D99">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1,210.16</w:t>
            </w:r>
          </w:p>
        </w:tc>
        <w:tc>
          <w:tcPr>
            <w:tcW w:w="0" w:type="auto"/>
            <w:tcBorders>
              <w:top w:val="single" w:color="000000" w:sz="4" w:space="0"/>
              <w:left w:val="nil"/>
              <w:bottom w:val="nil"/>
              <w:right w:val="nil"/>
            </w:tcBorders>
            <w:shd w:val="clear" w:color="auto" w:fill="FFFFFF"/>
            <w:vAlign w:val="center"/>
          </w:tcPr>
          <w:p w14:paraId="255B5E54">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0</w:t>
            </w:r>
          </w:p>
        </w:tc>
        <w:tc>
          <w:tcPr>
            <w:tcW w:w="0" w:type="auto"/>
            <w:tcBorders>
              <w:top w:val="single" w:color="000000" w:sz="4" w:space="0"/>
              <w:left w:val="nil"/>
              <w:bottom w:val="nil"/>
              <w:right w:val="nil"/>
            </w:tcBorders>
            <w:shd w:val="clear" w:color="auto" w:fill="FFFFFF"/>
            <w:vAlign w:val="center"/>
          </w:tcPr>
          <w:p w14:paraId="08242029">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68,133,657.80</w:t>
            </w:r>
          </w:p>
        </w:tc>
      </w:tr>
      <w:tr w14:paraId="69602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15" w:hRule="atLeast"/>
        </w:trPr>
        <w:tc>
          <w:tcPr>
            <w:tcW w:w="0" w:type="auto"/>
            <w:tcBorders>
              <w:top w:val="nil"/>
              <w:left w:val="nil"/>
              <w:bottom w:val="nil"/>
              <w:right w:val="nil"/>
            </w:tcBorders>
            <w:shd w:val="clear" w:color="auto" w:fill="FFFFFF"/>
            <w:vAlign w:val="center"/>
          </w:tcPr>
          <w:p w14:paraId="68B855F8">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Heuristic Holding</w:t>
            </w:r>
          </w:p>
        </w:tc>
        <w:tc>
          <w:tcPr>
            <w:tcW w:w="0" w:type="auto"/>
            <w:tcBorders>
              <w:top w:val="nil"/>
              <w:left w:val="nil"/>
              <w:bottom w:val="nil"/>
              <w:right w:val="nil"/>
            </w:tcBorders>
            <w:shd w:val="clear" w:color="auto" w:fill="FFFFFF"/>
            <w:vAlign w:val="center"/>
          </w:tcPr>
          <w:p w14:paraId="25773D32">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7,150</w:t>
            </w:r>
          </w:p>
        </w:tc>
        <w:tc>
          <w:tcPr>
            <w:tcW w:w="0" w:type="auto"/>
            <w:tcBorders>
              <w:top w:val="nil"/>
              <w:left w:val="nil"/>
              <w:bottom w:val="nil"/>
              <w:right w:val="nil"/>
            </w:tcBorders>
            <w:shd w:val="clear" w:color="auto" w:fill="FFFFFF"/>
            <w:vAlign w:val="center"/>
          </w:tcPr>
          <w:p w14:paraId="232D811E">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221.45</w:t>
            </w:r>
          </w:p>
        </w:tc>
        <w:tc>
          <w:tcPr>
            <w:tcW w:w="0" w:type="auto"/>
            <w:tcBorders>
              <w:top w:val="nil"/>
              <w:left w:val="nil"/>
              <w:bottom w:val="nil"/>
              <w:right w:val="nil"/>
            </w:tcBorders>
            <w:shd w:val="clear" w:color="auto" w:fill="FFFFFF"/>
            <w:vAlign w:val="center"/>
          </w:tcPr>
          <w:p w14:paraId="7086F112">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0</w:t>
            </w:r>
          </w:p>
        </w:tc>
        <w:tc>
          <w:tcPr>
            <w:tcW w:w="0" w:type="auto"/>
            <w:tcBorders>
              <w:top w:val="nil"/>
              <w:left w:val="nil"/>
              <w:bottom w:val="nil"/>
              <w:right w:val="nil"/>
            </w:tcBorders>
            <w:shd w:val="clear" w:color="auto" w:fill="FFFFFF"/>
            <w:vAlign w:val="center"/>
          </w:tcPr>
          <w:p w14:paraId="322FF26B">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2,872,367.00</w:t>
            </w:r>
          </w:p>
        </w:tc>
      </w:tr>
      <w:tr w14:paraId="2E931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FFFFFF"/>
            <w:vAlign w:val="center"/>
          </w:tcPr>
          <w:p w14:paraId="562384B0">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No PFC</w:t>
            </w:r>
          </w:p>
        </w:tc>
        <w:tc>
          <w:tcPr>
            <w:tcW w:w="0" w:type="auto"/>
            <w:tcBorders>
              <w:top w:val="nil"/>
              <w:left w:val="nil"/>
              <w:bottom w:val="nil"/>
              <w:right w:val="nil"/>
            </w:tcBorders>
            <w:shd w:val="clear" w:color="auto" w:fill="FFFFFF"/>
            <w:vAlign w:val="center"/>
          </w:tcPr>
          <w:p w14:paraId="23F06198">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12,561</w:t>
            </w:r>
          </w:p>
        </w:tc>
        <w:tc>
          <w:tcPr>
            <w:tcW w:w="0" w:type="auto"/>
            <w:tcBorders>
              <w:top w:val="nil"/>
              <w:left w:val="nil"/>
              <w:bottom w:val="nil"/>
              <w:right w:val="nil"/>
            </w:tcBorders>
            <w:shd w:val="clear" w:color="auto" w:fill="FFFFFF"/>
            <w:vAlign w:val="center"/>
          </w:tcPr>
          <w:p w14:paraId="069F24E9">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191.8</w:t>
            </w:r>
          </w:p>
        </w:tc>
        <w:tc>
          <w:tcPr>
            <w:tcW w:w="0" w:type="auto"/>
            <w:tcBorders>
              <w:top w:val="nil"/>
              <w:left w:val="nil"/>
              <w:bottom w:val="nil"/>
              <w:right w:val="nil"/>
            </w:tcBorders>
            <w:shd w:val="clear" w:color="auto" w:fill="FFFFFF"/>
            <w:vAlign w:val="center"/>
          </w:tcPr>
          <w:p w14:paraId="5E4BE91E">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1,274.20</w:t>
            </w:r>
          </w:p>
        </w:tc>
        <w:tc>
          <w:tcPr>
            <w:tcW w:w="0" w:type="auto"/>
            <w:tcBorders>
              <w:top w:val="nil"/>
              <w:left w:val="nil"/>
              <w:bottom w:val="nil"/>
              <w:right w:val="nil"/>
            </w:tcBorders>
            <w:shd w:val="clear" w:color="auto" w:fill="FFFFFF"/>
            <w:vAlign w:val="center"/>
          </w:tcPr>
          <w:p w14:paraId="628EED0B">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2,888,849.80</w:t>
            </w:r>
          </w:p>
        </w:tc>
      </w:tr>
      <w:tr w14:paraId="46B19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15" w:hRule="atLeast"/>
        </w:trPr>
        <w:tc>
          <w:tcPr>
            <w:tcW w:w="0" w:type="auto"/>
            <w:tcBorders>
              <w:top w:val="nil"/>
              <w:left w:val="nil"/>
              <w:bottom w:val="nil"/>
              <w:right w:val="nil"/>
            </w:tcBorders>
            <w:shd w:val="clear" w:color="auto" w:fill="FFFFFF"/>
            <w:vAlign w:val="center"/>
          </w:tcPr>
          <w:p w14:paraId="6A14EF11">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No Clipper (E2E)</w:t>
            </w:r>
          </w:p>
        </w:tc>
        <w:tc>
          <w:tcPr>
            <w:tcW w:w="0" w:type="auto"/>
            <w:tcBorders>
              <w:top w:val="nil"/>
              <w:left w:val="nil"/>
              <w:bottom w:val="nil"/>
              <w:right w:val="nil"/>
            </w:tcBorders>
            <w:shd w:val="clear" w:color="auto" w:fill="FFFFFF"/>
            <w:vAlign w:val="center"/>
          </w:tcPr>
          <w:p w14:paraId="309D10FC">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10,423</w:t>
            </w:r>
          </w:p>
        </w:tc>
        <w:tc>
          <w:tcPr>
            <w:tcW w:w="0" w:type="auto"/>
            <w:tcBorders>
              <w:top w:val="nil"/>
              <w:left w:val="nil"/>
              <w:bottom w:val="nil"/>
              <w:right w:val="nil"/>
            </w:tcBorders>
            <w:shd w:val="clear" w:color="auto" w:fill="FFFFFF"/>
            <w:vAlign w:val="center"/>
          </w:tcPr>
          <w:p w14:paraId="2608DE7E">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149.72</w:t>
            </w:r>
          </w:p>
        </w:tc>
        <w:tc>
          <w:tcPr>
            <w:tcW w:w="0" w:type="auto"/>
            <w:tcBorders>
              <w:top w:val="nil"/>
              <w:left w:val="nil"/>
              <w:bottom w:val="nil"/>
              <w:right w:val="nil"/>
            </w:tcBorders>
            <w:shd w:val="clear" w:color="auto" w:fill="FFFFFF"/>
            <w:vAlign w:val="center"/>
          </w:tcPr>
          <w:p w14:paraId="696CD4D5">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0</w:t>
            </w:r>
          </w:p>
        </w:tc>
        <w:tc>
          <w:tcPr>
            <w:tcW w:w="0" w:type="auto"/>
            <w:tcBorders>
              <w:top w:val="nil"/>
              <w:left w:val="nil"/>
              <w:bottom w:val="nil"/>
              <w:right w:val="nil"/>
            </w:tcBorders>
            <w:shd w:val="clear" w:color="auto" w:fill="FFFFFF"/>
            <w:vAlign w:val="center"/>
          </w:tcPr>
          <w:p w14:paraId="3D444EE6">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166,246.00</w:t>
            </w:r>
          </w:p>
        </w:tc>
      </w:tr>
      <w:tr w14:paraId="79A1A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0" w:type="auto"/>
            <w:tcBorders>
              <w:top w:val="nil"/>
              <w:left w:val="nil"/>
              <w:bottom w:val="single" w:color="000000" w:sz="12" w:space="0"/>
              <w:right w:val="nil"/>
            </w:tcBorders>
            <w:shd w:val="clear" w:color="auto" w:fill="FFFFFF"/>
            <w:vAlign w:val="center"/>
          </w:tcPr>
          <w:p w14:paraId="67B91CE6">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Proposed (Ours)</w:t>
            </w:r>
          </w:p>
        </w:tc>
        <w:tc>
          <w:tcPr>
            <w:tcW w:w="0" w:type="auto"/>
            <w:tcBorders>
              <w:top w:val="nil"/>
              <w:left w:val="nil"/>
              <w:bottom w:val="single" w:color="000000" w:sz="12" w:space="0"/>
              <w:right w:val="nil"/>
            </w:tcBorders>
            <w:shd w:val="clear" w:color="auto" w:fill="FFFFFF"/>
            <w:vAlign w:val="center"/>
          </w:tcPr>
          <w:p w14:paraId="3192761F">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10,693</w:t>
            </w:r>
          </w:p>
        </w:tc>
        <w:tc>
          <w:tcPr>
            <w:tcW w:w="0" w:type="auto"/>
            <w:tcBorders>
              <w:top w:val="nil"/>
              <w:left w:val="nil"/>
              <w:bottom w:val="single" w:color="000000" w:sz="12" w:space="0"/>
              <w:right w:val="nil"/>
            </w:tcBorders>
            <w:shd w:val="clear" w:color="auto" w:fill="FFFFFF"/>
            <w:vAlign w:val="center"/>
          </w:tcPr>
          <w:p w14:paraId="40239259">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160.67</w:t>
            </w:r>
          </w:p>
        </w:tc>
        <w:tc>
          <w:tcPr>
            <w:tcW w:w="0" w:type="auto"/>
            <w:tcBorders>
              <w:top w:val="nil"/>
              <w:left w:val="nil"/>
              <w:bottom w:val="single" w:color="000000" w:sz="12" w:space="0"/>
              <w:right w:val="nil"/>
            </w:tcBorders>
            <w:shd w:val="clear" w:color="auto" w:fill="FFFFFF"/>
            <w:vAlign w:val="center"/>
          </w:tcPr>
          <w:p w14:paraId="6CA0196A">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0</w:t>
            </w:r>
          </w:p>
        </w:tc>
        <w:tc>
          <w:tcPr>
            <w:tcW w:w="0" w:type="auto"/>
            <w:tcBorders>
              <w:top w:val="nil"/>
              <w:left w:val="nil"/>
              <w:bottom w:val="single" w:color="000000" w:sz="12" w:space="0"/>
              <w:right w:val="nil"/>
            </w:tcBorders>
            <w:shd w:val="clear" w:color="auto" w:fill="FFFFFF"/>
            <w:vAlign w:val="center"/>
          </w:tcPr>
          <w:p w14:paraId="54D19326">
            <w:pPr>
              <w:keepNext w:val="0"/>
              <w:keepLines w:val="0"/>
              <w:widowControl/>
              <w:suppressLineNumbers w:val="0"/>
              <w:jc w:val="left"/>
              <w:textAlignment w:val="center"/>
              <w:rPr>
                <w:rFonts w:hint="default" w:ascii="Arial" w:hAnsi="Arial" w:eastAsia="宋体" w:cs="Arial"/>
                <w:b w:val="0"/>
                <w:i w:val="0"/>
                <w:iCs w:val="0"/>
                <w:color w:val="000000"/>
                <w:kern w:val="0"/>
                <w:sz w:val="24"/>
                <w:szCs w:val="24"/>
                <w:u w:val="none"/>
                <w:lang w:val="en-US" w:eastAsia="zh-CN" w:bidi="ar"/>
              </w:rPr>
            </w:pPr>
            <w:r>
              <w:rPr>
                <w:rFonts w:hint="default" w:ascii="Arial" w:hAnsi="Arial" w:eastAsia="宋体" w:cs="Arial"/>
                <w:b w:val="0"/>
                <w:i w:val="0"/>
                <w:iCs w:val="0"/>
                <w:color w:val="000000"/>
                <w:kern w:val="0"/>
                <w:sz w:val="24"/>
                <w:szCs w:val="24"/>
                <w:u w:val="none"/>
                <w:lang w:val="en-US" w:eastAsia="zh-CN" w:bidi="ar"/>
              </w:rPr>
              <w:t>714,240.20</w:t>
            </w:r>
          </w:p>
        </w:tc>
      </w:tr>
    </w:tbl>
    <w:p w14:paraId="474C17E4">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通过对比 Proposed 与 No PFC 方案可以发现，移除 PFC 模块后，虽然平均等待时间变化不显著，但站台溢流强度（Platform Overflow）从 0 激增至 1,274.2。</w:t>
      </w:r>
      <w:r>
        <w:rPr>
          <w:rFonts w:hint="default" w:ascii="Times New Roman" w:hAnsi="Times New Roman" w:eastAsia="宋体" w:cs="Times New Roman"/>
          <w:sz w:val="24"/>
          <w14:ligatures w14:val="standardContextual"/>
        </w:rPr>
        <w:t>这表明，如果没有客流控制机制，智能体在追求时刻表恢复的过程中会忽视站台的物理承载极限，导致极大的安全隐患。Proposed 方案通过将客流约束融入优化过程，成功消除了站台溢流现象，保障了运营安全。</w:t>
      </w:r>
    </w:p>
    <w:p w14:paraId="325620C5">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实验数据揭示了 Clipper 投影层在安全性与效率之间的权衡：</w:t>
      </w:r>
    </w:p>
    <w:p w14:paraId="510B616D">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No Clipper (E2E) 在平均等待时间和严重延误指标上表现略优于 Proposed 方案。这是因为端到端模型在没有任何物理约束的情况下，能够采取更为激进的调度策略以降低延迟。然而，Proposed 方案通过 Clipper 投影确保了列车时刻表严格满足移动闭塞系统的安全间隔（Headway）约束。在实际工程落地中，虽然牺牲了约 7% 的理论效率（等待时间从 149.7s 升至 160.6s），但换取了 100% 的动作合规性。这种“安全优先”的特性使得本文算法在真实地铁环境中更具实用价值。</w:t>
      </w:r>
    </w:p>
    <w:p w14:paraId="0C669AAE">
      <w:pPr>
        <w:spacing w:line="400" w:lineRule="exact"/>
        <w:ind w:firstLine="480" w:firstLineChars="200"/>
        <w:rPr>
          <w:rFonts w:hint="default" w:ascii="Times New Roman" w:hAnsi="Times New Roman" w:eastAsia="宋体" w:cs="Times New Roman"/>
          <w:sz w:val="24"/>
          <w14:ligatures w14:val="standardContextual"/>
        </w:rPr>
      </w:pPr>
      <w:r>
        <w:rPr>
          <w:rFonts w:hint="default" w:ascii="Times New Roman" w:hAnsi="Times New Roman" w:eastAsia="宋体" w:cs="Times New Roman"/>
          <w:sz w:val="24"/>
          <w14:ligatures w14:val="standardContextual"/>
        </w:rPr>
        <w:t>与无控制（NC）及启发式方法（Heuristic）相比，所有强化学习变体在降低“严重延误”指标上均展现出数量级上的优势。这证明了 Transformer-PPO 算法在学习复杂调度规律方面的卓越能力。而 Proposed (Clipper+PFC) 方案在维持高性能的同时，通过多模块协同，有效平衡了运营效率、站台安全以及信号系统约束，是应对突发大客流扰动的最优选择。</w:t>
      </w:r>
    </w:p>
    <w:p w14:paraId="47F7B163">
      <w:pPr>
        <w:spacing w:line="400" w:lineRule="exact"/>
        <w:ind w:firstLine="480" w:firstLineChars="200"/>
        <w:rPr>
          <w:rFonts w:hint="eastAsia" w:ascii="Times New Roman" w:hAnsi="Times New Roman" w:eastAsia="宋体" w:cs="Times New Roman"/>
          <w:sz w:val="24"/>
          <w:lang w:eastAsia="zh-CN"/>
          <w14:ligatures w14:val="standardContextua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C76CF0"/>
    <w:multiLevelType w:val="singleLevel"/>
    <w:tmpl w:val="C8C76CF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D56"/>
    <w:rsid w:val="00636D56"/>
    <w:rsid w:val="006B64CF"/>
    <w:rsid w:val="0078508C"/>
    <w:rsid w:val="007D5DF6"/>
    <w:rsid w:val="008557A9"/>
    <w:rsid w:val="008860B5"/>
    <w:rsid w:val="008A069C"/>
    <w:rsid w:val="00A23DF0"/>
    <w:rsid w:val="00AC3F0D"/>
    <w:rsid w:val="00AD210B"/>
    <w:rsid w:val="00D707E7"/>
    <w:rsid w:val="00DC6F72"/>
    <w:rsid w:val="00E177D2"/>
    <w:rsid w:val="00F138EC"/>
    <w:rsid w:val="00FB0E81"/>
    <w:rsid w:val="0DDA72DB"/>
    <w:rsid w:val="251679ED"/>
    <w:rsid w:val="49E237C9"/>
    <w:rsid w:val="579A500B"/>
    <w:rsid w:val="6EFE4C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5"/>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FollowedHyperlink"/>
    <w:basedOn w:val="7"/>
    <w:qFormat/>
    <w:uiPriority w:val="0"/>
    <w:rPr>
      <w:color w:val="7E1FAD" w:themeColor="followedHyperlink"/>
      <w:u w:val="single"/>
      <w14:textFill>
        <w14:solidFill>
          <w14:schemeClr w14:val="folHlink"/>
        </w14:solidFill>
      </w14:textFill>
    </w:rPr>
  </w:style>
  <w:style w:type="character" w:styleId="10">
    <w:name w:val="Hyperlink"/>
    <w:basedOn w:val="7"/>
    <w:qFormat/>
    <w:uiPriority w:val="0"/>
    <w:rPr>
      <w:color w:val="0026E5" w:themeColor="hyperlink"/>
      <w:u w:val="single"/>
      <w14:textFill>
        <w14:solidFill>
          <w14:schemeClr w14:val="hlink"/>
        </w14:solidFill>
      </w14:textFill>
    </w:rPr>
  </w:style>
  <w:style w:type="character" w:customStyle="1" w:styleId="11">
    <w:name w:val="font61"/>
    <w:basedOn w:val="7"/>
    <w:qFormat/>
    <w:uiPriority w:val="0"/>
    <w:rPr>
      <w:rFonts w:hint="default" w:ascii="Times New Roman" w:hAnsi="Times New Roman" w:cs="Times New Roman"/>
      <w:color w:val="1F1F1F"/>
      <w:sz w:val="15"/>
      <w:szCs w:val="15"/>
      <w:u w:val="none"/>
    </w:rPr>
  </w:style>
  <w:style w:type="character" w:customStyle="1" w:styleId="12">
    <w:name w:val="font31"/>
    <w:basedOn w:val="7"/>
    <w:qFormat/>
    <w:uiPriority w:val="0"/>
    <w:rPr>
      <w:rFonts w:hint="eastAsia" w:ascii="宋体" w:hAnsi="宋体" w:eastAsia="宋体" w:cs="宋体"/>
      <w:color w:val="1F1F1F"/>
      <w:sz w:val="15"/>
      <w:szCs w:val="15"/>
      <w:u w:val="none"/>
    </w:rPr>
  </w:style>
  <w:style w:type="character" w:customStyle="1" w:styleId="13">
    <w:name w:val="font21"/>
    <w:basedOn w:val="7"/>
    <w:qFormat/>
    <w:uiPriority w:val="0"/>
    <w:rPr>
      <w:rFonts w:hint="default" w:ascii="Times New Roman" w:hAnsi="Times New Roman" w:cs="Times New Roman"/>
      <w:color w:val="1F1F1F"/>
      <w:sz w:val="18"/>
      <w:szCs w:val="18"/>
      <w:u w:val="none"/>
    </w:rPr>
  </w:style>
  <w:style w:type="character" w:customStyle="1" w:styleId="14">
    <w:name w:val="font41"/>
    <w:basedOn w:val="7"/>
    <w:qFormat/>
    <w:uiPriority w:val="0"/>
    <w:rPr>
      <w:rFonts w:hint="eastAsia" w:ascii="宋体" w:hAnsi="宋体" w:eastAsia="宋体" w:cs="宋体"/>
      <w:color w:val="1F1F1F"/>
      <w:sz w:val="18"/>
      <w:szCs w:val="18"/>
      <w:u w:val="none"/>
    </w:rPr>
  </w:style>
  <w:style w:type="character" w:customStyle="1" w:styleId="15">
    <w:name w:val="标题 2 字符"/>
    <w:basedOn w:val="7"/>
    <w:link w:val="2"/>
    <w:semiHidden/>
    <w:qFormat/>
    <w:uiPriority w:val="0"/>
    <w:rPr>
      <w:rFonts w:asciiTheme="majorHAnsi" w:hAnsiTheme="majorHAnsi" w:eastAsiaTheme="majorEastAsia" w:cstheme="majorBidi"/>
      <w:b/>
      <w:bCs/>
      <w:kern w:val="2"/>
      <w:sz w:val="32"/>
      <w:szCs w:val="32"/>
    </w:rPr>
  </w:style>
  <w:style w:type="character" w:customStyle="1" w:styleId="16">
    <w:name w:val="未处理的提及1"/>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2825</Words>
  <Characters>3472</Characters>
  <Lines>26</Lines>
  <Paragraphs>7</Paragraphs>
  <TotalTime>16</TotalTime>
  <ScaleCrop>false</ScaleCrop>
  <LinksUpToDate>false</LinksUpToDate>
  <CharactersWithSpaces>3483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2026-01-16T13:10:00Z</dcterms:created>
  <dc:creator>Administrator</dc:creator>
  <cp:lastModifiedBy>XY liang</cp:lastModifiedBy>
  <dcterms:modified xsi:type="dcterms:W3CDTF">2026-01-29T14:49:30Z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eyJoZGlkIjoiMmQwNTRjMTM0NzZjOWJhYTExMzg5OTcxZjczOGJmOGIiLCJ1c2VySWQiOiI5MjQ3NjM1MjgifQ==</vt:lpwstr>
  </property>
  <property fmtid="{D5CDD505-2E9C-101B-9397-08002B2CF9AE}" pid="4" name="ICV">
    <vt:lpwstr>85C20EDEFCA1412DBF5F7914E9AEE9A2_12</vt:lpwstr>
  </property>
</Properties>
</file>