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8"/>
        <w:gridCol w:w="1755"/>
        <w:gridCol w:w="2064"/>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56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8"/>
        <w:gridCol w:w="1755"/>
        <w:gridCol w:w="2064"/>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w:t>
            </w:r>
          </w:p>
        </w:tc>
        <w:tc>
          <w:tcPr>
            <w:tcW w:w="156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w:t>
            </w:r>
          </w:p>
        </w:tc>
        <w:tc>
          <w:tcPr>
            <w:tcW w:w="156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Application>LibreOffice/7.3.7.2$Linux_X86_64 LibreOffice_project/30$Build-2</Application>
  <AppVersion>15.0000</AppVersion>
  <Pages>18</Pages>
  <Words>1418</Words>
  <Characters>7780</Characters>
  <CharactersWithSpaces>8851</CharactersWithSpaces>
  <Paragraphs>340</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2022-12-16T11:42:30Z</dcterms:modified>
  <cp:revision>13</cp:revision>
  <dc:subject/>
  <dc:title>Población/Grupo</dc:title>
</cp:coreProperties>
</file>

<file path=docProps/custom.xml><?xml version="1.0" encoding="utf-8"?>
<Properties xmlns="http://schemas.openxmlformats.org/officeDocument/2006/custom-properties" xmlns:vt="http://schemas.openxmlformats.org/officeDocument/2006/docPropsVTypes"/>
</file>