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SINGGAH LOKAL — MASTER 12</w:t>
      </w:r>
    </w:p>
    <w:p>
      <w:pPr>
        <w:pStyle w:val="Heading1"/>
      </w:pPr>
      <w:r>
        <w:t>USER ACCOUNT, PROFILE &amp; PREFERENCES</w:t>
      </w:r>
    </w:p>
    <w:p>
      <w:r>
        <w:t>Define User identity, profile, saved Places/Experiences, Visit Intent history and preferences. Account data is private and protected by server-side authorization. Preferences include language, notification settings, discovery defaults and accessibility options where supported. Saved items and history do not create transactions. Include authentication, recovery, session lifecycle, rate limits and suspicious-activity controls. Minimize personal data and align retention/deletion with Privacy Master.</w:t>
      </w:r>
    </w:p>
    <w:p>
      <w:r>
        <w:t>Status: v1.0 — Master reference. Changes require explicit approval and versioning.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