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13</w:t>
      </w:r>
    </w:p>
    <w:p>
      <w:pPr>
        <w:pStyle w:val="Heading1"/>
      </w:pPr>
      <w:r>
        <w:t>MEDIA, FILE &amp; ASSET MANAGEMENT</w:t>
      </w:r>
    </w:p>
    <w:p>
      <w:r>
        <w:t>Controlled media pipeline: upload → validate → store → process → moderation eligibility → publish reference. Validate MIME/type, size, dimensions/duration and corruption. Generate thumbnails, responsive variants and compressed/transcoded versions. Asset fields include asset_id, owner_type/id, media_type, storage_key, metadata, processing_status, moderation_status and publication_status. Public delivery requires publication eligibility. Restricted/deleted assets must not leak through CDN, search, map or cache. Media must remain traceable to its owner/resource and all material state changes should be auditable.</w:t>
      </w:r>
    </w:p>
    <w:p>
      <w:r>
        <w:t>Status: v1.0 — Master reference. Changes require explicit approval and versioning.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