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SINGGAH LOKAL — MASTER 16</w:t>
      </w:r>
    </w:p>
    <w:p>
      <w:pPr>
        <w:pStyle w:val="Heading1"/>
      </w:pPr>
      <w:r>
        <w:t>DATA MODEL, DATABASE &amp; BACKEND ARCHITECTURE</w:t>
      </w:r>
    </w:p>
    <w:p>
      <w:r>
        <w:t>Core entities: User, Producer, ProducerMembership/Role, Place, PlaceMedia, ProductionStage, ProductionMedia, Product, Experience, ExperienceMedia, ExperienceSchedule, VisitIntent, Notification, NotificationPreference, AIUsageLedger, ModerationCase, VerificationCase, Report, AuditLog and Asset. Relational database is recommended with geospatial indexing. Database/domain services are the source of truth; search, cache, analytics and notifications are derived. Critical transitions use transactions; secondary work uses events/jobs. No payment/settlement entities in MVP.</w:t>
      </w:r>
    </w:p>
    <w:p>
      <w:r>
        <w:t>Status: v1.0 — Master reference. Changes require explicit approval and versioning.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