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17</w:t>
      </w:r>
    </w:p>
    <w:p>
      <w:pPr>
        <w:pStyle w:val="Heading1"/>
      </w:pPr>
      <w:r>
        <w:t>API CONTRACT &amp; INTEGRATION SPECIFICATION</w:t>
      </w:r>
    </w:p>
    <w:p>
      <w:r>
        <w:t>Standardize resource-oriented APIs, authentication, authorization, validation, pagination, idempotency and status transitions. Domains: auth/account, Places, Experiences, Production Story, discovery/search, Visit Intent, notifications, Producer and Admin. Responses use stable IDs, timestamps and timezone for temporal data. Errors use machine-readable codes, safe messages, field errors where useful and correlation/request IDs. Version breaking changes explicitly. Internal events use stable versioned names/payloads. Contract tests are required.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