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18</w:t>
      </w:r>
    </w:p>
    <w:p>
      <w:pPr>
        <w:pStyle w:val="Heading1"/>
      </w:pPr>
      <w:r>
        <w:t>AI INFRASTRUCTURE, QUOTA &amp; COST CONTROL</w:t>
      </w:r>
    </w:p>
    <w:p>
      <w:r>
        <w:t>AI usage is tied to the registered Producer account/email, never an anonymous browser session. Track producer identity, operation, model/service, units, quota/credits, result status, timestamp and correlation ID in a usage ledger. Enforce configurable daily/monthly/request limits, warnings, exhausted state and admin restrictions. Producer bears AI generation cost under the commercial model; platform must prevent unlimited usage. Workflow: Producer facts → AI draft → Producer review/edit → explicit approval → publication. AI must not invent facts, prices, schedules, claims, capacity or verification. Server-side quota enforcement and audit are mandatory.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